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140"/>
        <w:jc w:val="center"/>
      </w:pPr>
      <w:r>
        <w:rPr>
          <w:rFonts w:ascii="Times New Roman" w:cs="Times New Roman" w:eastAsia="Times New Roman" w:hAnsi="Times New Roman"/>
          <w:b/>
          <w:bCs/>
          <w:color w:val="1B2A4A"/>
          <w:sz w:val="36"/>
          <w:szCs w:val="36"/>
        </w:rPr>
        <w:t xml:space="preserve">NIHA CARBON CONSULTANCY LIMITED</w:t>
      </w:r>
    </w:p>
    <w:p>
      <w:pPr>
        <w:pBdr>
          <w:bottom w:val="single" w:color="2E75B6" w:sz="4" w:space="10"/>
        </w:pBdr>
        <w:spacing w:before="100"/>
        <w:jc w:val="center"/>
      </w:pPr>
      <w:r>
        <w:rPr>
          <w:sz w:val="12"/>
          <w:szCs w:val="12"/>
        </w:rPr>
        <w:t xml:space="preserve"> </w:t>
      </w:r>
    </w:p>
    <w:p>
      <w:pPr>
        <w:spacing w:before="400" w:after="140"/>
        <w:jc w:val="center"/>
      </w:pPr>
      <w:r>
        <w:rPr>
          <w:rFonts w:ascii="Times New Roman" w:cs="Times New Roman" w:eastAsia="Times New Roman" w:hAnsi="Times New Roman"/>
          <w:b/>
          <w:bCs/>
          <w:color w:val="2E75B6"/>
          <w:sz w:val="32"/>
          <w:szCs w:val="32"/>
        </w:rPr>
        <w:t xml:space="preserve">COUNTERPARTY RISK</w:t>
      </w:r>
    </w:p>
    <w:p>
      <w:pPr>
        <w:spacing w:before="0" w:after="140"/>
        <w:jc w:val="center"/>
      </w:pPr>
      <w:r>
        <w:rPr>
          <w:rFonts w:ascii="Times New Roman" w:cs="Times New Roman" w:eastAsia="Times New Roman" w:hAnsi="Times New Roman"/>
          <w:b/>
          <w:bCs/>
          <w:color w:val="2E75B6"/>
          <w:sz w:val="32"/>
          <w:szCs w:val="32"/>
        </w:rPr>
        <w:t xml:space="preserve">ASSESSMENT FRAMEWORK</w:t>
      </w:r>
    </w:p>
    <w:p>
      <w:pPr>
        <w:spacing w:before="6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Document Reference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NIHA-RISK-2026-001</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Version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2.0</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Classification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STRICTLY CONFIDENTIAL</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Effective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 January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Last Reviewed</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15 January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Next Review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15 July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Approved By</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Board of Directors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Prepared By</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Risk Management Committee</w:t>
            </w:r>
          </w:p>
        </w:tc>
      </w:tr>
    </w:tbl>
    <w:p>
      <w:pPr>
        <w:spacing w:before="800"/>
        <w:jc w:val="center"/>
      </w:pPr>
      <w:r>
        <w:rPr>
          <w:rFonts w:ascii="Times New Roman" w:cs="Times New Roman" w:eastAsia="Times New Roman" w:hAnsi="Times New Roman"/>
          <w:i/>
          <w:iCs/>
          <w:color w:val="666666"/>
          <w:sz w:val="20"/>
          <w:szCs w:val="20"/>
        </w:rPr>
        <w:t xml:space="preserve">This document establishes the counterparty risk assessment methodology, credit rating framework, and exposure management procedures for all carbon credit trading counterparties of NIHA Carbon Consultancy Limited.</w:t>
      </w:r>
    </w:p>
    <w:p>
      <w:r>
        <w:br w:type="page"/>
      </w:r>
    </w:p>
    <w:p>
      <w:pPr>
        <w:spacing w:before="400" w:after="200"/>
      </w:pPr>
      <w:r>
        <w:rPr>
          <w:rFonts w:ascii="Times New Roman" w:cs="Times New Roman" w:eastAsia="Times New Roman" w:hAnsi="Times New Roman"/>
          <w:b/>
          <w:bCs/>
          <w:caps/>
          <w:color w:val="1B2A4A"/>
          <w:sz w:val="26"/>
          <w:szCs w:val="26"/>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1.</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Executive Summary</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2.</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Scope and Applicability</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3.</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Governance and Oversight</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4.</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Counterparty Classification Methodology</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5.</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Credit Risk Scoring Model</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6.</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Due Diligence Requirements by Tier</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7.</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Exposure Limits and Concentration Risk</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8.</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Collateral and Margin Requirements</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9.</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Ongoing Monitoring and Review</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10.</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Stress Testing and Scenario Analysis</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11.</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Escalation and Breach Protocol</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12.</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Current Counterparty Portfolio Summary</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Annex A</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Credit Scoring Methodology Detail</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Annex B</w:t>
            </w:r>
          </w:p>
        </w:tc>
        <w:tc>
          <w:tcPr>
            <w:tcW w:type="pct" w:w="8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Approved Counterparty Register</w:t>
            </w:r>
          </w:p>
        </w:tc>
      </w:tr>
    </w:tbl>
    <w:p>
      <w:r>
        <w:br w:type="page"/>
      </w:r>
    </w:p>
    <w:p>
      <w:pPr>
        <w:spacing w:before="400" w:after="200"/>
      </w:pPr>
      <w:r>
        <w:rPr>
          <w:rFonts w:ascii="Times New Roman" w:cs="Times New Roman" w:eastAsia="Times New Roman" w:hAnsi="Times New Roman"/>
          <w:b/>
          <w:bCs/>
          <w:caps/>
          <w:color w:val="1B2A4A"/>
          <w:sz w:val="26"/>
          <w:szCs w:val="26"/>
        </w:rPr>
        <w:t xml:space="preserve">1. EXECUTIVE SUMMARY</w:t>
      </w:r>
    </w:p>
    <w:p>
      <w:pPr>
        <w:spacing w:before="0" w:after="140"/>
      </w:pPr>
      <w:r>
        <w:rPr>
          <w:rFonts w:ascii="Times New Roman" w:cs="Times New Roman" w:eastAsia="Times New Roman" w:hAnsi="Times New Roman"/>
          <w:color w:val="333333"/>
          <w:sz w:val="22"/>
          <w:szCs w:val="22"/>
        </w:rPr>
        <w:t xml:space="preserve">This Counterparty Risk Assessment Framework (the "Framework") establishes the policies, procedures, and quantitative methodologies employed by NIHA Carbon Consultancy Limited ("NIHA" or the "Company") to identify, assess, monitor, and mitigate credit and counterparty risk arising from its carbon credit trading operations.</w:t>
      </w:r>
    </w:p>
    <w:p>
      <w:pPr>
        <w:spacing w:before="0" w:after="140"/>
      </w:pPr>
      <w:r>
        <w:rPr>
          <w:rFonts w:ascii="Times New Roman" w:cs="Times New Roman" w:eastAsia="Times New Roman" w:hAnsi="Times New Roman"/>
          <w:color w:val="333333"/>
          <w:sz w:val="22"/>
          <w:szCs w:val="22"/>
        </w:rPr>
        <w:t xml:space="preserve">NIHA operates as a principal counterparty in the bilateral trading of European Union Allowances (EUA), China Emission Allowances (CEA), and Voluntary Carbon Credits (VCC). As a principal, NIHA assumes direct counterparty credit exposure in every transaction. This Framework ensures that such exposures are systematically quantified, bounded by pre-approved limits, and subject to ongoing surveillance.</w:t>
      </w:r>
    </w:p>
    <w:p>
      <w:pPr>
        <w:spacing w:before="0" w:after="140"/>
      </w:pPr>
      <w:r>
        <w:rPr>
          <w:rFonts w:ascii="Times New Roman" w:cs="Times New Roman" w:eastAsia="Times New Roman" w:hAnsi="Times New Roman"/>
          <w:color w:val="333333"/>
          <w:sz w:val="22"/>
          <w:szCs w:val="22"/>
        </w:rPr>
        <w:t xml:space="preserve">As at 31 January 2026, the Company maintains active trading relationships with 18 approved counterparties across 7 jurisdictions, with aggregate gross exposure of EUR 8.47 million and net exposure of EUR 5.23 million after collateral and netting.</w:t>
      </w:r>
    </w:p>
    <w:p>
      <w:pPr>
        <w:spacing w:before="300" w:after="160"/>
      </w:pPr>
      <w:r>
        <w:rPr>
          <w:rFonts w:ascii="Times New Roman" w:cs="Times New Roman" w:eastAsia="Times New Roman" w:hAnsi="Times New Roman"/>
          <w:b/>
          <w:bCs/>
          <w:color w:val="2E75B6"/>
          <w:sz w:val="23"/>
          <w:szCs w:val="23"/>
        </w:rPr>
        <w:t xml:space="preserve">1.1 Key Risk Metrics (as at 31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Metric</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Value</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Limit</w:t>
            </w:r>
          </w:p>
        </w:tc>
      </w:tr>
      <w:tr>
        <w:tc>
          <w:tcPr>
            <w:tcW w:type="pct" w:w="5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Total Approved Counterparties</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18</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25</w:t>
            </w:r>
          </w:p>
        </w:tc>
      </w:tr>
      <w:tr>
        <w:tc>
          <w:tcPr>
            <w:tcW w:type="pct" w:w="5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Aggregate Gross Exposure</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8.47M</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15.0M</w:t>
            </w:r>
          </w:p>
        </w:tc>
      </w:tr>
      <w:tr>
        <w:tc>
          <w:tcPr>
            <w:tcW w:type="pct" w:w="5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Aggregate Net Exposure (post-collateral)</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5.23M</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10.0M</w:t>
            </w:r>
          </w:p>
        </w:tc>
      </w:tr>
      <w:tr>
        <w:tc>
          <w:tcPr>
            <w:tcW w:type="pct" w:w="5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Largest Single Counterparty Exposure</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1.84M</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2.5M</w:t>
            </w:r>
          </w:p>
        </w:tc>
      </w:tr>
      <w:tr>
        <w:tc>
          <w:tcPr>
            <w:tcW w:type="pct" w:w="5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Average Credit Score (weighted)</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72.4 / 100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Min 55</w:t>
            </w:r>
          </w:p>
        </w:tc>
      </w:tr>
      <w:tr>
        <w:tc>
          <w:tcPr>
            <w:tcW w:type="pct" w:w="5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Counterparties on Watchlist</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 3</w:t>
            </w:r>
          </w:p>
        </w:tc>
      </w:tr>
      <w:tr>
        <w:tc>
          <w:tcPr>
            <w:tcW w:type="pct" w:w="5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Past Due Receivables (&gt;30 days)</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500K</w:t>
            </w:r>
          </w:p>
        </w:tc>
      </w:tr>
    </w:tbl>
    <w:p>
      <w:r>
        <w:br w:type="page"/>
      </w:r>
    </w:p>
    <w:p>
      <w:pPr>
        <w:spacing w:before="400" w:after="200"/>
      </w:pPr>
      <w:r>
        <w:rPr>
          <w:rFonts w:ascii="Times New Roman" w:cs="Times New Roman" w:eastAsia="Times New Roman" w:hAnsi="Times New Roman"/>
          <w:b/>
          <w:bCs/>
          <w:caps/>
          <w:color w:val="1B2A4A"/>
          <w:sz w:val="26"/>
          <w:szCs w:val="26"/>
        </w:rPr>
        <w:t xml:space="preserve">2. SCOPE AND APPLICABILITY</w:t>
      </w:r>
    </w:p>
    <w:p>
      <w:pPr>
        <w:spacing w:before="0" w:after="140"/>
      </w:pPr>
      <w:r>
        <w:rPr>
          <w:rFonts w:ascii="Times New Roman" w:cs="Times New Roman" w:eastAsia="Times New Roman" w:hAnsi="Times New Roman"/>
          <w:color w:val="333333"/>
          <w:sz w:val="22"/>
          <w:szCs w:val="22"/>
        </w:rPr>
        <w:t xml:space="preserve">This Framework applies to all counterparties with whom NIHA enters into:</w:t>
      </w:r>
    </w:p>
    <w:p>
      <w:pPr>
        <w:spacing w:before="0" w:after="140"/>
        <w:ind w:left="360"/>
      </w:pPr>
      <w:r>
        <w:rPr>
          <w:rFonts w:ascii="Times New Roman" w:cs="Times New Roman" w:eastAsia="Times New Roman" w:hAnsi="Times New Roman"/>
          <w:color w:val="333333"/>
          <w:sz w:val="22"/>
          <w:szCs w:val="22"/>
        </w:rPr>
        <w:t xml:space="preserve">(a) Spot purchase or sale transactions in carbon credits (EUA, CEA, VCC, CER);</w:t>
      </w:r>
    </w:p>
    <w:p>
      <w:pPr>
        <w:spacing w:before="0" w:after="140"/>
        <w:ind w:left="360"/>
      </w:pPr>
      <w:r>
        <w:rPr>
          <w:rFonts w:ascii="Times New Roman" w:cs="Times New Roman" w:eastAsia="Times New Roman" w:hAnsi="Times New Roman"/>
          <w:color w:val="333333"/>
          <w:sz w:val="22"/>
          <w:szCs w:val="22"/>
        </w:rPr>
        <w:t xml:space="preserve">(b) Cross-border conversion arrangements (CEA→EUA and EUA→CEA);</w:t>
      </w:r>
    </w:p>
    <w:p>
      <w:pPr>
        <w:spacing w:before="0" w:after="140"/>
        <w:ind w:left="360"/>
      </w:pPr>
      <w:r>
        <w:rPr>
          <w:rFonts w:ascii="Times New Roman" w:cs="Times New Roman" w:eastAsia="Times New Roman" w:hAnsi="Times New Roman"/>
          <w:color w:val="333333"/>
          <w:sz w:val="22"/>
          <w:szCs w:val="22"/>
        </w:rPr>
        <w:t xml:space="preserve">(c) Forward or deferred delivery contracts with settlement periods exceeding T+3;</w:t>
      </w:r>
    </w:p>
    <w:p>
      <w:pPr>
        <w:spacing w:before="0" w:after="140"/>
        <w:ind w:left="360"/>
      </w:pPr>
      <w:r>
        <w:rPr>
          <w:rFonts w:ascii="Times New Roman" w:cs="Times New Roman" w:eastAsia="Times New Roman" w:hAnsi="Times New Roman"/>
          <w:color w:val="333333"/>
          <w:sz w:val="22"/>
          <w:szCs w:val="22"/>
        </w:rPr>
        <w:t xml:space="preserve">(d) Custody arrangements where NIHA holds carbon credits on behalf of clients;</w:t>
      </w:r>
    </w:p>
    <w:p>
      <w:pPr>
        <w:spacing w:before="0" w:after="140"/>
        <w:ind w:left="360"/>
      </w:pPr>
      <w:r>
        <w:rPr>
          <w:rFonts w:ascii="Times New Roman" w:cs="Times New Roman" w:eastAsia="Times New Roman" w:hAnsi="Times New Roman"/>
          <w:color w:val="333333"/>
          <w:sz w:val="22"/>
          <w:szCs w:val="22"/>
        </w:rPr>
        <w:t xml:space="preserve">(e) Any bilateral netting or collateral arrangements;</w:t>
      </w:r>
    </w:p>
    <w:p>
      <w:pPr>
        <w:spacing w:before="0" w:after="140"/>
        <w:ind w:left="360"/>
      </w:pPr>
      <w:r>
        <w:rPr>
          <w:rFonts w:ascii="Times New Roman" w:cs="Times New Roman" w:eastAsia="Times New Roman" w:hAnsi="Times New Roman"/>
          <w:color w:val="333333"/>
          <w:sz w:val="22"/>
          <w:szCs w:val="22"/>
        </w:rPr>
        <w:t xml:space="preserve">(f) Banking and financial institution relationships (settlement banks, custodians).</w:t>
      </w:r>
    </w:p>
    <w:p>
      <w:pPr>
        <w:spacing w:before="0" w:after="140"/>
      </w:pPr>
      <w:r>
        <w:rPr>
          <w:rFonts w:ascii="Times New Roman" w:cs="Times New Roman" w:eastAsia="Times New Roman" w:hAnsi="Times New Roman"/>
          <w:color w:val="333333"/>
          <w:sz w:val="22"/>
          <w:szCs w:val="22"/>
        </w:rPr>
        <w:t xml:space="preserve">The Framework excludes exchange-traded transactions executed on regulated venues (ICE Endex, CEEX) where the exchange clearing house acts as central counterparty, as these exposures are managed through exchange margin requirements.</w:t>
      </w:r>
    </w:p>
    <w:p>
      <w:pPr>
        <w:spacing w:before="300" w:after="160"/>
      </w:pPr>
      <w:r>
        <w:rPr>
          <w:rFonts w:ascii="Times New Roman" w:cs="Times New Roman" w:eastAsia="Times New Roman" w:hAnsi="Times New Roman"/>
          <w:b/>
          <w:bCs/>
          <w:color w:val="2E75B6"/>
          <w:sz w:val="23"/>
          <w:szCs w:val="23"/>
        </w:rPr>
        <w:t xml:space="preserve">2.1 Regulatory Context</w:t>
      </w:r>
    </w:p>
    <w:p>
      <w:pPr>
        <w:spacing w:before="0" w:after="140"/>
      </w:pPr>
      <w:r>
        <w:rPr>
          <w:rFonts w:ascii="Times New Roman" w:cs="Times New Roman" w:eastAsia="Times New Roman" w:hAnsi="Times New Roman"/>
          <w:color w:val="333333"/>
          <w:sz w:val="22"/>
          <w:szCs w:val="22"/>
        </w:rPr>
        <w:t xml:space="preserve">While carbon credit trading in Hong Kong does not currently require a licence under the applicable securities and futures legislation in Hong Kong as confirmed in the Independent Legal Opinion (Ref: CWP/2026/NIHA-001), NIHA voluntarily adopts counterparty risk management practices aligned with:</w:t>
      </w:r>
    </w:p>
    <w:p>
      <w:pPr>
        <w:spacing w:before="0" w:after="140"/>
        <w:ind w:left="360"/>
      </w:pPr>
      <w:r>
        <w:rPr>
          <w:rFonts w:ascii="Times New Roman" w:cs="Times New Roman" w:eastAsia="Times New Roman" w:hAnsi="Times New Roman"/>
          <w:color w:val="333333"/>
          <w:sz w:val="22"/>
          <w:szCs w:val="22"/>
        </w:rPr>
        <w:t xml:space="preserve">• Basel III standardised approach for credit risk;</w:t>
      </w:r>
    </w:p>
    <w:p>
      <w:pPr>
        <w:spacing w:before="0" w:after="140"/>
        <w:ind w:left="360"/>
      </w:pPr>
      <w:r>
        <w:rPr>
          <w:rFonts w:ascii="Times New Roman" w:cs="Times New Roman" w:eastAsia="Times New Roman" w:hAnsi="Times New Roman"/>
          <w:color w:val="333333"/>
          <w:sz w:val="22"/>
          <w:szCs w:val="22"/>
        </w:rPr>
        <w:t xml:space="preserve">• ISDA Credit Support Annex (CSA) principles;</w:t>
      </w:r>
    </w:p>
    <w:p>
      <w:pPr>
        <w:spacing w:before="0" w:after="140"/>
        <w:ind w:left="360"/>
      </w:pPr>
      <w:r>
        <w:rPr>
          <w:rFonts w:ascii="Times New Roman" w:cs="Times New Roman" w:eastAsia="Times New Roman" w:hAnsi="Times New Roman"/>
          <w:color w:val="333333"/>
          <w:sz w:val="22"/>
          <w:szCs w:val="22"/>
        </w:rPr>
        <w:t xml:space="preserve">• Hong Kong Monetary Authority (HKMA) Supervisory Policy Manual CR-G-1 (General Principles of Credit Risk Management);</w:t>
      </w:r>
    </w:p>
    <w:p>
      <w:pPr>
        <w:spacing w:before="0" w:after="140"/>
        <w:ind w:left="360"/>
      </w:pPr>
      <w:r>
        <w:rPr>
          <w:rFonts w:ascii="Times New Roman" w:cs="Times New Roman" w:eastAsia="Times New Roman" w:hAnsi="Times New Roman"/>
          <w:color w:val="333333"/>
          <w:sz w:val="22"/>
          <w:szCs w:val="22"/>
        </w:rPr>
        <w:t xml:space="preserve">• International Carbon Action Partnership (ICAP) best practice guidelines.</w:t>
      </w:r>
    </w:p>
    <w:p>
      <w:r>
        <w:br w:type="page"/>
      </w:r>
    </w:p>
    <w:p>
      <w:pPr>
        <w:spacing w:before="400" w:after="200"/>
      </w:pPr>
      <w:r>
        <w:rPr>
          <w:rFonts w:ascii="Times New Roman" w:cs="Times New Roman" w:eastAsia="Times New Roman" w:hAnsi="Times New Roman"/>
          <w:b/>
          <w:bCs/>
          <w:caps/>
          <w:color w:val="1B2A4A"/>
          <w:sz w:val="26"/>
          <w:szCs w:val="26"/>
        </w:rPr>
        <w:t xml:space="preserve">3. GOVERNANCE AND OVERSIGHT</w:t>
      </w:r>
    </w:p>
    <w:p>
      <w:pPr>
        <w:spacing w:before="300" w:after="160"/>
      </w:pPr>
      <w:r>
        <w:rPr>
          <w:rFonts w:ascii="Times New Roman" w:cs="Times New Roman" w:eastAsia="Times New Roman" w:hAnsi="Times New Roman"/>
          <w:b/>
          <w:bCs/>
          <w:color w:val="2E75B6"/>
          <w:sz w:val="23"/>
          <w:szCs w:val="23"/>
        </w:rPr>
        <w:t xml:space="preserve">3.1 Three Lines of Defence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Line</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Function</w:t>
            </w:r>
          </w:p>
        </w:tc>
        <w:tc>
          <w:tcPr>
            <w:tcW w:type="pct" w:w="6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Responsibility</w:t>
            </w:r>
          </w:p>
        </w:tc>
      </w:tr>
      <w:tr>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1st</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Trading Desk</w:t>
            </w:r>
          </w:p>
        </w:tc>
        <w:tc>
          <w:tcPr>
            <w:tcW w:type="pct" w:w="6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Pre-trade counterparty checks, trade-level exposure monitoring, escalation of limit breaches</w:t>
            </w:r>
          </w:p>
        </w:tc>
      </w:tr>
      <w:tr>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2nd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Risk Management &amp; Compliance</w:t>
            </w:r>
          </w:p>
        </w:tc>
        <w:tc>
          <w:tcPr>
            <w:tcW w:type="pct" w:w="6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Framework design, credit scoring, limit setting, independent monitoring, quarterly reviews</w:t>
            </w:r>
          </w:p>
        </w:tc>
      </w:tr>
      <w:tr>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3rd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Internal Audit / Board</w:t>
            </w:r>
          </w:p>
        </w:tc>
        <w:tc>
          <w:tcPr>
            <w:tcW w:type="pct" w:w="6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Annual framework effectiveness review, policy approval, strategic risk appetite</w:t>
            </w:r>
          </w:p>
        </w:tc>
      </w:tr>
    </w:tbl>
    <w:p>
      <w:pPr>
        <w:spacing w:before="300" w:after="160"/>
      </w:pPr>
      <w:r>
        <w:rPr>
          <w:rFonts w:ascii="Times New Roman" w:cs="Times New Roman" w:eastAsia="Times New Roman" w:hAnsi="Times New Roman"/>
          <w:b/>
          <w:bCs/>
          <w:color w:val="2E75B6"/>
          <w:sz w:val="23"/>
          <w:szCs w:val="23"/>
        </w:rPr>
        <w:t xml:space="preserve">3.2 Risk Management Committee</w:t>
      </w:r>
    </w:p>
    <w:p>
      <w:pPr>
        <w:spacing w:before="0" w:after="140"/>
      </w:pPr>
      <w:r>
        <w:rPr>
          <w:rFonts w:ascii="Times New Roman" w:cs="Times New Roman" w:eastAsia="Times New Roman" w:hAnsi="Times New Roman"/>
          <w:color w:val="333333"/>
          <w:sz w:val="22"/>
          <w:szCs w:val="22"/>
        </w:rPr>
        <w:t xml:space="preserve">The Risk Management Committee ("RMC") comprises the Chief Executive Officer, Chief Risk Officer, Head of Compliance, and Head of Trading. The RMC convenes bi-weekly and has authority to:</w:t>
      </w:r>
    </w:p>
    <w:p>
      <w:pPr>
        <w:spacing w:before="0" w:after="140"/>
        <w:ind w:left="360"/>
      </w:pPr>
      <w:r>
        <w:rPr>
          <w:rFonts w:ascii="Times New Roman" w:cs="Times New Roman" w:eastAsia="Times New Roman" w:hAnsi="Times New Roman"/>
          <w:color w:val="333333"/>
          <w:sz w:val="22"/>
          <w:szCs w:val="22"/>
        </w:rPr>
        <w:t xml:space="preserve">(a) Approve or reject new counterparty onboarding at Tier 2 and above;</w:t>
      </w:r>
    </w:p>
    <w:p>
      <w:pPr>
        <w:spacing w:before="0" w:after="140"/>
        <w:ind w:left="360"/>
      </w:pPr>
      <w:r>
        <w:rPr>
          <w:rFonts w:ascii="Times New Roman" w:cs="Times New Roman" w:eastAsia="Times New Roman" w:hAnsi="Times New Roman"/>
          <w:color w:val="333333"/>
          <w:sz w:val="22"/>
          <w:szCs w:val="22"/>
        </w:rPr>
        <w:t xml:space="preserve">(b) Set and modify individual and aggregate exposure limits;</w:t>
      </w:r>
    </w:p>
    <w:p>
      <w:pPr>
        <w:spacing w:before="0" w:after="140"/>
        <w:ind w:left="360"/>
      </w:pPr>
      <w:r>
        <w:rPr>
          <w:rFonts w:ascii="Times New Roman" w:cs="Times New Roman" w:eastAsia="Times New Roman" w:hAnsi="Times New Roman"/>
          <w:color w:val="333333"/>
          <w:sz w:val="22"/>
          <w:szCs w:val="22"/>
        </w:rPr>
        <w:t xml:space="preserve">(c) Place counterparties on watchlist or suspend trading privileges;</w:t>
      </w:r>
    </w:p>
    <w:p>
      <w:pPr>
        <w:spacing w:before="0" w:after="140"/>
        <w:ind w:left="360"/>
      </w:pPr>
      <w:r>
        <w:rPr>
          <w:rFonts w:ascii="Times New Roman" w:cs="Times New Roman" w:eastAsia="Times New Roman" w:hAnsi="Times New Roman"/>
          <w:color w:val="333333"/>
          <w:sz w:val="22"/>
          <w:szCs w:val="22"/>
        </w:rPr>
        <w:t xml:space="preserve">(d) Approve collateral calls and margin requirements;</w:t>
      </w:r>
    </w:p>
    <w:p>
      <w:pPr>
        <w:spacing w:before="0" w:after="140"/>
        <w:ind w:left="360"/>
      </w:pPr>
      <w:r>
        <w:rPr>
          <w:rFonts w:ascii="Times New Roman" w:cs="Times New Roman" w:eastAsia="Times New Roman" w:hAnsi="Times New Roman"/>
          <w:color w:val="333333"/>
          <w:sz w:val="22"/>
          <w:szCs w:val="22"/>
        </w:rPr>
        <w:t xml:space="preserve">(e) Review and approve stress testing results and scenario analyses.</w:t>
      </w:r>
    </w:p>
    <w:p>
      <w:pPr>
        <w:spacing w:before="300" w:after="160"/>
      </w:pPr>
      <w:r>
        <w:rPr>
          <w:rFonts w:ascii="Times New Roman" w:cs="Times New Roman" w:eastAsia="Times New Roman" w:hAnsi="Times New Roman"/>
          <w:b/>
          <w:bCs/>
          <w:color w:val="2E75B6"/>
          <w:sz w:val="23"/>
          <w:szCs w:val="23"/>
        </w:rPr>
        <w:t xml:space="preserve">3.3 Delegated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Decision</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Authority</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Limit</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New Tier 3 counterparty approval</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Head of Trading</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&lt; EUR 100,000 exposure</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New Tier 2 counterparty approval</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RMC</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&lt; EUR 1,000,000 exposure</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New Tier 1 counterparty approval</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Board of Directors</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 EUR 1,000,000 exposure</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Temporary limit increase (14 days)</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CRO</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Up to 20% over approved limit</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Watchlist placement</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CRO</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Immediate effect</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Trading suspension</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RMC</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Immediate effect</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Collateral call &gt; EUR 250K</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RMC</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Within 2 business days</w:t>
            </w:r>
          </w:p>
        </w:tc>
      </w:tr>
    </w:tbl>
    <w:p>
      <w:r>
        <w:br w:type="page"/>
      </w:r>
    </w:p>
    <w:p>
      <w:pPr>
        <w:spacing w:before="400" w:after="200"/>
      </w:pPr>
      <w:r>
        <w:rPr>
          <w:rFonts w:ascii="Times New Roman" w:cs="Times New Roman" w:eastAsia="Times New Roman" w:hAnsi="Times New Roman"/>
          <w:b/>
          <w:bCs/>
          <w:caps/>
          <w:color w:val="1B2A4A"/>
          <w:sz w:val="26"/>
          <w:szCs w:val="26"/>
        </w:rPr>
        <w:t xml:space="preserve">4. COUNTERPARTY CLASSIFICATION METHODOLOGY</w:t>
      </w:r>
    </w:p>
    <w:p>
      <w:pPr>
        <w:spacing w:before="0" w:after="140"/>
      </w:pPr>
      <w:r>
        <w:rPr>
          <w:rFonts w:ascii="Times New Roman" w:cs="Times New Roman" w:eastAsia="Times New Roman" w:hAnsi="Times New Roman"/>
          <w:color w:val="333333"/>
          <w:sz w:val="22"/>
          <w:szCs w:val="22"/>
        </w:rPr>
        <w:t xml:space="preserve">All counterparties are classified into one of four tiers based on their credit profile, trading volume, and strategic importance. Tier classification determines due diligence requirements, exposure limits, collateral requirements, and monitoring frequency.</w:t>
      </w:r>
    </w:p>
    <w:p>
      <w:pPr>
        <w:spacing w:before="300" w:after="160"/>
      </w:pPr>
      <w:r>
        <w:rPr>
          <w:rFonts w:ascii="Times New Roman" w:cs="Times New Roman" w:eastAsia="Times New Roman" w:hAnsi="Times New Roman"/>
          <w:b/>
          <w:bCs/>
          <w:color w:val="2E75B6"/>
          <w:sz w:val="23"/>
          <w:szCs w:val="23"/>
        </w:rPr>
        <w:t xml:space="preserve">4.1 Tier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w:t>
            </w:r>
          </w:p>
        </w:tc>
        <w:tc>
          <w:tcPr>
            <w:tcW w:type="pct" w:w="2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Classification</w:t>
            </w:r>
          </w:p>
        </w:tc>
        <w:tc>
          <w:tcPr>
            <w:tcW w:type="pct" w:w="4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Criteria</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Exposure Limit</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Collateral</w:t>
            </w:r>
          </w:p>
        </w:tc>
      </w:tr>
      <w:tr>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1</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Strategic / Prime</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Credit score ≥ 80; regulated entity or investment-grade rated; active for &gt; 12 months; no adverse history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2.5M</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r>
      <w:tr>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Standard</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Credit score 65–79; established entity; satisfactory KYC; no material adverse events</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1.0M</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10%</w:t>
            </w:r>
          </w:p>
        </w:tc>
      </w:tr>
      <w:tr>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3</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Restricted</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Credit score 50–64; new relationship; limited financial history; higher-risk jurisdiction</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250K</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25%</w:t>
            </w:r>
          </w:p>
        </w:tc>
      </w:tr>
      <w:tr>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C0392B"/>
                <w:sz w:val="18"/>
                <w:szCs w:val="18"/>
              </w:rPr>
              <w:t xml:space="preserve">4</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Watchlist</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Credit score &lt; 50; adverse event trigger; payment default; sanctions proximity; pending investigation</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0 (wind down)</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100%</w:t>
            </w:r>
          </w:p>
        </w:tc>
      </w:tr>
    </w:tbl>
    <w:p>
      <w:pPr>
        <w:spacing w:before="300" w:after="160"/>
      </w:pPr>
      <w:r>
        <w:rPr>
          <w:rFonts w:ascii="Times New Roman" w:cs="Times New Roman" w:eastAsia="Times New Roman" w:hAnsi="Times New Roman"/>
          <w:b/>
          <w:bCs/>
          <w:color w:val="2E75B6"/>
          <w:sz w:val="23"/>
          <w:szCs w:val="23"/>
        </w:rPr>
        <w:t xml:space="preserve">4.2 Current Portfolio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Count</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 of Portfolio</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Gross Exposure</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 of Total</w:t>
            </w:r>
          </w:p>
        </w:tc>
      </w:tr>
      <w:tr>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Tier 1 — Strategic</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22%</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4,280,000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50.5%</w:t>
            </w:r>
          </w:p>
        </w:tc>
      </w:tr>
      <w:tr>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Tier 2 — Standard</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9</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3,190,000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37.7%</w:t>
            </w:r>
          </w:p>
        </w:tc>
      </w:tr>
      <w:tr>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Tier 3 — Restricted</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22%</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840,000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9.9%</w:t>
            </w:r>
          </w:p>
        </w:tc>
      </w:tr>
      <w:tr>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Tier 4 — Watchlist</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160,000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1.9%</w:t>
            </w:r>
          </w:p>
        </w:tc>
      </w:tr>
      <w:tr>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B2A4A"/>
                <w:sz w:val="18"/>
                <w:szCs w:val="18"/>
              </w:rPr>
              <w:t xml:space="preserve">TOTAL</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18</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100%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EUR 8,470,000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100%</w:t>
            </w:r>
          </w:p>
        </w:tc>
      </w:tr>
    </w:tbl>
    <w:p>
      <w:r>
        <w:br w:type="page"/>
      </w:r>
    </w:p>
    <w:p>
      <w:pPr>
        <w:spacing w:before="400" w:after="200"/>
      </w:pPr>
      <w:r>
        <w:rPr>
          <w:rFonts w:ascii="Times New Roman" w:cs="Times New Roman" w:eastAsia="Times New Roman" w:hAnsi="Times New Roman"/>
          <w:b/>
          <w:bCs/>
          <w:caps/>
          <w:color w:val="1B2A4A"/>
          <w:sz w:val="26"/>
          <w:szCs w:val="26"/>
        </w:rPr>
        <w:t xml:space="preserve">5. CREDIT RISK SCORING MODEL</w:t>
      </w:r>
    </w:p>
    <w:p>
      <w:pPr>
        <w:spacing w:before="0" w:after="140"/>
      </w:pPr>
      <w:r>
        <w:rPr>
          <w:rFonts w:ascii="Times New Roman" w:cs="Times New Roman" w:eastAsia="Times New Roman" w:hAnsi="Times New Roman"/>
          <w:color w:val="333333"/>
          <w:sz w:val="22"/>
          <w:szCs w:val="22"/>
        </w:rPr>
        <w:t xml:space="preserve">NIHA employs a proprietary credit scoring model (the "NIHA-CRS Model") that assigns a composite score of 0–100 to each counterparty. The model comprises five weighted pillars:</w:t>
      </w:r>
    </w:p>
    <w:p>
      <w:pPr>
        <w:spacing w:before="300" w:after="160"/>
      </w:pPr>
      <w:r>
        <w:rPr>
          <w:rFonts w:ascii="Times New Roman" w:cs="Times New Roman" w:eastAsia="Times New Roman" w:hAnsi="Times New Roman"/>
          <w:b/>
          <w:bCs/>
          <w:color w:val="2E75B6"/>
          <w:sz w:val="23"/>
          <w:szCs w:val="23"/>
        </w:rPr>
        <w:t xml:space="preserve">5.1 Scoring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Pillar</w:t>
            </w:r>
          </w:p>
        </w:tc>
        <w:tc>
          <w:tcPr>
            <w:tcW w:type="pct" w:w="22%"/>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Category</w:t>
            </w:r>
          </w:p>
        </w:tc>
        <w:tc>
          <w:tcPr>
            <w:tcW w:type="pct" w:w="1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Weight</w:t>
            </w:r>
          </w:p>
        </w:tc>
        <w:tc>
          <w:tcPr>
            <w:tcW w:type="pct" w:w="6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Factors Assessed</w:t>
            </w:r>
          </w:p>
        </w:tc>
      </w:tr>
      <w:tr>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A</w:t>
            </w:r>
          </w:p>
        </w:tc>
        <w:tc>
          <w:tcPr>
            <w:tcW w:type="pct" w:w="2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Financial Strength</w:t>
            </w:r>
          </w:p>
        </w:tc>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30%</w:t>
            </w:r>
          </w:p>
        </w:tc>
        <w:tc>
          <w:tcPr>
            <w:tcW w:type="pct" w:w="6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Revenue, EBITDA, net assets, leverage ratio, liquidity ratio, external credit rating (if available), auditor opinion</w:t>
            </w:r>
          </w:p>
        </w:tc>
      </w:tr>
      <w:tr>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B</w:t>
            </w:r>
          </w:p>
        </w:tc>
        <w:tc>
          <w:tcPr>
            <w:tcW w:type="pct" w:w="2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Operational Track Record</w:t>
            </w:r>
          </w:p>
        </w:tc>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20%</w:t>
            </w:r>
          </w:p>
        </w:tc>
        <w:tc>
          <w:tcPr>
            <w:tcW w:type="pct" w:w="6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Years in operation, carbon market experience, registry account status, settlement history, trade volume consistency</w:t>
            </w:r>
          </w:p>
        </w:tc>
      </w:tr>
      <w:tr>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C</w:t>
            </w:r>
          </w:p>
        </w:tc>
        <w:tc>
          <w:tcPr>
            <w:tcW w:type="pct" w:w="2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Regulatory &amp; Compliance</w:t>
            </w:r>
          </w:p>
        </w:tc>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20%</w:t>
            </w:r>
          </w:p>
        </w:tc>
        <w:tc>
          <w:tcPr>
            <w:tcW w:type="pct" w:w="6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Regulatory status, AML/KYC compliance, sanctions screening (World-Check), adverse media, PEP status, litigation history</w:t>
            </w:r>
          </w:p>
        </w:tc>
      </w:tr>
      <w:tr>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D</w:t>
            </w:r>
          </w:p>
        </w:tc>
        <w:tc>
          <w:tcPr>
            <w:tcW w:type="pct" w:w="2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Jurisdiction Risk</w:t>
            </w:r>
          </w:p>
        </w:tc>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15%</w:t>
            </w:r>
          </w:p>
        </w:tc>
        <w:tc>
          <w:tcPr>
            <w:tcW w:type="pct" w:w="6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Country risk rating (FATF/Basel AML Index), political stability, legal enforceability, capital controls, EU adequacy</w:t>
            </w:r>
          </w:p>
        </w:tc>
      </w:tr>
      <w:tr>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E</w:t>
            </w:r>
          </w:p>
        </w:tc>
        <w:tc>
          <w:tcPr>
            <w:tcW w:type="pct" w:w="2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Relationship Quality</w:t>
            </w:r>
          </w:p>
        </w:tc>
        <w:tc>
          <w:tcPr>
            <w:tcW w:type="pct" w:w="1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15%</w:t>
            </w:r>
          </w:p>
        </w:tc>
        <w:tc>
          <w:tcPr>
            <w:tcW w:type="pct" w:w="6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Payment punctuality, dispute frequency, documentation compliance, communication quality, willingness to provide information</w:t>
            </w:r>
          </w:p>
        </w:tc>
      </w:tr>
    </w:tbl>
    <w:p>
      <w:pPr>
        <w:spacing w:before="300" w:after="160"/>
      </w:pPr>
      <w:r>
        <w:rPr>
          <w:rFonts w:ascii="Times New Roman" w:cs="Times New Roman" w:eastAsia="Times New Roman" w:hAnsi="Times New Roman"/>
          <w:b/>
          <w:bCs/>
          <w:color w:val="2E75B6"/>
          <w:sz w:val="23"/>
          <w:szCs w:val="23"/>
        </w:rPr>
        <w:t xml:space="preserve">5.2 Score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Range</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Grade</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Classification</w:t>
            </w:r>
          </w:p>
        </w:tc>
        <w:tc>
          <w:tcPr>
            <w:tcW w:type="pct" w:w="4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Approval Level</w:t>
            </w:r>
          </w:p>
        </w:tc>
      </w:tr>
      <w:tr>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85–100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A+</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Excellent</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Auto-approve at Tier 1; Head of Trading authority</w:t>
            </w:r>
          </w:p>
        </w:tc>
      </w:tr>
      <w:tr>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75–84</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A</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Strong</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Tier 1 eligible; CRO approval</w:t>
            </w:r>
          </w:p>
        </w:tc>
      </w:tr>
      <w:tr>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65–74</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B+</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Adequate</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Tier 2; RMC approval required</w:t>
            </w:r>
          </w:p>
        </w:tc>
      </w:tr>
      <w:tr>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55–64</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B</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Marginal</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Tier 3; RMC + enhanced monitoring</w:t>
            </w:r>
          </w:p>
        </w:tc>
      </w:tr>
      <w:tr>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40–54</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C</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Weak</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Tier 3 restricted; Board notification</w:t>
            </w:r>
          </w:p>
        </w:tc>
      </w:tr>
      <w:tr>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Below 40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C0392B"/>
                <w:sz w:val="18"/>
                <w:szCs w:val="18"/>
              </w:rPr>
              <w:t xml:space="preserve">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Unacceptable</w:t>
            </w:r>
          </w:p>
        </w:tc>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Decline / Tier 4 watchlist / Terminate</w:t>
            </w:r>
          </w:p>
        </w:tc>
      </w:tr>
    </w:tbl>
    <w:p>
      <w:r>
        <w:br w:type="page"/>
      </w:r>
    </w:p>
    <w:p>
      <w:pPr>
        <w:spacing w:before="400" w:after="200"/>
      </w:pPr>
      <w:r>
        <w:rPr>
          <w:rFonts w:ascii="Times New Roman" w:cs="Times New Roman" w:eastAsia="Times New Roman" w:hAnsi="Times New Roman"/>
          <w:b/>
          <w:bCs/>
          <w:caps/>
          <w:color w:val="1B2A4A"/>
          <w:sz w:val="26"/>
          <w:szCs w:val="26"/>
        </w:rPr>
        <w:t xml:space="preserve">6. DUE DILIGENCE REQUIREMENTS BY TIER</w:t>
      </w:r>
    </w:p>
    <w:p>
      <w:pPr>
        <w:spacing w:before="0" w:after="140"/>
      </w:pPr>
      <w:r>
        <w:rPr>
          <w:rFonts w:ascii="Times New Roman" w:cs="Times New Roman" w:eastAsia="Times New Roman" w:hAnsi="Times New Roman"/>
          <w:color w:val="333333"/>
          <w:sz w:val="22"/>
          <w:szCs w:val="22"/>
        </w:rPr>
        <w:t xml:space="preserve">The depth and frequency of due diligence is calibrated to the counterparty's tier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Due Diligence Element</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 1</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 2</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 3</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 4</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Certificate of Incorporation</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UBO identification (&gt;25%)</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Sanctions &amp; PEP screening</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Audited financial statements (3 years)</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N/A</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Bank reference letter</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Optional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Trade reference (2 counterparties)</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Optional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N/A</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Site visit / video conference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Annual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Annual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Semi-annual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Monthly</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Enhanced source-of-funds review</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No</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No</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Independent credit report (D&amp;B/Experian)</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Annual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Annual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Semi-annual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Quarterly</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Board-level approval required</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Yes</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RMC</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RMC</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Board</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Review frequency</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Annual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Semi-annual</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Quarterly</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Monthly</w:t>
            </w:r>
          </w:p>
        </w:tc>
      </w:tr>
    </w:tbl>
    <w:p>
      <w:r>
        <w:br w:type="page"/>
      </w:r>
    </w:p>
    <w:p>
      <w:pPr>
        <w:spacing w:before="400" w:after="200"/>
      </w:pPr>
      <w:r>
        <w:rPr>
          <w:rFonts w:ascii="Times New Roman" w:cs="Times New Roman" w:eastAsia="Times New Roman" w:hAnsi="Times New Roman"/>
          <w:b/>
          <w:bCs/>
          <w:caps/>
          <w:color w:val="1B2A4A"/>
          <w:sz w:val="26"/>
          <w:szCs w:val="26"/>
        </w:rPr>
        <w:t xml:space="preserve">7. EXPOSURE LIMITS AND CONCENTRATION RISK</w:t>
      </w:r>
    </w:p>
    <w:p>
      <w:pPr>
        <w:spacing w:before="300" w:after="160"/>
      </w:pPr>
      <w:r>
        <w:rPr>
          <w:rFonts w:ascii="Times New Roman" w:cs="Times New Roman" w:eastAsia="Times New Roman" w:hAnsi="Times New Roman"/>
          <w:b/>
          <w:bCs/>
          <w:color w:val="2E75B6"/>
          <w:sz w:val="23"/>
          <w:szCs w:val="23"/>
        </w:rPr>
        <w:t xml:space="preserve">7.1 Individual Counterparty Limits</w:t>
      </w:r>
    </w:p>
    <w:p>
      <w:pPr>
        <w:spacing w:before="0" w:after="140"/>
      </w:pPr>
      <w:r>
        <w:rPr>
          <w:rFonts w:ascii="Times New Roman" w:cs="Times New Roman" w:eastAsia="Times New Roman" w:hAnsi="Times New Roman"/>
          <w:color w:val="333333"/>
          <w:sz w:val="22"/>
          <w:szCs w:val="22"/>
        </w:rPr>
        <w:t xml:space="preserve">Maximum exposure to any single counterparty is determined by tier classification and may not exceed the Board-approved limits without explicit RMC authorisation: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Limit Type</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 1</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 2</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 3</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 4</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Maximum gross exposure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2.5M</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1.0M</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250K</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0</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Maximum % of total portfolio</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25%</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15%</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Maximum unsecured exposure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2.5M</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900K</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187.5K</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0</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Maximum forward/deferred exposure</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1.5M</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500K</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100K</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0</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Maximum settlement period</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T+5</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T+3</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T+2 (DVP)</w:t>
            </w:r>
          </w:p>
        </w:tc>
        <w:tc>
          <w:tcPr>
            <w:tcW w:type="pct" w:w="16%"/>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Prepay</w:t>
            </w:r>
          </w:p>
        </w:tc>
      </w:tr>
    </w:tbl>
    <w:p>
      <w:pPr>
        <w:spacing w:before="300" w:after="160"/>
      </w:pPr>
      <w:r>
        <w:rPr>
          <w:rFonts w:ascii="Times New Roman" w:cs="Times New Roman" w:eastAsia="Times New Roman" w:hAnsi="Times New Roman"/>
          <w:b/>
          <w:bCs/>
          <w:color w:val="2E75B6"/>
          <w:sz w:val="23"/>
          <w:szCs w:val="23"/>
        </w:rPr>
        <w:t xml:space="preserve">7.2 Concentration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Concentration Dimension</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Limit</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Current</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Single counterparty</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 25% of total portfolio</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21.7% (Greenfield Carbon)</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Single jurisdiction</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 40% of total portfolio</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34.2% (Germany)</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Single industry sector</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 50% of total portfolio</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38.6% (Energy/Utilities)</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Top 3 counterparties combined</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 60% of total portfolio</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52.1%</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Connected counterparties</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 30% of total portfolio</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14.8%</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Tier 3 aggregate exposure</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 15% of total portfolio</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9.9%</w:t>
            </w:r>
          </w:p>
        </w:tc>
      </w:tr>
    </w:tbl>
    <w:p>
      <w:r>
        <w:br w:type="page"/>
      </w:r>
    </w:p>
    <w:p>
      <w:pPr>
        <w:spacing w:before="400" w:after="200"/>
      </w:pPr>
      <w:r>
        <w:rPr>
          <w:rFonts w:ascii="Times New Roman" w:cs="Times New Roman" w:eastAsia="Times New Roman" w:hAnsi="Times New Roman"/>
          <w:b/>
          <w:bCs/>
          <w:caps/>
          <w:color w:val="1B2A4A"/>
          <w:sz w:val="26"/>
          <w:szCs w:val="26"/>
        </w:rPr>
        <w:t xml:space="preserve">8. COLLATERAL AND MARGIN REQUIREMENTS</w:t>
      </w:r>
    </w:p>
    <w:p>
      <w:pPr>
        <w:spacing w:before="300" w:after="160"/>
      </w:pPr>
      <w:r>
        <w:rPr>
          <w:rFonts w:ascii="Times New Roman" w:cs="Times New Roman" w:eastAsia="Times New Roman" w:hAnsi="Times New Roman"/>
          <w:b/>
          <w:bCs/>
          <w:color w:val="2E75B6"/>
          <w:sz w:val="23"/>
          <w:szCs w:val="23"/>
        </w:rPr>
        <w:t xml:space="preserve">8.1 Eligible Collateral</w:t>
      </w:r>
    </w:p>
    <w:p>
      <w:pPr>
        <w:spacing w:before="0" w:after="140"/>
      </w:pPr>
      <w:r>
        <w:rPr>
          <w:rFonts w:ascii="Times New Roman" w:cs="Times New Roman" w:eastAsia="Times New Roman" w:hAnsi="Times New Roman"/>
          <w:color w:val="333333"/>
          <w:sz w:val="22"/>
          <w:szCs w:val="22"/>
        </w:rPr>
        <w:t xml:space="preserve">NIHA accepts the following forms of collateral from counterparties: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Collateral Type</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Haircut</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Valuation Frequency</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Notes</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Cash (EUR, USD, CNY)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Real-time</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Held in segregated client account at HSBC / Bank of China</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EUA held in EUTL</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Daily (ICE Endex close)</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Must be free of encumbrance; NIHA must have transfer authority</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CEA held in CEEX</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Daily (CEEX close)</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Subject to SAFE transfer restrictions; higher haircut reflects liquidity risk</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Bank guarantee / standby LC</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At issuance / renewal</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Must be from approved financial institution (min BBB+ rated)</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VCC / CER credits</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Weekly</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Only Gold Standard or Verra-verified; vintage &lt; 3 years</w:t>
            </w:r>
          </w:p>
        </w:tc>
      </w:tr>
    </w:tbl>
    <w:p>
      <w:pPr>
        <w:spacing w:before="300" w:after="160"/>
      </w:pPr>
      <w:r>
        <w:rPr>
          <w:rFonts w:ascii="Times New Roman" w:cs="Times New Roman" w:eastAsia="Times New Roman" w:hAnsi="Times New Roman"/>
          <w:b/>
          <w:bCs/>
          <w:color w:val="2E75B6"/>
          <w:sz w:val="23"/>
          <w:szCs w:val="23"/>
        </w:rPr>
        <w:t xml:space="preserve">8.2 Margin Call Mechanics</w:t>
      </w:r>
    </w:p>
    <w:p>
      <w:pPr>
        <w:spacing w:before="0" w:after="140"/>
      </w:pPr>
      <w:r>
        <w:rPr>
          <w:rFonts w:ascii="Times New Roman" w:cs="Times New Roman" w:eastAsia="Times New Roman" w:hAnsi="Times New Roman"/>
          <w:color w:val="333333"/>
          <w:sz w:val="22"/>
          <w:szCs w:val="22"/>
        </w:rPr>
        <w:t xml:space="preserve">Where a counterparty's net exposure exceeds the applicable unsecured threshold:</w:t>
      </w:r>
    </w:p>
    <w:p>
      <w:pPr>
        <w:spacing w:before="0" w:after="140"/>
        <w:ind w:left="360"/>
      </w:pPr>
      <w:r>
        <w:rPr>
          <w:rFonts w:ascii="Times New Roman" w:cs="Times New Roman" w:eastAsia="Times New Roman" w:hAnsi="Times New Roman"/>
          <w:color w:val="333333"/>
          <w:sz w:val="22"/>
          <w:szCs w:val="22"/>
        </w:rPr>
        <w:t xml:space="preserve">(a) NIHA issues a margin call notice via email to the designated credit contact;</w:t>
      </w:r>
    </w:p>
    <w:p>
      <w:pPr>
        <w:spacing w:before="0" w:after="140"/>
        <w:ind w:left="360"/>
      </w:pPr>
      <w:r>
        <w:rPr>
          <w:rFonts w:ascii="Times New Roman" w:cs="Times New Roman" w:eastAsia="Times New Roman" w:hAnsi="Times New Roman"/>
          <w:color w:val="333333"/>
          <w:sz w:val="22"/>
          <w:szCs w:val="22"/>
        </w:rPr>
        <w:t xml:space="preserve">(b) The counterparty must deliver eligible collateral within 2 business days;</w:t>
      </w:r>
    </w:p>
    <w:p>
      <w:pPr>
        <w:spacing w:before="0" w:after="140"/>
        <w:ind w:left="360"/>
      </w:pPr>
      <w:r>
        <w:rPr>
          <w:rFonts w:ascii="Times New Roman" w:cs="Times New Roman" w:eastAsia="Times New Roman" w:hAnsi="Times New Roman"/>
          <w:color w:val="333333"/>
          <w:sz w:val="22"/>
          <w:szCs w:val="22"/>
        </w:rPr>
        <w:t xml:space="preserve">(c) Failure to deliver triggers an Event of Default under the Master Service Agreement (Article 14);</w:t>
      </w:r>
    </w:p>
    <w:p>
      <w:pPr>
        <w:spacing w:before="0" w:after="140"/>
        <w:ind w:left="360"/>
      </w:pPr>
      <w:r>
        <w:rPr>
          <w:rFonts w:ascii="Times New Roman" w:cs="Times New Roman" w:eastAsia="Times New Roman" w:hAnsi="Times New Roman"/>
          <w:color w:val="333333"/>
          <w:sz w:val="22"/>
          <w:szCs w:val="22"/>
        </w:rPr>
        <w:t xml:space="preserve">(d) NIHA may suspend new trades and exercise close-out netting rights under Article 14.3 of the MSA.</w:t>
      </w:r>
    </w:p>
    <w:p>
      <w:pPr>
        <w:spacing w:before="300" w:after="160"/>
      </w:pPr>
      <w:r>
        <w:rPr>
          <w:rFonts w:ascii="Times New Roman" w:cs="Times New Roman" w:eastAsia="Times New Roman" w:hAnsi="Times New Roman"/>
          <w:b/>
          <w:bCs/>
          <w:color w:val="2E75B6"/>
          <w:sz w:val="23"/>
          <w:szCs w:val="23"/>
        </w:rPr>
        <w:t xml:space="preserve">8.3 Current Collateral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Collateral Type</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Amount Held</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Haircut Value</w:t>
            </w:r>
          </w:p>
        </w:tc>
        <w:tc>
          <w:tcPr>
            <w:tcW w:type="pct" w:w="2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 of Total</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Cash collateral (EUR)</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1,450,000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1,450,000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44.7%</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Cash collateral (CNY equiv.)</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680,000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680,000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21.0%</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EUA pledged</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820,000 (mkt)</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697,000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21.5%</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Bank guarantee (HSBC HK)</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500,000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EUR 475,000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14.7%</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TOTAL</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EUR 3,450,000</w:t>
            </w:r>
          </w:p>
        </w:tc>
        <w:tc>
          <w:tcPr>
            <w:tcW w:type="pct" w:w="2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EUR 3,302,000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100%</w:t>
            </w:r>
          </w:p>
        </w:tc>
      </w:tr>
    </w:tbl>
    <w:p>
      <w:pPr>
        <w:spacing w:before="200" w:after="140"/>
      </w:pPr>
      <w:r>
        <w:rPr>
          <w:rFonts w:ascii="Times New Roman" w:cs="Times New Roman" w:eastAsia="Times New Roman" w:hAnsi="Times New Roman"/>
          <w:b/>
          <w:bCs/>
          <w:color w:val="1B2A4A"/>
          <w:sz w:val="22"/>
          <w:szCs w:val="22"/>
        </w:rPr>
        <w:t xml:space="preserve">Net exposure after collateral: EUR 8,470,000 − EUR 3,302,000 = EUR 5,168,000</w:t>
      </w:r>
    </w:p>
    <w:p>
      <w:r>
        <w:br w:type="page"/>
      </w:r>
    </w:p>
    <w:p>
      <w:pPr>
        <w:spacing w:before="400" w:after="200"/>
      </w:pPr>
      <w:r>
        <w:rPr>
          <w:rFonts w:ascii="Times New Roman" w:cs="Times New Roman" w:eastAsia="Times New Roman" w:hAnsi="Times New Roman"/>
          <w:b/>
          <w:bCs/>
          <w:caps/>
          <w:color w:val="1B2A4A"/>
          <w:sz w:val="26"/>
          <w:szCs w:val="26"/>
        </w:rPr>
        <w:t xml:space="preserve">9. ONGOING MONITORING AND REVIEW</w:t>
      </w:r>
    </w:p>
    <w:p>
      <w:pPr>
        <w:spacing w:before="300" w:after="160"/>
      </w:pPr>
      <w:r>
        <w:rPr>
          <w:rFonts w:ascii="Times New Roman" w:cs="Times New Roman" w:eastAsia="Times New Roman" w:hAnsi="Times New Roman"/>
          <w:b/>
          <w:bCs/>
          <w:color w:val="2E75B6"/>
          <w:sz w:val="23"/>
          <w:szCs w:val="23"/>
        </w:rPr>
        <w:t xml:space="preserve">9.1 Real-Time Monitoring</w:t>
      </w:r>
    </w:p>
    <w:p>
      <w:pPr>
        <w:spacing w:before="0" w:after="140"/>
      </w:pPr>
      <w:r>
        <w:rPr>
          <w:rFonts w:ascii="Times New Roman" w:cs="Times New Roman" w:eastAsia="Times New Roman" w:hAnsi="Times New Roman"/>
          <w:color w:val="333333"/>
          <w:sz w:val="22"/>
          <w:szCs w:val="22"/>
        </w:rPr>
        <w:t xml:space="preserve">The following metrics are monitored on a real-time or daily basis through the NIHA Risk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Metric</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Frequency</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Alert Threshold</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Action</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Gross exposure per counterparty</w:t>
            </w:r>
          </w:p>
        </w:tc>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Real-time</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&gt; 80% of limit</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Yellow alert; notify Head of Trading</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Aggregate portfolio exposure</w:t>
            </w:r>
          </w:p>
        </w:tc>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Real-time</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&gt; 75% of aggregate limit</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Yellow alert; notify CRO</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Settlement fails (T+)</w:t>
            </w:r>
          </w:p>
        </w:tc>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Daily</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Any T+3 fail</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Escalate to RMC; consider limit reduction</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Collateral adequacy</w:t>
            </w:r>
          </w:p>
        </w:tc>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Daily</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Coverage &lt; required %</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Trigger margin call</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Sanctions / adverse media</w:t>
            </w:r>
          </w:p>
        </w:tc>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Daily</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Any positive match</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Immediate trading freeze; escalate to Compliance</w:t>
            </w:r>
          </w:p>
        </w:tc>
      </w:tr>
      <w:tr>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Market value of carbon collateral</w:t>
            </w:r>
          </w:p>
        </w:tc>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Daily</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&gt; 10% daily decline</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Revalue; issue margin top-up if needed</w:t>
            </w:r>
          </w:p>
        </w:tc>
      </w:tr>
    </w:tbl>
    <w:p>
      <w:pPr>
        <w:spacing w:before="300" w:after="160"/>
      </w:pPr>
      <w:r>
        <w:rPr>
          <w:rFonts w:ascii="Times New Roman" w:cs="Times New Roman" w:eastAsia="Times New Roman" w:hAnsi="Times New Roman"/>
          <w:b/>
          <w:bCs/>
          <w:color w:val="2E75B6"/>
          <w:sz w:val="23"/>
          <w:szCs w:val="23"/>
        </w:rPr>
        <w:t xml:space="preserve">9.2 Periodic Reviews</w:t>
      </w:r>
    </w:p>
    <w:p>
      <w:pPr>
        <w:spacing w:before="0" w:after="140"/>
      </w:pPr>
      <w:r>
        <w:rPr>
          <w:rFonts w:ascii="Times New Roman" w:cs="Times New Roman" w:eastAsia="Times New Roman" w:hAnsi="Times New Roman"/>
          <w:color w:val="333333"/>
          <w:sz w:val="22"/>
          <w:szCs w:val="22"/>
        </w:rPr>
        <w:t xml:space="preserve">In addition to real-time monitoring, the following scheduled reviews are conducted:</w:t>
      </w:r>
    </w:p>
    <w:p>
      <w:pPr>
        <w:spacing w:before="0" w:after="140"/>
        <w:ind w:left="360"/>
      </w:pPr>
      <w:r>
        <w:rPr>
          <w:rFonts w:ascii="Times New Roman" w:cs="Times New Roman" w:eastAsia="Times New Roman" w:hAnsi="Times New Roman"/>
          <w:color w:val="333333"/>
          <w:sz w:val="22"/>
          <w:szCs w:val="22"/>
        </w:rPr>
        <w:t xml:space="preserve">• Monthly: Portfolio-level exposure report to CEO and CFO;</w:t>
      </w:r>
    </w:p>
    <w:p>
      <w:pPr>
        <w:spacing w:before="0" w:after="140"/>
        <w:ind w:left="360"/>
      </w:pPr>
      <w:r>
        <w:rPr>
          <w:rFonts w:ascii="Times New Roman" w:cs="Times New Roman" w:eastAsia="Times New Roman" w:hAnsi="Times New Roman"/>
          <w:color w:val="333333"/>
          <w:sz w:val="22"/>
          <w:szCs w:val="22"/>
        </w:rPr>
        <w:t xml:space="preserve">• Quarterly: Full counterparty credit score refresh (NIHA-CRS Model re-run);</w:t>
      </w:r>
    </w:p>
    <w:p>
      <w:pPr>
        <w:spacing w:before="0" w:after="140"/>
        <w:ind w:left="360"/>
      </w:pPr>
      <w:r>
        <w:rPr>
          <w:rFonts w:ascii="Times New Roman" w:cs="Times New Roman" w:eastAsia="Times New Roman" w:hAnsi="Times New Roman"/>
          <w:color w:val="333333"/>
          <w:sz w:val="22"/>
          <w:szCs w:val="22"/>
        </w:rPr>
        <w:t xml:space="preserve">• Semi-annually: Tier 2 comprehensive review including financial statement analysis;</w:t>
      </w:r>
    </w:p>
    <w:p>
      <w:pPr>
        <w:spacing w:before="0" w:after="140"/>
        <w:ind w:left="360"/>
      </w:pPr>
      <w:r>
        <w:rPr>
          <w:rFonts w:ascii="Times New Roman" w:cs="Times New Roman" w:eastAsia="Times New Roman" w:hAnsi="Times New Roman"/>
          <w:color w:val="333333"/>
          <w:sz w:val="22"/>
          <w:szCs w:val="22"/>
        </w:rPr>
        <w:t xml:space="preserve">• Annually: Full framework review by Internal Audit; Board-level risk appetite confirmation.</w:t>
      </w:r>
    </w:p>
    <w:p>
      <w:r>
        <w:br w:type="page"/>
      </w:r>
    </w:p>
    <w:p>
      <w:pPr>
        <w:spacing w:before="400" w:after="200"/>
      </w:pPr>
      <w:r>
        <w:rPr>
          <w:rFonts w:ascii="Times New Roman" w:cs="Times New Roman" w:eastAsia="Times New Roman" w:hAnsi="Times New Roman"/>
          <w:b/>
          <w:bCs/>
          <w:caps/>
          <w:color w:val="1B2A4A"/>
          <w:sz w:val="26"/>
          <w:szCs w:val="26"/>
        </w:rPr>
        <w:t xml:space="preserve">10. STRESS TESTING AND SCENARIO ANALYSIS</w:t>
      </w:r>
    </w:p>
    <w:p>
      <w:pPr>
        <w:spacing w:before="0" w:after="140"/>
      </w:pPr>
      <w:r>
        <w:rPr>
          <w:rFonts w:ascii="Times New Roman" w:cs="Times New Roman" w:eastAsia="Times New Roman" w:hAnsi="Times New Roman"/>
          <w:color w:val="333333"/>
          <w:sz w:val="22"/>
          <w:szCs w:val="22"/>
        </w:rPr>
        <w:t xml:space="preserve">NIHA conducts quarterly stress tests to assess portfolio resilience under adverse conditions. The following scenarios are modelled:</w:t>
      </w:r>
    </w:p>
    <w:p>
      <w:pPr>
        <w:spacing w:before="300" w:after="160"/>
      </w:pPr>
      <w:r>
        <w:rPr>
          <w:rFonts w:ascii="Times New Roman" w:cs="Times New Roman" w:eastAsia="Times New Roman" w:hAnsi="Times New Roman"/>
          <w:b/>
          <w:bCs/>
          <w:color w:val="2E75B6"/>
          <w:sz w:val="23"/>
          <w:szCs w:val="23"/>
        </w:rPr>
        <w:t xml:space="preserve">10.1 Stress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Scenario</w:t>
            </w:r>
          </w:p>
        </w:tc>
        <w:tc>
          <w:tcPr>
            <w:tcW w:type="pct" w:w="4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Description</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Impact Estimate</w:t>
            </w:r>
          </w:p>
        </w:tc>
      </w:tr>
      <w:tr>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S1: EUA Price Shock</w:t>
            </w:r>
          </w:p>
        </w:tc>
        <w:tc>
          <w:tcPr>
            <w:tcW w:type="pct" w:w="4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EUA price drops 30% in 5 trading days (comparable to Q4 2022 sell-off); CEA/EUA ratio shifts to 0.09</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Collateral shortfall: EUR 412K; 2 counterparties breach limits</w:t>
            </w:r>
          </w:p>
        </w:tc>
      </w:tr>
      <w:tr>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S2: Counterparty Default</w:t>
            </w:r>
          </w:p>
        </w:tc>
        <w:tc>
          <w:tcPr>
            <w:tcW w:type="pct" w:w="4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Largest Tier 1 counterparty defaults with 100% loss given default; close-out netting applied</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Net loss: EUR 892K (after netting and collateral); capital adequacy reduced to 78%</w:t>
            </w:r>
          </w:p>
        </w:tc>
      </w:tr>
      <w:tr>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S3: China ETS Disruption</w:t>
            </w:r>
          </w:p>
        </w:tc>
        <w:tc>
          <w:tcPr>
            <w:tcW w:type="pct" w:w="4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SAFE suspends foreign participation in CEEX for 30 days; all CEA positions frozen</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EUR 2.1M CEA exposure illiquid; conversion pipeline frozen; 3 client trades delayed</w:t>
            </w:r>
          </w:p>
        </w:tc>
      </w:tr>
      <w:tr>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S4: Correlation Event</w:t>
            </w:r>
          </w:p>
        </w:tc>
        <w:tc>
          <w:tcPr>
            <w:tcW w:type="pct" w:w="4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Simultaneous EUA -20%, CEA -15%, VCC -25% across all markets (systemic climate policy reversal)</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Portfolio MTM loss: EUR 1.68M; 4 counterparties require margin top-up totalling EUR 560K</w:t>
            </w:r>
          </w:p>
        </w:tc>
      </w:tr>
      <w:tr>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S5: Cyber / Ops Failure</w:t>
            </w:r>
          </w:p>
        </w:tc>
        <w:tc>
          <w:tcPr>
            <w:tcW w:type="pct" w:w="4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Registry access disruption (EUTL outage); inability to transfer or verify credits for 5 business days</w:t>
            </w:r>
          </w:p>
        </w:tc>
        <w:tc>
          <w:tcPr>
            <w:tcW w:type="pct" w:w="3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Settlement delay on EUR 3.2M notional; reputational risk; BCP activation required</w:t>
            </w:r>
          </w:p>
        </w:tc>
      </w:tr>
    </w:tbl>
    <w:p>
      <w:pPr>
        <w:spacing w:before="300" w:after="160"/>
      </w:pPr>
      <w:r>
        <w:rPr>
          <w:rFonts w:ascii="Times New Roman" w:cs="Times New Roman" w:eastAsia="Times New Roman" w:hAnsi="Times New Roman"/>
          <w:b/>
          <w:bCs/>
          <w:color w:val="2E75B6"/>
          <w:sz w:val="23"/>
          <w:szCs w:val="23"/>
        </w:rPr>
        <w:t xml:space="preserve">10.2 Most Recent Stress Test Results (Q4 2025)</w:t>
      </w:r>
    </w:p>
    <w:p>
      <w:pPr>
        <w:spacing w:before="0" w:after="140"/>
      </w:pPr>
      <w:r>
        <w:rPr>
          <w:rFonts w:ascii="Times New Roman" w:cs="Times New Roman" w:eastAsia="Times New Roman" w:hAnsi="Times New Roman"/>
          <w:color w:val="333333"/>
          <w:sz w:val="22"/>
          <w:szCs w:val="22"/>
        </w:rPr>
        <w:t xml:space="preserve">The Q4 2025 stress test was conducted on 15 December 2025 and presented to the Board on 22 December 2025. Key findings:</w:t>
      </w:r>
    </w:p>
    <w:p>
      <w:pPr>
        <w:spacing w:before="0" w:after="140"/>
        <w:ind w:left="360"/>
      </w:pPr>
      <w:r>
        <w:rPr>
          <w:rFonts w:ascii="Times New Roman" w:cs="Times New Roman" w:eastAsia="Times New Roman" w:hAnsi="Times New Roman"/>
          <w:color w:val="333333"/>
          <w:sz w:val="22"/>
          <w:szCs w:val="22"/>
        </w:rPr>
        <w:t xml:space="preserve">(a) Under Scenario S2 (largest counterparty default), the Company's capital reserves of EUR 3.8 million remain sufficient to absorb the estimated net loss of EUR 892,000, maintaining a post-stress capital ratio of 78.1%;</w:t>
      </w:r>
    </w:p>
    <w:p>
      <w:pPr>
        <w:spacing w:before="0" w:after="140"/>
        <w:ind w:left="360"/>
      </w:pPr>
      <w:r>
        <w:rPr>
          <w:rFonts w:ascii="Times New Roman" w:cs="Times New Roman" w:eastAsia="Times New Roman" w:hAnsi="Times New Roman"/>
          <w:color w:val="333333"/>
          <w:sz w:val="22"/>
          <w:szCs w:val="22"/>
        </w:rPr>
        <w:t xml:space="preserve">(b) Under Scenario S4 (correlation event), four counterparties would require additional margin totalling EUR 560,000. The Company has confirmed that callable capital commitments are sufficient to cover this requirement;</w:t>
      </w:r>
    </w:p>
    <w:p>
      <w:pPr>
        <w:spacing w:before="0" w:after="140"/>
        <w:ind w:left="360"/>
      </w:pPr>
      <w:r>
        <w:rPr>
          <w:rFonts w:ascii="Times New Roman" w:cs="Times New Roman" w:eastAsia="Times New Roman" w:hAnsi="Times New Roman"/>
          <w:color w:val="333333"/>
          <w:sz w:val="22"/>
          <w:szCs w:val="22"/>
        </w:rPr>
        <w:t xml:space="preserve">(c) Scenario S3 (China ETS disruption) was identified as the highest-impact scenario. Mitigation: the Company now maintains a minimum unencumbered EUA reserve of 5,000 whole units to provide conversion capacity during CEEX disruptions.</w:t>
      </w:r>
    </w:p>
    <w:p>
      <w:r>
        <w:br w:type="page"/>
      </w:r>
    </w:p>
    <w:p>
      <w:pPr>
        <w:spacing w:before="400" w:after="200"/>
      </w:pPr>
      <w:r>
        <w:rPr>
          <w:rFonts w:ascii="Times New Roman" w:cs="Times New Roman" w:eastAsia="Times New Roman" w:hAnsi="Times New Roman"/>
          <w:b/>
          <w:bCs/>
          <w:caps/>
          <w:color w:val="1B2A4A"/>
          <w:sz w:val="26"/>
          <w:szCs w:val="26"/>
        </w:rPr>
        <w:t xml:space="preserve">11. ESCALATION AND BREACH PROTOCOL</w:t>
      </w:r>
    </w:p>
    <w:p>
      <w:pPr>
        <w:spacing w:before="300" w:after="160"/>
      </w:pPr>
      <w:r>
        <w:rPr>
          <w:rFonts w:ascii="Times New Roman" w:cs="Times New Roman" w:eastAsia="Times New Roman" w:hAnsi="Times New Roman"/>
          <w:b/>
          <w:bCs/>
          <w:color w:val="2E75B6"/>
          <w:sz w:val="23"/>
          <w:szCs w:val="23"/>
        </w:rPr>
        <w:t xml:space="preserve">11.1 Escalation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Event</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Severity</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Escalation</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Timeline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Exposure exceeds 90% of limit</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AMBER</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CRO notification</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Within 1 hour</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Exposure exceeds 100% of limit</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C0392B"/>
                <w:sz w:val="18"/>
                <w:szCs w:val="18"/>
              </w:rPr>
              <w:t xml:space="preserve">RED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RMC emergency session</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Same business day</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Settlement fail T+3</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AMBER</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Head of Trading + CRO</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Within 2 hours of fail</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Settlement fail T+5</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C0392B"/>
                <w:sz w:val="18"/>
                <w:szCs w:val="18"/>
              </w:rPr>
              <w:t xml:space="preserve">RED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RMC + legal counsel</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Same business day</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Sanctions match confirmed</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C0392B"/>
                <w:sz w:val="18"/>
                <w:szCs w:val="18"/>
              </w:rPr>
              <w:t xml:space="preserve">CRITICAL</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CEO + MLRO + Board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Immediate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Credit score drops below 50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C0392B"/>
                <w:sz w:val="18"/>
                <w:szCs w:val="18"/>
              </w:rPr>
              <w:t xml:space="preserve">RED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RMC; initiate Tier 4 review</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Within 24 hours</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Collateral margin call not met</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C0392B"/>
                <w:sz w:val="18"/>
                <w:szCs w:val="18"/>
              </w:rPr>
              <w:t xml:space="preserve">RED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CRO; potential Event of Default</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T+2 from call date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Material adverse change in counterparty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AMBER/RED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CRO assessment + RMC</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Within 48 hours</w:t>
            </w:r>
          </w:p>
        </w:tc>
      </w:tr>
    </w:tbl>
    <w:p>
      <w:pPr>
        <w:spacing w:before="300" w:after="160"/>
      </w:pPr>
      <w:r>
        <w:rPr>
          <w:rFonts w:ascii="Times New Roman" w:cs="Times New Roman" w:eastAsia="Times New Roman" w:hAnsi="Times New Roman"/>
          <w:b/>
          <w:bCs/>
          <w:color w:val="2E75B6"/>
          <w:sz w:val="23"/>
          <w:szCs w:val="23"/>
        </w:rPr>
        <w:t xml:space="preserve">11.2 Breach Response Procedures</w:t>
      </w:r>
    </w:p>
    <w:p>
      <w:pPr>
        <w:spacing w:before="0" w:after="140"/>
      </w:pPr>
      <w:r>
        <w:rPr>
          <w:rFonts w:ascii="Times New Roman" w:cs="Times New Roman" w:eastAsia="Times New Roman" w:hAnsi="Times New Roman"/>
          <w:color w:val="333333"/>
          <w:sz w:val="22"/>
          <w:szCs w:val="22"/>
        </w:rPr>
        <w:t xml:space="preserve">Upon any RED or CRITICAL escalation:</w:t>
      </w:r>
    </w:p>
    <w:p>
      <w:pPr>
        <w:spacing w:before="0" w:after="140"/>
        <w:ind w:left="360"/>
      </w:pPr>
      <w:r>
        <w:rPr>
          <w:rFonts w:ascii="Times New Roman" w:cs="Times New Roman" w:eastAsia="Times New Roman" w:hAnsi="Times New Roman"/>
          <w:color w:val="333333"/>
          <w:sz w:val="22"/>
          <w:szCs w:val="22"/>
        </w:rPr>
        <w:t xml:space="preserve">(a) Trading with the affected counterparty is immediately suspended (no new trades);</w:t>
      </w:r>
    </w:p>
    <w:p>
      <w:pPr>
        <w:spacing w:before="0" w:after="140"/>
        <w:ind w:left="360"/>
      </w:pPr>
      <w:r>
        <w:rPr>
          <w:rFonts w:ascii="Times New Roman" w:cs="Times New Roman" w:eastAsia="Times New Roman" w:hAnsi="Times New Roman"/>
          <w:color w:val="333333"/>
          <w:sz w:val="22"/>
          <w:szCs w:val="22"/>
        </w:rPr>
        <w:t xml:space="preserve">(b) Existing open positions are reviewed for close-out netting opportunities;</w:t>
      </w:r>
    </w:p>
    <w:p>
      <w:pPr>
        <w:spacing w:before="0" w:after="140"/>
        <w:ind w:left="360"/>
      </w:pPr>
      <w:r>
        <w:rPr>
          <w:rFonts w:ascii="Times New Roman" w:cs="Times New Roman" w:eastAsia="Times New Roman" w:hAnsi="Times New Roman"/>
          <w:color w:val="333333"/>
          <w:sz w:val="22"/>
          <w:szCs w:val="22"/>
        </w:rPr>
        <w:t xml:space="preserve">(c) Legal counsel is notified if enforcement action may be required under MSA Article 14;</w:t>
      </w:r>
    </w:p>
    <w:p>
      <w:pPr>
        <w:spacing w:before="0" w:after="140"/>
        <w:ind w:left="360"/>
      </w:pPr>
      <w:r>
        <w:rPr>
          <w:rFonts w:ascii="Times New Roman" w:cs="Times New Roman" w:eastAsia="Times New Roman" w:hAnsi="Times New Roman"/>
          <w:color w:val="333333"/>
          <w:sz w:val="22"/>
          <w:szCs w:val="22"/>
        </w:rPr>
        <w:t xml:space="preserve">(d) The incident is logged in the Compliance Incident Register (Ref: NIHA-CIR);</w:t>
      </w:r>
    </w:p>
    <w:p>
      <w:pPr>
        <w:spacing w:before="0" w:after="140"/>
        <w:ind w:left="360"/>
      </w:pPr>
      <w:r>
        <w:rPr>
          <w:rFonts w:ascii="Times New Roman" w:cs="Times New Roman" w:eastAsia="Times New Roman" w:hAnsi="Times New Roman"/>
          <w:color w:val="333333"/>
          <w:sz w:val="22"/>
          <w:szCs w:val="22"/>
        </w:rPr>
        <w:t xml:space="preserve">(e) A written report is prepared for the Board within 5 business days.</w:t>
      </w:r>
    </w:p>
    <w:p>
      <w:r>
        <w:br w:type="page"/>
      </w:r>
    </w:p>
    <w:p>
      <w:pPr>
        <w:spacing w:before="400" w:after="200"/>
      </w:pPr>
      <w:r>
        <w:rPr>
          <w:rFonts w:ascii="Times New Roman" w:cs="Times New Roman" w:eastAsia="Times New Roman" w:hAnsi="Times New Roman"/>
          <w:b/>
          <w:bCs/>
          <w:caps/>
          <w:color w:val="1B2A4A"/>
          <w:sz w:val="26"/>
          <w:szCs w:val="26"/>
        </w:rPr>
        <w:t xml:space="preserve">12. CURRENT COUNTERPARTY PORTFOLIO SUMMARY</w:t>
      </w:r>
    </w:p>
    <w:p>
      <w:pPr>
        <w:spacing w:before="0" w:after="140"/>
      </w:pPr>
      <w:r>
        <w:rPr>
          <w:rFonts w:ascii="Times New Roman" w:cs="Times New Roman" w:eastAsia="Times New Roman" w:hAnsi="Times New Roman"/>
          <w:color w:val="333333"/>
          <w:sz w:val="22"/>
          <w:szCs w:val="22"/>
        </w:rPr>
        <w:t xml:space="preserve">The following table presents the approved counterparty register as at 31 January 2026. Detailed credit assessments for each counterparty are maintained in the individual Counterparty Credit Files.</w:t>
      </w:r>
    </w:p>
    <w:p>
      <w:pPr>
        <w:spacing w:before="300" w:after="160"/>
      </w:pPr>
      <w:r>
        <w:rPr>
          <w:rFonts w:ascii="Times New Roman" w:cs="Times New Roman" w:eastAsia="Times New Roman" w:hAnsi="Times New Roman"/>
          <w:b/>
          <w:bCs/>
          <w:color w:val="2E75B6"/>
          <w:sz w:val="23"/>
          <w:szCs w:val="23"/>
        </w:rPr>
        <w:t xml:space="preserve">Annex B — Approved Counterparty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8%"/>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ID</w:t>
            </w:r>
          </w:p>
        </w:tc>
        <w:tc>
          <w:tcPr>
            <w:tcW w:type="pct" w:w="2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Counterparty</w:t>
            </w:r>
          </w:p>
        </w:tc>
        <w:tc>
          <w:tcPr>
            <w:tcW w:type="pct" w:w="12%"/>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Jurisdiction</w:t>
            </w:r>
          </w:p>
        </w:tc>
        <w:tc>
          <w:tcPr>
            <w:tcW w:type="pct" w:w="8%"/>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Tier</w:t>
            </w:r>
          </w:p>
        </w:tc>
        <w:tc>
          <w:tcPr>
            <w:tcW w:type="pct" w:w="8%"/>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w:t>
            </w:r>
          </w:p>
        </w:tc>
        <w:tc>
          <w:tcPr>
            <w:tcW w:type="pct" w:w="14%"/>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Gross Exp.</w:t>
            </w:r>
          </w:p>
        </w:tc>
        <w:tc>
          <w:tcPr>
            <w:tcW w:type="pct" w:w="14%"/>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Collateral</w:t>
            </w:r>
          </w:p>
        </w:tc>
        <w:tc>
          <w:tcPr>
            <w:tcW w:type="pct" w:w="14%"/>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Net Exp.</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CP-001</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Greenfield Carbon Solutions GmbH</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Germany</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1</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88</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€1,840K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€500K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€1,340K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CP-002</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Pacific Rim Clean Energy Fund</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Singapore</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1</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85</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€1,250K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€475K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€775K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CP-003</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Nordic Climate Partners A/S</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Denmark</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1</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82</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€680K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€680K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CP-004</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Shanghai MingHe Industrial Co.</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PRC</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1</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80</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€510K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€180K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€330K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CP-005</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Rhein Energie Trading AG</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Switzerland</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76</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€620K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€62K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€558K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CP-006</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Tokyo Carbon Asset Management</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Japan</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74</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€480K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€48K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€432K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CP-007</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Iberian Environmental Solutions SL</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Spain</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72</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€380K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€38K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€342K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CP-008</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Guangzhou New Energy Group</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PRC</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71</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€350K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€35K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€315K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CP-009</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Baltic Green Commodities OÜ</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Estonia</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69</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€320K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€32K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€288K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CP-010</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Al Maktoum Carbon Investments</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UAE</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67</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€310K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€31K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€279K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CP-011</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Scandinavia Carbon Offset Fund</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Sweden</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66</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€390K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€39K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€351K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CP-012</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Central European Climate Fund</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Austria</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65</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€340K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€34K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€306K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CP-013</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Brazilian Forest Carbon Ltd</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UK</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E75B6"/>
                <w:sz w:val="18"/>
                <w:szCs w:val="18"/>
              </w:rPr>
              <w:t xml:space="preserve">2</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65</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CP-014</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West African Carbon Trading Co.</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Ghana</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3</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58</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€240K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€180K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CP-015</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Hanoi Green Solutions JSC</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Vietnam</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3</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55</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€200K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€150K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CP-016</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Kazakh Carbon Initiative LLP</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Kazakhstan</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3</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52</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€250K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€63K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€187K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CP-017</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Mumbai Sustainable Trading Pvt</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India</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E67E22"/>
                <w:sz w:val="18"/>
                <w:szCs w:val="18"/>
              </w:rPr>
              <w:t xml:space="preserve">3</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50</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€150K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€38K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€112K</w:t>
            </w:r>
          </w:p>
        </w:tc>
      </w:tr>
      <w:tr>
        <w:tc>
          <w:tcPr>
            <w:tcW w:type="pct" w:w="8%"/>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CP-018</w:t>
            </w:r>
          </w:p>
        </w:tc>
        <w:tc>
          <w:tcPr>
            <w:tcW w:type="pct" w:w="2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EastMed Carbon Holdings SAL</w:t>
            </w:r>
          </w:p>
        </w:tc>
        <w:tc>
          <w:tcPr>
            <w:tcW w:type="pct" w:w="12%"/>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Lebanon</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C0392B"/>
                <w:sz w:val="18"/>
                <w:szCs w:val="18"/>
              </w:rPr>
              <w:t xml:space="preserve">4</w:t>
            </w:r>
          </w:p>
        </w:tc>
        <w:tc>
          <w:tcPr>
            <w:tcW w:type="pct" w:w="8%"/>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42</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€160K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€160K</w:t>
            </w:r>
          </w:p>
        </w:tc>
        <w:tc>
          <w:tcPr>
            <w:tcW w:type="pct" w:w="14%"/>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r>
    </w:tbl>
    <w:p>
      <w:pPr>
        <w:spacing w:before="200" w:after="140"/>
      </w:pPr>
      <w:r>
        <w:rPr>
          <w:rFonts w:ascii="Times New Roman" w:cs="Times New Roman" w:eastAsia="Times New Roman" w:hAnsi="Times New Roman"/>
          <w:b/>
          <w:bCs/>
          <w:color w:val="333333"/>
          <w:sz w:val="22"/>
          <w:szCs w:val="22"/>
        </w:rPr>
        <w:t xml:space="preserve">Notes:</w:t>
      </w:r>
    </w:p>
    <w:p>
      <w:pPr>
        <w:spacing w:before="0" w:after="140"/>
        <w:ind w:left="360"/>
      </w:pPr>
      <w:r>
        <w:rPr>
          <w:rFonts w:ascii="Times New Roman" w:cs="Times New Roman" w:eastAsia="Times New Roman" w:hAnsi="Times New Roman"/>
          <w:color w:val="666666"/>
          <w:sz w:val="20"/>
          <w:szCs w:val="20"/>
        </w:rPr>
        <w:t xml:space="preserve">• CP-013 (Brazilian Forest Carbon Ltd): Onboarded December 2025; no trades executed yet; exposure limit EUR 380K.</w:t>
      </w:r>
    </w:p>
    <w:p>
      <w:pPr>
        <w:spacing w:before="0" w:after="140"/>
        <w:ind w:left="360"/>
      </w:pPr>
      <w:r>
        <w:rPr>
          <w:rFonts w:ascii="Times New Roman" w:cs="Times New Roman" w:eastAsia="Times New Roman" w:hAnsi="Times New Roman"/>
          <w:color w:val="666666"/>
          <w:sz w:val="20"/>
          <w:szCs w:val="20"/>
        </w:rPr>
        <w:t xml:space="preserve">• CP-018 (EastMed Carbon Holdings SAL): Placed on watchlist 8 January 2026 due to adverse media regarding potential sanctions exposure of affiliated entity. All positions fully collateralised. Wind-down in progress; estimated completion by 28 February 2026.</w:t>
      </w:r>
    </w:p>
    <w:p>
      <w:r>
        <w:br w:type="page"/>
      </w:r>
    </w:p>
    <w:p>
      <w:pPr>
        <w:spacing w:before="400" w:after="200"/>
      </w:pPr>
      <w:r>
        <w:rPr>
          <w:rFonts w:ascii="Times New Roman" w:cs="Times New Roman" w:eastAsia="Times New Roman" w:hAnsi="Times New Roman"/>
          <w:b/>
          <w:bCs/>
          <w:caps/>
          <w:color w:val="1B2A4A"/>
          <w:sz w:val="26"/>
          <w:szCs w:val="26"/>
        </w:rPr>
        <w:t xml:space="preserve">ANNEX A — CREDIT SCORING METHODOLOGY DETAIL</w:t>
      </w:r>
    </w:p>
    <w:p>
      <w:pPr>
        <w:spacing w:before="0" w:after="140"/>
      </w:pPr>
      <w:r>
        <w:rPr>
          <w:rFonts w:ascii="Times New Roman" w:cs="Times New Roman" w:eastAsia="Times New Roman" w:hAnsi="Times New Roman"/>
          <w:color w:val="333333"/>
          <w:sz w:val="22"/>
          <w:szCs w:val="22"/>
        </w:rPr>
        <w:t xml:space="preserve">The NIHA-CRS Model assigns sub-scores within each of the five pillars. Each sub-factor is scored on a scale of 0–10, weighted within its pillar, and then aggregated to the composite score.</w:t>
      </w:r>
    </w:p>
    <w:p>
      <w:pPr>
        <w:spacing w:before="300" w:after="160"/>
      </w:pPr>
      <w:r>
        <w:rPr>
          <w:rFonts w:ascii="Times New Roman" w:cs="Times New Roman" w:eastAsia="Times New Roman" w:hAnsi="Times New Roman"/>
          <w:b/>
          <w:bCs/>
          <w:color w:val="2E75B6"/>
          <w:sz w:val="23"/>
          <w:szCs w:val="23"/>
        </w:rPr>
        <w:t xml:space="preserve">Pillar A: Financial Strength (30 points maximum)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Sub-Factor</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Weight</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8–10</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0–3</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A.1 Revenue stability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8%</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Stable/growing revenue &gt; 3yrs</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Declining or no track record</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A.2 Net asset position</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7%</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Positive NAV &gt; EUR 5M</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Negative NAV or &lt; EUR 100K</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A.3 Leverage ratio</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D/E &lt; 1.0</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D/E &gt; 4.0 or no data</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A.4 Liquidity ratio</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Current ratio &gt; 2.0</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Current ratio &lt; 0.5</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A.5 External credit rating</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Investment grade (BBB+ or higher)</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Below B- or unrated SME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A.6 Auditor opinion</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2%</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Unqualified opinion, Big 4 auditor</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Qualified/adverse or no audit</w:t>
            </w:r>
          </w:p>
        </w:tc>
      </w:tr>
    </w:tbl>
    <w:p>
      <w:pPr>
        <w:spacing w:before="300" w:after="160"/>
      </w:pPr>
      <w:r>
        <w:rPr>
          <w:rFonts w:ascii="Times New Roman" w:cs="Times New Roman" w:eastAsia="Times New Roman" w:hAnsi="Times New Roman"/>
          <w:b/>
          <w:bCs/>
          <w:color w:val="2E75B6"/>
          <w:sz w:val="23"/>
          <w:szCs w:val="23"/>
        </w:rPr>
        <w:t xml:space="preserve">Pillar B: Operational Track Record (20 points maximum)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Sub-Factor</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Weight</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8–10</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0–3</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B.1 Years in carbon markets</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&gt; 5 years</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&lt; 1 year</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B.2 Registry account status</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Active EUTL + CEEX + Core Climate</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No registry accounts</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B.3 Settlement history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100% on-time settlements &gt; 12mo</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Multiple settlement failures</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B.4 Trade volume consistency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Consistent monthly activity</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Sporadic or one-off trades</w:t>
            </w:r>
          </w:p>
        </w:tc>
      </w:tr>
    </w:tbl>
    <w:p>
      <w:pPr>
        <w:spacing w:before="300" w:after="160"/>
      </w:pPr>
      <w:r>
        <w:rPr>
          <w:rFonts w:ascii="Times New Roman" w:cs="Times New Roman" w:eastAsia="Times New Roman" w:hAnsi="Times New Roman"/>
          <w:b/>
          <w:bCs/>
          <w:color w:val="2E75B6"/>
          <w:sz w:val="23"/>
          <w:szCs w:val="23"/>
        </w:rPr>
        <w:t xml:space="preserve">Pillar C: Regulatory &amp; Compliance (20 points maximum)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Sub-Factor</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Weight</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8–10</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0–3</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C.1 Regulatory status</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Licensed/regulated entity</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No regulatory oversight</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C.2 KYC/AML compliance</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Full KYC documentation provided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Incomplete or refused</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C.3 Sanctions/PEP screening</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Clear on World-Check + adverse media</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Sanctions match or active PEP</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C.4 Litigation history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No material litigation</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Ongoing fraud/regulatory action</w:t>
            </w:r>
          </w:p>
        </w:tc>
      </w:tr>
    </w:tbl>
    <w:p>
      <w:pPr>
        <w:spacing w:before="300" w:after="160"/>
      </w:pPr>
      <w:r>
        <w:rPr>
          <w:rFonts w:ascii="Times New Roman" w:cs="Times New Roman" w:eastAsia="Times New Roman" w:hAnsi="Times New Roman"/>
          <w:b/>
          <w:bCs/>
          <w:color w:val="2E75B6"/>
          <w:sz w:val="23"/>
          <w:szCs w:val="23"/>
        </w:rPr>
        <w:t xml:space="preserve">Pillar D: Jurisdiction Risk (15 points maximum)</w:t>
      </w:r>
    </w:p>
    <w:p>
      <w:pPr>
        <w:spacing w:before="0" w:after="140"/>
      </w:pPr>
      <w:r>
        <w:rPr>
          <w:rFonts w:ascii="Times New Roman" w:cs="Times New Roman" w:eastAsia="Times New Roman" w:hAnsi="Times New Roman"/>
          <w:color w:val="333333"/>
          <w:sz w:val="22"/>
          <w:szCs w:val="22"/>
        </w:rPr>
        <w:t xml:space="preserve">Jurisdiction scores are derived from a composite of FATF Mutual Evaluation ratings, Basel AML Index scores, Transparency International CPI, and World Bank Governance Indicators. Jurisdictions are grouped into three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Band</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Range</w:t>
            </w:r>
          </w:p>
        </w:tc>
        <w:tc>
          <w:tcPr>
            <w:tcW w:type="pct" w:w="70%"/>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Examples</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27AE60"/>
                <w:sz w:val="18"/>
                <w:szCs w:val="18"/>
              </w:rPr>
              <w:t xml:space="preserve">Low Risk</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12–15</w:t>
            </w:r>
          </w:p>
        </w:tc>
        <w:tc>
          <w:tcPr>
            <w:tcW w:type="pct" w:w="7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EU/EEA, UK, Australia, Canada, Japan, Singapore, Hong Kong, New Zealand, Switzerland</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E67E22"/>
                <w:sz w:val="18"/>
                <w:szCs w:val="18"/>
              </w:rPr>
              <w:t xml:space="preserve">Medium Risk</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6–11</w:t>
            </w:r>
          </w:p>
        </w:tc>
        <w:tc>
          <w:tcPr>
            <w:tcW w:type="pct" w:w="7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PRC (mainland), UAE, Brazil, India, Thailand, Vietnam, South Africa, Mexico, Turkey</w:t>
            </w:r>
          </w:p>
        </w:tc>
      </w:tr>
      <w:tr>
        <w:tc>
          <w:tcPr>
            <w:tcW w:type="pct" w:w="1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C0392B"/>
                <w:sz w:val="18"/>
                <w:szCs w:val="18"/>
              </w:rPr>
              <w:t xml:space="preserve">High Risk</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0–5</w:t>
            </w:r>
          </w:p>
        </w:tc>
        <w:tc>
          <w:tcPr>
            <w:tcW w:type="pct" w:w="7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FATF grey/black list, applicable international sanctions regimes sanctioned, CPI &lt; 30: e.g., Myanmar, Iran, North Korea, certain CIS states</w:t>
            </w:r>
          </w:p>
        </w:tc>
      </w:tr>
    </w:tbl>
    <w:p>
      <w:pPr>
        <w:spacing w:before="300" w:after="160"/>
      </w:pPr>
      <w:r>
        <w:rPr>
          <w:rFonts w:ascii="Times New Roman" w:cs="Times New Roman" w:eastAsia="Times New Roman" w:hAnsi="Times New Roman"/>
          <w:b/>
          <w:bCs/>
          <w:color w:val="2E75B6"/>
          <w:sz w:val="23"/>
          <w:szCs w:val="23"/>
        </w:rPr>
        <w:t xml:space="preserve">Pillar E: Relationship Quality (15 points maximum)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Sub-Factor</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Weight</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8–10</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center"/>
            </w:pPr>
            <w:r>
              <w:rPr>
                <w:rFonts w:ascii="Times New Roman" w:cs="Times New Roman" w:eastAsia="Times New Roman" w:hAnsi="Times New Roman"/>
                <w:b/>
                <w:bCs/>
                <w:color w:val="FFFFFF"/>
                <w:sz w:val="18"/>
                <w:szCs w:val="18"/>
              </w:rPr>
              <w:t xml:space="preserve">Score 0–3</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E.1 Payment punctuality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5%</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All payments within terms</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Frequent late payments</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E.2 Documentation compliance</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4%</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All docs current; responsive</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Repeated doc requests ignored</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E.3 Communication quality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Prompt, professional, transparent</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Unresponsive; evasive</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E.4 Dispute frequency</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3%</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Zero disputes</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Multiple unresolved disputes</w:t>
            </w:r>
          </w:p>
        </w:tc>
      </w:tr>
    </w:tbl>
    <w:p>
      <w:pPr>
        <w:spacing w:before="400"/>
      </w:pPr>
    </w:p>
    <w:p>
      <w:pPr>
        <w:spacing w:before="0" w:after="140"/>
        <w:jc w:val="center"/>
      </w:pPr>
      <w:r>
        <w:rPr>
          <w:rFonts w:ascii="Times New Roman" w:cs="Times New Roman" w:eastAsia="Times New Roman" w:hAnsi="Times New Roman"/>
          <w:b/>
          <w:bCs/>
          <w:color w:val="1B2A4A"/>
          <w:sz w:val="24"/>
          <w:szCs w:val="24"/>
        </w:rPr>
        <w:t xml:space="preserve">— END OF DOCUMENT —</w:t>
      </w:r>
    </w:p>
    <w:p>
      <w:pPr>
        <w:spacing w:before="200"/>
        <w:jc w:val="center"/>
      </w:pPr>
      <w:r>
        <w:rPr>
          <w:rFonts w:ascii="Times New Roman" w:cs="Times New Roman" w:eastAsia="Times New Roman" w:hAnsi="Times New Roman"/>
          <w:i/>
          <w:iCs/>
          <w:color w:val="666666"/>
          <w:sz w:val="20"/>
          <w:szCs w:val="20"/>
        </w:rPr>
        <w:t xml:space="preserve">Approved by the Board of Directors of NIHA Carbon Consultancy Limited on 15 January 2026</w:t>
      </w:r>
    </w:p>
    <w:sectPr>
      <w:headerReference w:type="default" r:id="rId6"/>
      <w:footerReference w:type="default" r:id="rId7"/>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Ref: NIHA-RISK-2026-001 | STRICTLY CONFIDENTIAL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80"/>
      <w:jc w:val="left"/>
    </w:pPr>
    <w:r>
      <w:rPr>
        <w:rFonts w:ascii="Times New Roman" w:cs="Times New Roman" w:eastAsia="Times New Roman" w:hAnsi="Times New Roman"/>
        <w:b/>
        <w:bCs/>
        <w:color w:val="1B2A4A"/>
        <w:sz w:val="16"/>
        <w:szCs w:val="16"/>
      </w:rPr>
      <w:t xml:space="preserve">NIHA CARBON CONSULTANCY LIMITED</w:t>
    </w:r>
    <w:r>
      <w:rPr>
        <w:rFonts w:ascii="Times New Roman" w:cs="Times New Roman" w:eastAsia="Times New Roman" w:hAnsi="Times New Roman"/>
        <w:color w:val="666666"/>
        <w:sz w:val="16"/>
        <w:szCs w:val="16"/>
      </w:rPr>
      <w:t xml:space="preserve"> | Counterparty Risk Assessment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2026-02-20T12:29:53.701Z</dcterms:created>
  <dcterms:modified xsi:type="dcterms:W3CDTF">2026-02-20T12:29:53.701Z</dcterms:modified>
</cp:coreProperties>
</file>

<file path=docProps/custom.xml><?xml version="1.0" encoding="utf-8"?>
<Properties xmlns="http://schemas.openxmlformats.org/officeDocument/2006/custom-properties" xmlns:vt="http://schemas.openxmlformats.org/officeDocument/2006/docPropsVTypes"/>
</file>