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Times New Roman" w:cs="Times New Roman" w:eastAsia="Times New Roman" w:hAnsi="Times New Roman"/>
          <w:b/>
          <w:bCs/>
          <w:color w:val="1B2A4A"/>
          <w:sz w:val="36"/>
          <w:szCs w:val="36"/>
        </w:rPr>
        <w:t xml:space="preserve">CARBON CREDIT CUSTODY AGREEMENT</w:t>
      </w:r>
    </w:p>
    <w:p>
      <w:pPr>
        <w:spacing w:after="100"/>
        <w:jc w:val="center"/>
      </w:pPr>
      <w:r>
        <w:rPr>
          <w:rFonts w:ascii="Times New Roman" w:cs="Times New Roman" w:eastAsia="Times New Roman" w:hAnsi="Times New Roman"/>
          <w:color w:val="666666"/>
          <w:sz w:val="24"/>
          <w:szCs w:val="24"/>
        </w:rPr>
        <w:t xml:space="preserve">for the Safekeeping and Administration of Carbon Credits</w:t>
      </w:r>
    </w:p>
    <w:p>
      <w:pPr>
        <w:spacing w:after="60"/>
        <w:jc w:val="center"/>
      </w:pPr>
      <w:r>
        <w:rPr>
          <w:rFonts w:ascii="Times New Roman" w:cs="Times New Roman" w:eastAsia="Times New Roman" w:hAnsi="Times New Roman"/>
          <w:color w:val="333333"/>
          <w:sz w:val="22"/>
          <w:szCs w:val="22"/>
        </w:rPr>
        <w:t xml:space="preserve">(the “Agreement”)</w:t>
      </w:r>
    </w:p>
    <w:p>
      <w:pPr>
        <w:spacing w:before="400"/>
      </w:pPr>
    </w:p>
    <w:p>
      <w:pPr>
        <w:spacing w:after="60"/>
        <w:jc w:val="center"/>
      </w:pPr>
      <w:r>
        <w:rPr>
          <w:rFonts w:ascii="Times New Roman" w:cs="Times New Roman" w:eastAsia="Times New Roman" w:hAnsi="Times New Roman"/>
          <w:color w:val="666666"/>
          <w:sz w:val="22"/>
          <w:szCs w:val="22"/>
        </w:rPr>
        <w:t xml:space="preserve">between</w:t>
      </w:r>
    </w:p>
    <w:p>
      <w:pPr>
        <w:spacing w:after="100"/>
        <w:jc w:val="center"/>
      </w:pPr>
      <w:r>
        <w:rPr>
          <w:rFonts w:ascii="Times New Roman" w:cs="Times New Roman" w:eastAsia="Times New Roman" w:hAnsi="Times New Roman"/>
          <w:b/>
          <w:bCs/>
          <w:color w:val="1B2A4A"/>
          <w:sz w:val="26"/>
          <w:szCs w:val="26"/>
        </w:rPr>
        <w:t xml:space="preserve">ITALY NIHAO GROUP LIMITED</w:t>
      </w:r>
    </w:p>
    <w:p>
      <w:pPr>
        <w:spacing w:after="20"/>
        <w:jc w:val="center"/>
      </w:pPr>
      <w:r>
        <w:rPr>
          <w:rFonts w:ascii="Times New Roman" w:cs="Times New Roman" w:eastAsia="Times New Roman" w:hAnsi="Times New Roman"/>
          <w:color w:val="666666"/>
          <w:sz w:val="20"/>
          <w:szCs w:val="20"/>
        </w:rPr>
        <w:t xml:space="preserve">(the “Custodian” or “NIHA”)</w:t>
      </w:r>
    </w:p>
    <w:p>
      <w:pPr>
        <w:spacing w:after="60"/>
        <w:jc w:val="center"/>
      </w:pPr>
      <w:r>
        <w:rPr>
          <w:rFonts w:ascii="Times New Roman" w:cs="Times New Roman" w:eastAsia="Times New Roman" w:hAnsi="Times New Roman"/>
          <w:color w:val="666666"/>
          <w:sz w:val="22"/>
          <w:szCs w:val="22"/>
        </w:rPr>
        <w:t xml:space="preserve">and</w:t>
      </w:r>
    </w:p>
    <w:p>
      <w:pPr>
        <w:spacing w:after="100"/>
        <w:jc w:val="center"/>
      </w:pPr>
      <w:r>
        <w:rPr>
          <w:rFonts w:ascii="Times New Roman" w:cs="Times New Roman" w:eastAsia="Times New Roman" w:hAnsi="Times New Roman"/>
          <w:b/>
          <w:bCs/>
          <w:color w:val="2E75B6"/>
          <w:sz w:val="26"/>
          <w:szCs w:val="26"/>
        </w:rPr>
        <w:t xml:space="preserve">[CLIENT FULL LEGAL NAME]</w:t>
      </w:r>
    </w:p>
    <w:p>
      <w:pPr>
        <w:spacing w:after="20"/>
        <w:jc w:val="center"/>
      </w:pPr>
      <w:r>
        <w:rPr>
          <w:rFonts w:ascii="Times New Roman" w:cs="Times New Roman" w:eastAsia="Times New Roman" w:hAnsi="Times New Roman"/>
          <w:color w:val="666666"/>
          <w:sz w:val="20"/>
          <w:szCs w:val="20"/>
        </w:rPr>
        <w:t xml:space="preserve">(the “Client”)</w:t>
      </w:r>
    </w:p>
    <w:p>
      <w:pPr>
        <w:spacing w:before="300"/>
      </w:pPr>
    </w:p>
    <w:p>
      <w:pPr>
        <w:spacing w:after="60"/>
        <w:jc w:val="center"/>
      </w:pPr>
      <w:r>
        <w:rPr>
          <w:rFonts w:ascii="Times New Roman" w:cs="Times New Roman" w:eastAsia="Times New Roman" w:hAnsi="Times New Roman"/>
          <w:color w:val="333333"/>
          <w:sz w:val="22"/>
          <w:szCs w:val="22"/>
        </w:rPr>
        <w:t xml:space="preserve">Dated: [__________] 2026</w:t>
      </w:r>
    </w:p>
    <w:p>
      <w:pPr>
        <w:spacing w:after="60"/>
        <w:jc w:val="center"/>
      </w:pPr>
      <w:r>
        <w:rPr>
          <w:rFonts w:ascii="Times New Roman" w:cs="Times New Roman" w:eastAsia="Times New Roman" w:hAnsi="Times New Roman"/>
          <w:color w:val="666666"/>
          <w:sz w:val="20"/>
          <w:szCs w:val="20"/>
        </w:rPr>
        <w:t xml:space="preserve">Governed by the Laws of Hong Kong Special Administrative Region</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Custody, safekeeping, and administration of Carbon Credits acquired through the NIHA Carbon Platform</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Governing Law:</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Laws of Hong Kong Special Administrative Region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Dispute Resolution: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Negotiation → Mediation → HKIAC Arbitration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Agreement Reference: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NIHA-CCA-2026-[___]</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Related Agreements: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Non-Disclosure and Non-Circumvention Agreement; Master Service Agreement</w:t>
            </w:r>
          </w:p>
        </w:tc>
      </w:tr>
    </w:tbl>
    <w:p>
      <w:r>
        <w:br w:type="page"/>
      </w:r>
    </w:p>
    <w:p>
      <w:pPr>
        <w:spacing w:before="300" w:after="150"/>
        <w:jc w:val="left"/>
      </w:pPr>
      <w:r>
        <w:rPr>
          <w:rFonts w:ascii="Times New Roman" w:cs="Times New Roman" w:eastAsia="Times New Roman" w:hAnsi="Times New Roman"/>
          <w:b/>
          <w:bCs/>
          <w:color w:val="1B2A4A"/>
          <w:sz w:val="28"/>
          <w:szCs w:val="28"/>
        </w:rPr>
        <w:t xml:space="preserve">TABLE OF CONTENTS</w:t>
      </w:r>
    </w:p>
    <w:p>
      <w:pPr>
        <w:spacing w:before="40" w:after="40"/>
        <w:ind w:left="0"/>
      </w:pPr>
      <w:r>
        <w:rPr>
          <w:rFonts w:ascii="Times New Roman" w:cs="Times New Roman" w:eastAsia="Times New Roman" w:hAnsi="Times New Roman"/>
          <w:b/>
          <w:bCs/>
          <w:color w:val="333333"/>
          <w:sz w:val="21"/>
          <w:szCs w:val="21"/>
        </w:rPr>
        <w:t xml:space="preserve">Article 1 — Definitions and Interpretation</w:t>
      </w:r>
    </w:p>
    <w:p>
      <w:pPr>
        <w:spacing w:before="40" w:after="40"/>
        <w:ind w:left="0"/>
      </w:pPr>
      <w:r>
        <w:rPr>
          <w:rFonts w:ascii="Times New Roman" w:cs="Times New Roman" w:eastAsia="Times New Roman" w:hAnsi="Times New Roman"/>
          <w:b/>
          <w:bCs/>
          <w:color w:val="333333"/>
          <w:sz w:val="21"/>
          <w:szCs w:val="21"/>
        </w:rPr>
        <w:t xml:space="preserve">Article 2 — Appointment and Role of the Custodian</w:t>
      </w:r>
    </w:p>
    <w:p>
      <w:pPr>
        <w:spacing w:before="40" w:after="40"/>
        <w:ind w:left="0"/>
      </w:pPr>
      <w:r>
        <w:rPr>
          <w:rFonts w:ascii="Times New Roman" w:cs="Times New Roman" w:eastAsia="Times New Roman" w:hAnsi="Times New Roman"/>
          <w:b/>
          <w:bCs/>
          <w:color w:val="333333"/>
          <w:sz w:val="21"/>
          <w:szCs w:val="21"/>
        </w:rPr>
        <w:t xml:space="preserve">Article 3 — Custody Arrangements</w:t>
      </w:r>
    </w:p>
    <w:p>
      <w:pPr>
        <w:spacing w:before="40" w:after="40"/>
        <w:ind w:left="0"/>
      </w:pPr>
      <w:r>
        <w:rPr>
          <w:rFonts w:ascii="Times New Roman" w:cs="Times New Roman" w:eastAsia="Times New Roman" w:hAnsi="Times New Roman"/>
          <w:b/>
          <w:bCs/>
          <w:color w:val="333333"/>
          <w:sz w:val="21"/>
          <w:szCs w:val="21"/>
        </w:rPr>
        <w:t xml:space="preserve">Article 4 — Client Instructions and Transactions</w:t>
      </w:r>
    </w:p>
    <w:p>
      <w:pPr>
        <w:spacing w:before="40" w:after="40"/>
        <w:ind w:left="0"/>
      </w:pPr>
      <w:r>
        <w:rPr>
          <w:rFonts w:ascii="Times New Roman" w:cs="Times New Roman" w:eastAsia="Times New Roman" w:hAnsi="Times New Roman"/>
          <w:b/>
          <w:bCs/>
          <w:color w:val="333333"/>
          <w:sz w:val="21"/>
          <w:szCs w:val="21"/>
        </w:rPr>
        <w:t xml:space="preserve">Article 5 — Settlement Timelines</w:t>
      </w:r>
    </w:p>
    <w:p>
      <w:pPr>
        <w:spacing w:before="40" w:after="40"/>
        <w:ind w:left="0"/>
      </w:pPr>
      <w:r>
        <w:rPr>
          <w:rFonts w:ascii="Times New Roman" w:cs="Times New Roman" w:eastAsia="Times New Roman" w:hAnsi="Times New Roman"/>
          <w:b/>
          <w:bCs/>
          <w:color w:val="333333"/>
          <w:sz w:val="21"/>
          <w:szCs w:val="21"/>
        </w:rPr>
        <w:t xml:space="preserve">Article 6 — Client Funds</w:t>
      </w:r>
    </w:p>
    <w:p>
      <w:pPr>
        <w:spacing w:before="40" w:after="40"/>
        <w:ind w:left="0"/>
      </w:pPr>
      <w:r>
        <w:rPr>
          <w:rFonts w:ascii="Times New Roman" w:cs="Times New Roman" w:eastAsia="Times New Roman" w:hAnsi="Times New Roman"/>
          <w:b/>
          <w:bCs/>
          <w:color w:val="333333"/>
          <w:sz w:val="21"/>
          <w:szCs w:val="21"/>
        </w:rPr>
        <w:t xml:space="preserve">Article 7 — Fees and Charges</w:t>
      </w:r>
    </w:p>
    <w:p>
      <w:pPr>
        <w:spacing w:before="40" w:after="40"/>
        <w:ind w:left="0"/>
      </w:pPr>
      <w:r>
        <w:rPr>
          <w:rFonts w:ascii="Times New Roman" w:cs="Times New Roman" w:eastAsia="Times New Roman" w:hAnsi="Times New Roman"/>
          <w:b/>
          <w:bCs/>
          <w:color w:val="333333"/>
          <w:sz w:val="21"/>
          <w:szCs w:val="21"/>
        </w:rPr>
        <w:t xml:space="preserve">Article 8 — Reporting and Records</w:t>
      </w:r>
    </w:p>
    <w:p>
      <w:pPr>
        <w:spacing w:before="40" w:after="40"/>
        <w:ind w:left="0"/>
      </w:pPr>
      <w:r>
        <w:rPr>
          <w:rFonts w:ascii="Times New Roman" w:cs="Times New Roman" w:eastAsia="Times New Roman" w:hAnsi="Times New Roman"/>
          <w:b/>
          <w:bCs/>
          <w:color w:val="333333"/>
          <w:sz w:val="21"/>
          <w:szCs w:val="21"/>
        </w:rPr>
        <w:t xml:space="preserve">Article 9 — Representations and Warranties</w:t>
      </w:r>
    </w:p>
    <w:p>
      <w:pPr>
        <w:spacing w:before="40" w:after="40"/>
        <w:ind w:left="0"/>
      </w:pPr>
      <w:r>
        <w:rPr>
          <w:rFonts w:ascii="Times New Roman" w:cs="Times New Roman" w:eastAsia="Times New Roman" w:hAnsi="Times New Roman"/>
          <w:b/>
          <w:bCs/>
          <w:color w:val="333333"/>
          <w:sz w:val="21"/>
          <w:szCs w:val="21"/>
        </w:rPr>
        <w:t xml:space="preserve">Article 10 — Risk Disclosures and Liability</w:t>
      </w:r>
    </w:p>
    <w:p>
      <w:pPr>
        <w:spacing w:before="40" w:after="40"/>
        <w:ind w:left="0"/>
      </w:pPr>
      <w:r>
        <w:rPr>
          <w:rFonts w:ascii="Times New Roman" w:cs="Times New Roman" w:eastAsia="Times New Roman" w:hAnsi="Times New Roman"/>
          <w:b/>
          <w:bCs/>
          <w:color w:val="333333"/>
          <w:sz w:val="21"/>
          <w:szCs w:val="21"/>
        </w:rPr>
        <w:t xml:space="preserve">Article 11 — Insolvency Protection</w:t>
      </w:r>
    </w:p>
    <w:p>
      <w:pPr>
        <w:spacing w:before="40" w:after="40"/>
        <w:ind w:left="0"/>
      </w:pPr>
      <w:r>
        <w:rPr>
          <w:rFonts w:ascii="Times New Roman" w:cs="Times New Roman" w:eastAsia="Times New Roman" w:hAnsi="Times New Roman"/>
          <w:b/>
          <w:bCs/>
          <w:color w:val="333333"/>
          <w:sz w:val="21"/>
          <w:szCs w:val="21"/>
        </w:rPr>
        <w:t xml:space="preserve">Article 12 — Confidentiality</w:t>
      </w:r>
    </w:p>
    <w:p>
      <w:pPr>
        <w:spacing w:before="40" w:after="40"/>
        <w:ind w:left="0"/>
      </w:pPr>
      <w:r>
        <w:rPr>
          <w:rFonts w:ascii="Times New Roman" w:cs="Times New Roman" w:eastAsia="Times New Roman" w:hAnsi="Times New Roman"/>
          <w:b/>
          <w:bCs/>
          <w:color w:val="333333"/>
          <w:sz w:val="21"/>
          <w:szCs w:val="21"/>
        </w:rPr>
        <w:t xml:space="preserve">Article 13 — Anti-Money Laundering and Compliance</w:t>
      </w:r>
    </w:p>
    <w:p>
      <w:pPr>
        <w:spacing w:before="40" w:after="40"/>
        <w:ind w:left="0"/>
      </w:pPr>
      <w:r>
        <w:rPr>
          <w:rFonts w:ascii="Times New Roman" w:cs="Times New Roman" w:eastAsia="Times New Roman" w:hAnsi="Times New Roman"/>
          <w:b/>
          <w:bCs/>
          <w:color w:val="333333"/>
          <w:sz w:val="21"/>
          <w:szCs w:val="21"/>
        </w:rPr>
        <w:t xml:space="preserve">Article 14 — Anti-Bribery and Anti-Corruption</w:t>
      </w:r>
    </w:p>
    <w:p>
      <w:pPr>
        <w:spacing w:before="40" w:after="40"/>
        <w:ind w:left="0"/>
      </w:pPr>
      <w:r>
        <w:rPr>
          <w:rFonts w:ascii="Times New Roman" w:cs="Times New Roman" w:eastAsia="Times New Roman" w:hAnsi="Times New Roman"/>
          <w:b/>
          <w:bCs/>
          <w:color w:val="333333"/>
          <w:sz w:val="21"/>
          <w:szCs w:val="21"/>
        </w:rPr>
        <w:t xml:space="preserve">Article 15 — Non-Circumvention</w:t>
      </w:r>
    </w:p>
    <w:p>
      <w:pPr>
        <w:spacing w:before="40" w:after="40"/>
        <w:ind w:left="0"/>
      </w:pPr>
      <w:r>
        <w:rPr>
          <w:rFonts w:ascii="Times New Roman" w:cs="Times New Roman" w:eastAsia="Times New Roman" w:hAnsi="Times New Roman"/>
          <w:b/>
          <w:bCs/>
          <w:color w:val="333333"/>
          <w:sz w:val="21"/>
          <w:szCs w:val="21"/>
        </w:rPr>
        <w:t xml:space="preserve">Article 16 — Term and Termination</w:t>
      </w:r>
    </w:p>
    <w:p>
      <w:pPr>
        <w:spacing w:before="40" w:after="40"/>
        <w:ind w:left="0"/>
      </w:pPr>
      <w:r>
        <w:rPr>
          <w:rFonts w:ascii="Times New Roman" w:cs="Times New Roman" w:eastAsia="Times New Roman" w:hAnsi="Times New Roman"/>
          <w:b/>
          <w:bCs/>
          <w:color w:val="333333"/>
          <w:sz w:val="21"/>
          <w:szCs w:val="21"/>
        </w:rPr>
        <w:t xml:space="preserve">Article 17 — Governing Law and Dispute Resolution</w:t>
      </w:r>
    </w:p>
    <w:p>
      <w:pPr>
        <w:spacing w:before="40" w:after="40"/>
        <w:ind w:left="0"/>
      </w:pPr>
      <w:r>
        <w:rPr>
          <w:rFonts w:ascii="Times New Roman" w:cs="Times New Roman" w:eastAsia="Times New Roman" w:hAnsi="Times New Roman"/>
          <w:b/>
          <w:bCs/>
          <w:color w:val="333333"/>
          <w:sz w:val="21"/>
          <w:szCs w:val="21"/>
        </w:rPr>
        <w:t xml:space="preserve">Article 18 — General Provisions</w:t>
      </w:r>
    </w:p>
    <w:p>
      <w:pPr>
        <w:spacing w:before="60"/>
      </w:pPr>
    </w:p>
    <w:p>
      <w:pPr>
        <w:spacing w:before="40" w:after="40"/>
        <w:ind w:left="360"/>
      </w:pPr>
      <w:r>
        <w:rPr>
          <w:rFonts w:ascii="Times New Roman" w:cs="Times New Roman" w:eastAsia="Times New Roman" w:hAnsi="Times New Roman"/>
          <w:b w:val="false"/>
          <w:bCs w:val="false"/>
          <w:color w:val="333333"/>
          <w:sz w:val="21"/>
          <w:szCs w:val="21"/>
        </w:rPr>
        <w:t xml:space="preserve">Schedule A — Fee Schedule</w:t>
      </w:r>
    </w:p>
    <w:p>
      <w:pPr>
        <w:spacing w:before="40" w:after="40"/>
        <w:ind w:left="360"/>
      </w:pPr>
      <w:r>
        <w:rPr>
          <w:rFonts w:ascii="Times New Roman" w:cs="Times New Roman" w:eastAsia="Times New Roman" w:hAnsi="Times New Roman"/>
          <w:b w:val="false"/>
          <w:bCs w:val="false"/>
          <w:color w:val="333333"/>
          <w:sz w:val="21"/>
          <w:szCs w:val="21"/>
        </w:rPr>
        <w:t xml:space="preserve">Schedule B — Approved Registries</w:t>
      </w:r>
    </w:p>
    <w:p>
      <w:pPr>
        <w:spacing w:before="40" w:after="40"/>
        <w:ind w:left="360"/>
      </w:pPr>
      <w:r>
        <w:rPr>
          <w:rFonts w:ascii="Times New Roman" w:cs="Times New Roman" w:eastAsia="Times New Roman" w:hAnsi="Times New Roman"/>
          <w:b w:val="false"/>
          <w:bCs w:val="false"/>
          <w:color w:val="333333"/>
          <w:sz w:val="21"/>
          <w:szCs w:val="21"/>
        </w:rPr>
        <w:t xml:space="preserve">Schedule C — Designated Bank Accounts and Notices</w:t>
      </w:r>
    </w:p>
    <w:p>
      <w:r>
        <w:br w:type="page"/>
      </w:r>
    </w:p>
    <w:p>
      <w:pPr>
        <w:spacing w:before="300" w:after="150"/>
        <w:jc w:val="left"/>
      </w:pPr>
      <w:r>
        <w:rPr>
          <w:rFonts w:ascii="Times New Roman" w:cs="Times New Roman" w:eastAsia="Times New Roman" w:hAnsi="Times New Roman"/>
          <w:b/>
          <w:bCs/>
          <w:color w:val="1B2A4A"/>
          <w:sz w:val="28"/>
          <w:szCs w:val="28"/>
        </w:rPr>
        <w:t xml:space="preserve">RECITALS</w:t>
      </w:r>
    </w:p>
    <w:p>
      <w:pPr>
        <w:spacing w:before="100" w:after="60" w:line="276"/>
        <w:jc w:val="both"/>
      </w:pPr>
      <w:r>
        <w:rPr>
          <w:rFonts w:ascii="Times New Roman" w:cs="Times New Roman" w:eastAsia="Times New Roman" w:hAnsi="Times New Roman"/>
          <w:b w:val="false"/>
          <w:bCs w:val="false"/>
          <w:color w:val="333333"/>
          <w:sz w:val="22"/>
          <w:szCs w:val="22"/>
        </w:rPr>
        <w:t xml:space="preserve">WHEREAS the Custodian is a company incorporated under the laws of Hong Kong SAR, engaged in the facilitation of cross-border carbon credit transactions, with operational expertise spanning the European Union Emissions Trading System and the People’s Republic of China pilot emissions trading schemes;</w:t>
      </w:r>
    </w:p>
    <w:p>
      <w:pPr>
        <w:spacing w:before="100" w:after="60" w:line="276"/>
        <w:jc w:val="both"/>
      </w:pPr>
      <w:r>
        <w:rPr>
          <w:rFonts w:ascii="Times New Roman" w:cs="Times New Roman" w:eastAsia="Times New Roman" w:hAnsi="Times New Roman"/>
          <w:b w:val="false"/>
          <w:bCs w:val="false"/>
          <w:color w:val="333333"/>
          <w:sz w:val="22"/>
          <w:szCs w:val="22"/>
        </w:rPr>
        <w:t xml:space="preserve">WHEREAS the Custodian operates in compliance with all applicable Hong Kong legislation, including applicable anti-money laundering and counter-terrorist financing legislation and applicable companies legislation;</w:t>
      </w:r>
    </w:p>
    <w:p>
      <w:pPr>
        <w:spacing w:before="100" w:after="60" w:line="276"/>
        <w:jc w:val="both"/>
      </w:pPr>
      <w:r>
        <w:rPr>
          <w:rFonts w:ascii="Times New Roman" w:cs="Times New Roman" w:eastAsia="Times New Roman" w:hAnsi="Times New Roman"/>
          <w:b w:val="false"/>
          <w:bCs w:val="false"/>
          <w:color w:val="333333"/>
          <w:sz w:val="22"/>
          <w:szCs w:val="22"/>
        </w:rPr>
        <w:t xml:space="preserve">WHEREAS the Client is a corporate entity duly organised and existing under the laws of its jurisdiction of incorporation, seeking to access carbon credit markets through the Custodian’s facilitation infrastructure;</w:t>
      </w:r>
    </w:p>
    <w:p>
      <w:pPr>
        <w:spacing w:before="100" w:after="60" w:line="276"/>
        <w:jc w:val="both"/>
      </w:pPr>
      <w:r>
        <w:rPr>
          <w:rFonts w:ascii="Times New Roman" w:cs="Times New Roman" w:eastAsia="Times New Roman" w:hAnsi="Times New Roman"/>
          <w:b w:val="false"/>
          <w:bCs w:val="false"/>
          <w:color w:val="333333"/>
          <w:sz w:val="22"/>
          <w:szCs w:val="22"/>
        </w:rPr>
        <w:t xml:space="preserve">WHEREAS the parties wish to establish the terms under which the Custodian shall acquire, hold, and manage Carbon Credits on behalf of the Client, with the Custodian holding legal title and the Client retaining beneficial ownership;</w:t>
      </w:r>
    </w:p>
    <w:p>
      <w:pPr>
        <w:spacing w:before="100" w:after="60" w:line="276"/>
        <w:jc w:val="both"/>
      </w:pPr>
      <w:r>
        <w:rPr>
          <w:rFonts w:ascii="Times New Roman" w:cs="Times New Roman" w:eastAsia="Times New Roman" w:hAnsi="Times New Roman"/>
          <w:b w:val="false"/>
          <w:bCs w:val="false"/>
          <w:color w:val="333333"/>
          <w:sz w:val="22"/>
          <w:szCs w:val="22"/>
        </w:rPr>
        <w:t xml:space="preserve">WHEREAS the parties acknowledge that the structural separation between EU and PRC carbon markets necessitates an intermediation structure whereby the Custodian acts as principal counterparty to effect cross-border value exchanges;</w:t>
      </w:r>
    </w:p>
    <w:p>
      <w:pPr>
        <w:spacing w:before="200" w:after="60" w:line="276"/>
        <w:jc w:val="both"/>
      </w:pPr>
      <w:r>
        <w:rPr>
          <w:rFonts w:ascii="Times New Roman" w:cs="Times New Roman" w:eastAsia="Times New Roman" w:hAnsi="Times New Roman"/>
          <w:b/>
          <w:bCs/>
          <w:color w:val="333333"/>
          <w:sz w:val="22"/>
          <w:szCs w:val="22"/>
        </w:rPr>
        <w:t xml:space="preserve">NOW, THEREFORE, in consideration of the mutual covenants and agreements contained herein, and for other good and valuable consideration, the receipt and sufficiency of which are hereby acknowledged, the parties agree as follows:</w:t>
      </w:r>
    </w:p>
    <w:p>
      <w:pPr>
        <w:spacing w:before="360" w:after="120"/>
        <w:jc w:val="left"/>
      </w:pPr>
      <w:r>
        <w:rPr>
          <w:rFonts w:ascii="Times New Roman" w:cs="Times New Roman" w:eastAsia="Times New Roman" w:hAnsi="Times New Roman"/>
          <w:b/>
          <w:bCs/>
          <w:color w:val="1B2A4A"/>
          <w:sz w:val="22"/>
          <w:szCs w:val="22"/>
        </w:rPr>
        <w:t xml:space="preserve">ARTICLE 1</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DEFINITIONS AND INTERPRETATION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1.1	</w:t>
      </w:r>
      <w:r>
        <w:rPr>
          <w:rFonts w:ascii="Times New Roman" w:cs="Times New Roman" w:eastAsia="Times New Roman" w:hAnsi="Times New Roman"/>
          <w:color w:val="333333"/>
          <w:sz w:val="22"/>
          <w:szCs w:val="22"/>
        </w:rPr>
        <w:t xml:space="preserve">In this Agreement, unless the context otherwise requires, the following terms shall have the meanings set out below:</w:t>
      </w:r>
    </w:p>
    <w:p>
      <w:pPr>
        <w:spacing w:before="60" w:after="60" w:line="276"/>
        <w:ind w:left="720"/>
        <w:jc w:val="both"/>
      </w:pPr>
      <w:r>
        <w:rPr>
          <w:rFonts w:ascii="Times New Roman" w:cs="Times New Roman" w:eastAsia="Times New Roman" w:hAnsi="Times New Roman"/>
          <w:b/>
          <w:bCs/>
          <w:color w:val="333333"/>
          <w:sz w:val="22"/>
          <w:szCs w:val="22"/>
        </w:rPr>
        <w:t xml:space="preserve">“Applicable Law” </w:t>
      </w:r>
      <w:r>
        <w:rPr>
          <w:rFonts w:ascii="Times New Roman" w:cs="Times New Roman" w:eastAsia="Times New Roman" w:hAnsi="Times New Roman"/>
          <w:color w:val="333333"/>
          <w:sz w:val="22"/>
          <w:szCs w:val="22"/>
        </w:rPr>
        <w:t xml:space="preserve">means all laws, regulations, rules, orders, directives, circulars, and guidelines applicable in Hong Kong SAR, the European Union, the PRC, and any other relevant jurisdiction, as amended from time to time.</w:t>
      </w:r>
    </w:p>
    <w:p>
      <w:pPr>
        <w:spacing w:before="60" w:after="60" w:line="276"/>
        <w:ind w:left="720"/>
        <w:jc w:val="both"/>
      </w:pPr>
      <w:r>
        <w:rPr>
          <w:rFonts w:ascii="Times New Roman" w:cs="Times New Roman" w:eastAsia="Times New Roman" w:hAnsi="Times New Roman"/>
          <w:b/>
          <w:bCs/>
          <w:color w:val="333333"/>
          <w:sz w:val="22"/>
          <w:szCs w:val="22"/>
        </w:rPr>
        <w:t xml:space="preserve">“Business Day” </w:t>
      </w:r>
      <w:r>
        <w:rPr>
          <w:rFonts w:ascii="Times New Roman" w:cs="Times New Roman" w:eastAsia="Times New Roman" w:hAnsi="Times New Roman"/>
          <w:color w:val="333333"/>
          <w:sz w:val="22"/>
          <w:szCs w:val="22"/>
        </w:rPr>
        <w:t xml:space="preserve">means a day on which banks are open for general business in Hong Kong SAR, excluding Saturdays, Sundays, and gazetted public holidays.</w:t>
      </w:r>
    </w:p>
    <w:p>
      <w:pPr>
        <w:spacing w:before="60" w:after="60" w:line="276"/>
        <w:ind w:left="720"/>
        <w:jc w:val="both"/>
      </w:pPr>
      <w:r>
        <w:rPr>
          <w:rFonts w:ascii="Times New Roman" w:cs="Times New Roman" w:eastAsia="Times New Roman" w:hAnsi="Times New Roman"/>
          <w:b/>
          <w:bCs/>
          <w:color w:val="333333"/>
          <w:sz w:val="22"/>
          <w:szCs w:val="22"/>
        </w:rPr>
        <w:t xml:space="preserve">“Carbon Credits” </w:t>
      </w:r>
      <w:r>
        <w:rPr>
          <w:rFonts w:ascii="Times New Roman" w:cs="Times New Roman" w:eastAsia="Times New Roman" w:hAnsi="Times New Roman"/>
          <w:color w:val="333333"/>
          <w:sz w:val="22"/>
          <w:szCs w:val="22"/>
        </w:rPr>
        <w:t xml:space="preserve">means any and all carbon emission allowances, certificates, or credits, including: (i) European Union Allowances (“EUA”); (ii) China Emission Allowances (“CEA”); (iii) China Certified Emission Reductions (“CCER”); (iv) Shenzhen Allowances (“SZA”); (v) Verified Carbon Credits (“VCC”); and (vi) any other carbon-related environmental instrument agreed by the parties in writing. Carbon Credits are traded in whole units only; there are no fractional certificates.</w:t>
      </w:r>
    </w:p>
    <w:p>
      <w:pPr>
        <w:spacing w:before="60" w:after="60" w:line="276"/>
        <w:ind w:left="720"/>
        <w:jc w:val="both"/>
      </w:pPr>
      <w:r>
        <w:rPr>
          <w:rFonts w:ascii="Times New Roman" w:cs="Times New Roman" w:eastAsia="Times New Roman" w:hAnsi="Times New Roman"/>
          <w:b/>
          <w:bCs/>
          <w:color w:val="333333"/>
          <w:sz w:val="22"/>
          <w:szCs w:val="22"/>
        </w:rPr>
        <w:t xml:space="preserve">“Client Ledger” </w:t>
      </w:r>
      <w:r>
        <w:rPr>
          <w:rFonts w:ascii="Times New Roman" w:cs="Times New Roman" w:eastAsia="Times New Roman" w:hAnsi="Times New Roman"/>
          <w:color w:val="333333"/>
          <w:sz w:val="22"/>
          <w:szCs w:val="22"/>
        </w:rPr>
        <w:t xml:space="preserve">means the internal record maintained by the Custodian through the Platform, recording the Client’s beneficial interest in Carbon Credits, including type, volume, acquisition date, and current valuation.</w:t>
      </w:r>
    </w:p>
    <w:p>
      <w:pPr>
        <w:spacing w:before="60" w:after="60" w:line="276"/>
        <w:ind w:left="720"/>
        <w:jc w:val="both"/>
      </w:pPr>
      <w:r>
        <w:rPr>
          <w:rFonts w:ascii="Times New Roman" w:cs="Times New Roman" w:eastAsia="Times New Roman" w:hAnsi="Times New Roman"/>
          <w:b/>
          <w:bCs/>
          <w:color w:val="333333"/>
          <w:sz w:val="22"/>
          <w:szCs w:val="22"/>
        </w:rPr>
        <w:t xml:space="preserve">“Confirmation” </w:t>
      </w:r>
      <w:r>
        <w:rPr>
          <w:rFonts w:ascii="Times New Roman" w:cs="Times New Roman" w:eastAsia="Times New Roman" w:hAnsi="Times New Roman"/>
          <w:color w:val="333333"/>
          <w:sz w:val="22"/>
          <w:szCs w:val="22"/>
        </w:rPr>
        <w:t xml:space="preserve">means the electronic document generated by the Platform evidencing the terms of a Transaction, accessible to the Client through the Platform and delivered by email.</w:t>
      </w:r>
    </w:p>
    <w:p>
      <w:pPr>
        <w:spacing w:before="60" w:after="60" w:line="276"/>
        <w:ind w:left="720"/>
        <w:jc w:val="both"/>
      </w:pPr>
      <w:r>
        <w:rPr>
          <w:rFonts w:ascii="Times New Roman" w:cs="Times New Roman" w:eastAsia="Times New Roman" w:hAnsi="Times New Roman"/>
          <w:b/>
          <w:bCs/>
          <w:color w:val="333333"/>
          <w:sz w:val="22"/>
          <w:szCs w:val="22"/>
        </w:rPr>
        <w:t xml:space="preserve">“Custodian Account” </w:t>
      </w:r>
      <w:r>
        <w:rPr>
          <w:rFonts w:ascii="Times New Roman" w:cs="Times New Roman" w:eastAsia="Times New Roman" w:hAnsi="Times New Roman"/>
          <w:color w:val="333333"/>
          <w:sz w:val="22"/>
          <w:szCs w:val="22"/>
        </w:rPr>
        <w:t xml:space="preserve">means the account(s) maintained by the Custodian at the relevant Registry for holding Carbon Credits.</w:t>
      </w:r>
    </w:p>
    <w:p>
      <w:pPr>
        <w:spacing w:before="60" w:after="60" w:line="276"/>
        <w:ind w:left="720"/>
        <w:jc w:val="both"/>
      </w:pPr>
      <w:r>
        <w:rPr>
          <w:rFonts w:ascii="Times New Roman" w:cs="Times New Roman" w:eastAsia="Times New Roman" w:hAnsi="Times New Roman"/>
          <w:b/>
          <w:bCs/>
          <w:color w:val="333333"/>
          <w:sz w:val="22"/>
          <w:szCs w:val="22"/>
        </w:rPr>
        <w:t xml:space="preserve">“Effective Date” </w:t>
      </w:r>
      <w:r>
        <w:rPr>
          <w:rFonts w:ascii="Times New Roman" w:cs="Times New Roman" w:eastAsia="Times New Roman" w:hAnsi="Times New Roman"/>
          <w:color w:val="333333"/>
          <w:sz w:val="22"/>
          <w:szCs w:val="22"/>
        </w:rPr>
        <w:t xml:space="preserve">means the date of execution by both parties as set out on the cover page of this Agreement.</w:t>
      </w:r>
    </w:p>
    <w:p>
      <w:pPr>
        <w:spacing w:before="60" w:after="60" w:line="276"/>
        <w:ind w:left="720"/>
        <w:jc w:val="both"/>
      </w:pPr>
      <w:r>
        <w:rPr>
          <w:rFonts w:ascii="Times New Roman" w:cs="Times New Roman" w:eastAsia="Times New Roman" w:hAnsi="Times New Roman"/>
          <w:b/>
          <w:bCs/>
          <w:color w:val="333333"/>
          <w:sz w:val="22"/>
          <w:szCs w:val="22"/>
        </w:rPr>
        <w:t xml:space="preserve">“Instruction” </w:t>
      </w:r>
      <w:r>
        <w:rPr>
          <w:rFonts w:ascii="Times New Roman" w:cs="Times New Roman" w:eastAsia="Times New Roman" w:hAnsi="Times New Roman"/>
          <w:color w:val="333333"/>
          <w:sz w:val="22"/>
          <w:szCs w:val="22"/>
        </w:rPr>
        <w:t xml:space="preserve">means a written instruction from the Client to the Custodian, delivered through the Platform or by authenticated electronic means, in the form and manner prescribed by the Custodian from time to time.</w:t>
      </w:r>
    </w:p>
    <w:p>
      <w:pPr>
        <w:spacing w:before="60" w:after="60" w:line="276"/>
        <w:ind w:left="720"/>
        <w:jc w:val="both"/>
      </w:pPr>
      <w:r>
        <w:rPr>
          <w:rFonts w:ascii="Times New Roman" w:cs="Times New Roman" w:eastAsia="Times New Roman" w:hAnsi="Times New Roman"/>
          <w:b/>
          <w:bCs/>
          <w:color w:val="333333"/>
          <w:sz w:val="22"/>
          <w:szCs w:val="22"/>
        </w:rPr>
        <w:t xml:space="preserve">“MSA” </w:t>
      </w:r>
      <w:r>
        <w:rPr>
          <w:rFonts w:ascii="Times New Roman" w:cs="Times New Roman" w:eastAsia="Times New Roman" w:hAnsi="Times New Roman"/>
          <w:color w:val="333333"/>
          <w:sz w:val="22"/>
          <w:szCs w:val="22"/>
        </w:rPr>
        <w:t xml:space="preserve">means the Master Service Agreement entered into between the parties on or about the date of this Agreement.</w:t>
      </w:r>
    </w:p>
    <w:p>
      <w:pPr>
        <w:spacing w:before="60" w:after="60" w:line="276"/>
        <w:ind w:left="720"/>
        <w:jc w:val="both"/>
      </w:pPr>
      <w:r>
        <w:rPr>
          <w:rFonts w:ascii="Times New Roman" w:cs="Times New Roman" w:eastAsia="Times New Roman" w:hAnsi="Times New Roman"/>
          <w:b/>
          <w:bCs/>
          <w:color w:val="333333"/>
          <w:sz w:val="22"/>
          <w:szCs w:val="22"/>
        </w:rPr>
        <w:t xml:space="preserve">“NDA” </w:t>
      </w:r>
      <w:r>
        <w:rPr>
          <w:rFonts w:ascii="Times New Roman" w:cs="Times New Roman" w:eastAsia="Times New Roman" w:hAnsi="Times New Roman"/>
          <w:color w:val="333333"/>
          <w:sz w:val="22"/>
          <w:szCs w:val="22"/>
        </w:rPr>
        <w:t xml:space="preserve">means the Non-Disclosure and Non-Circumvention Agreement entered into between the parties on or about the date of this Agreement.</w:t>
      </w:r>
    </w:p>
    <w:p>
      <w:pPr>
        <w:spacing w:before="60" w:after="60" w:line="276"/>
        <w:ind w:left="720"/>
        <w:jc w:val="both"/>
      </w:pPr>
      <w:r>
        <w:rPr>
          <w:rFonts w:ascii="Times New Roman" w:cs="Times New Roman" w:eastAsia="Times New Roman" w:hAnsi="Times New Roman"/>
          <w:b/>
          <w:bCs/>
          <w:color w:val="333333"/>
          <w:sz w:val="22"/>
          <w:szCs w:val="22"/>
        </w:rPr>
        <w:t xml:space="preserve">“Platform” </w:t>
      </w:r>
      <w:r>
        <w:rPr>
          <w:rFonts w:ascii="Times New Roman" w:cs="Times New Roman" w:eastAsia="Times New Roman" w:hAnsi="Times New Roman"/>
          <w:color w:val="333333"/>
          <w:sz w:val="22"/>
          <w:szCs w:val="22"/>
        </w:rPr>
        <w:t xml:space="preserve">means the NIHA Carbon Platform accessible at https://nihacarbon.com or such successor URL as the Custodian may notify to the Client.</w:t>
      </w:r>
    </w:p>
    <w:p>
      <w:pPr>
        <w:spacing w:before="60" w:after="60" w:line="276"/>
        <w:ind w:left="720"/>
        <w:jc w:val="both"/>
      </w:pPr>
      <w:r>
        <w:rPr>
          <w:rFonts w:ascii="Times New Roman" w:cs="Times New Roman" w:eastAsia="Times New Roman" w:hAnsi="Times New Roman"/>
          <w:b/>
          <w:bCs/>
          <w:color w:val="333333"/>
          <w:sz w:val="22"/>
          <w:szCs w:val="22"/>
        </w:rPr>
        <w:t xml:space="preserve">“Registry” </w:t>
      </w:r>
      <w:r>
        <w:rPr>
          <w:rFonts w:ascii="Times New Roman" w:cs="Times New Roman" w:eastAsia="Times New Roman" w:hAnsi="Times New Roman"/>
          <w:color w:val="333333"/>
          <w:sz w:val="22"/>
          <w:szCs w:val="22"/>
        </w:rPr>
        <w:t xml:space="preserve">means any registry or platform used for the issuance, holding, transfer, retirement, or cancellation of Carbon Credits, including those listed in Schedule B.</w:t>
      </w:r>
    </w:p>
    <w:p>
      <w:pPr>
        <w:spacing w:before="60" w:after="60" w:line="276"/>
        <w:ind w:left="720"/>
        <w:jc w:val="both"/>
      </w:pPr>
      <w:r>
        <w:rPr>
          <w:rFonts w:ascii="Times New Roman" w:cs="Times New Roman" w:eastAsia="Times New Roman" w:hAnsi="Times New Roman"/>
          <w:b/>
          <w:bCs/>
          <w:color w:val="333333"/>
          <w:sz w:val="22"/>
          <w:szCs w:val="22"/>
        </w:rPr>
        <w:t xml:space="preserve">“Segregated Account” </w:t>
      </w:r>
      <w:r>
        <w:rPr>
          <w:rFonts w:ascii="Times New Roman" w:cs="Times New Roman" w:eastAsia="Times New Roman" w:hAnsi="Times New Roman"/>
          <w:color w:val="333333"/>
          <w:sz w:val="22"/>
          <w:szCs w:val="22"/>
        </w:rPr>
        <w:t xml:space="preserve">means the segregated client money account described in Article 6.</w:t>
      </w:r>
    </w:p>
    <w:p>
      <w:pPr>
        <w:spacing w:before="60" w:after="60" w:line="276"/>
        <w:ind w:left="720"/>
        <w:jc w:val="both"/>
      </w:pPr>
      <w:r>
        <w:rPr>
          <w:rFonts w:ascii="Times New Roman" w:cs="Times New Roman" w:eastAsia="Times New Roman" w:hAnsi="Times New Roman"/>
          <w:b/>
          <w:bCs/>
          <w:color w:val="333333"/>
          <w:sz w:val="22"/>
          <w:szCs w:val="22"/>
        </w:rPr>
        <w:t xml:space="preserve">“Transaction” </w:t>
      </w:r>
      <w:r>
        <w:rPr>
          <w:rFonts w:ascii="Times New Roman" w:cs="Times New Roman" w:eastAsia="Times New Roman" w:hAnsi="Times New Roman"/>
          <w:color w:val="333333"/>
          <w:sz w:val="22"/>
          <w:szCs w:val="22"/>
        </w:rPr>
        <w:t xml:space="preserve">means any acquisition, sale, conversion (swap), delivery, retirement, or transfer of Carbon Credits pursuant to this Agreement or the MSA.</w:t>
      </w:r>
    </w:p>
    <w:p>
      <w:pPr>
        <w:spacing w:before="80" w:after="80" w:line="276"/>
        <w:ind w:left="720" w:hanging="720"/>
        <w:jc w:val="both"/>
      </w:pPr>
      <w:r>
        <w:rPr>
          <w:rFonts w:ascii="Times New Roman" w:cs="Times New Roman" w:eastAsia="Times New Roman" w:hAnsi="Times New Roman"/>
          <w:b/>
          <w:bCs/>
          <w:color w:val="333333"/>
          <w:sz w:val="22"/>
          <w:szCs w:val="22"/>
        </w:rPr>
        <w:t xml:space="preserve">1.2	</w:t>
      </w:r>
      <w:r>
        <w:rPr>
          <w:rFonts w:ascii="Times New Roman" w:cs="Times New Roman" w:eastAsia="Times New Roman" w:hAnsi="Times New Roman"/>
          <w:color w:val="333333"/>
          <w:sz w:val="22"/>
          <w:szCs w:val="22"/>
        </w:rPr>
        <w:t xml:space="preserve">References to “parties” means the Custodian and the Client, and “party” means either of them.</w:t>
      </w:r>
    </w:p>
    <w:p>
      <w:pPr>
        <w:spacing w:before="80" w:after="80" w:line="276"/>
        <w:ind w:left="720" w:hanging="720"/>
        <w:jc w:val="both"/>
      </w:pPr>
      <w:r>
        <w:rPr>
          <w:rFonts w:ascii="Times New Roman" w:cs="Times New Roman" w:eastAsia="Times New Roman" w:hAnsi="Times New Roman"/>
          <w:b/>
          <w:bCs/>
          <w:color w:val="333333"/>
          <w:sz w:val="22"/>
          <w:szCs w:val="22"/>
        </w:rPr>
        <w:t xml:space="preserve">1.3	</w:t>
      </w:r>
      <w:r>
        <w:rPr>
          <w:rFonts w:ascii="Times New Roman" w:cs="Times New Roman" w:eastAsia="Times New Roman" w:hAnsi="Times New Roman"/>
          <w:color w:val="333333"/>
          <w:sz w:val="22"/>
          <w:szCs w:val="22"/>
        </w:rPr>
        <w:t xml:space="preserve">Headings are for convenience only and shall not affect interpretation.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1.4	</w:t>
      </w:r>
      <w:r>
        <w:rPr>
          <w:rFonts w:ascii="Times New Roman" w:cs="Times New Roman" w:eastAsia="Times New Roman" w:hAnsi="Times New Roman"/>
          <w:color w:val="333333"/>
          <w:sz w:val="22"/>
          <w:szCs w:val="22"/>
        </w:rPr>
        <w:t xml:space="preserve">References to legislation include amendments, re-enactments, and subsidiary legislation.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1.5	</w:t>
      </w:r>
      <w:r>
        <w:rPr>
          <w:rFonts w:ascii="Times New Roman" w:cs="Times New Roman" w:eastAsia="Times New Roman" w:hAnsi="Times New Roman"/>
          <w:color w:val="333333"/>
          <w:sz w:val="22"/>
          <w:szCs w:val="22"/>
        </w:rPr>
        <w:t xml:space="preserve">This Agreement shall be read in conjunction with the MSA and the NDA. In the event of conflict: (i) regarding confidentiality and non-circumvention, the NDA shall prevail; (ii) regarding service scope, pricing, and transaction execution, the MSA shall prevail; (iii) regarding custody arrangements, segregation, and safekeeping, this Agreement shall prevail.</w:t>
      </w:r>
    </w:p>
    <w:p>
      <w:pPr>
        <w:spacing w:before="360" w:after="120"/>
        <w:jc w:val="left"/>
      </w:pPr>
      <w:r>
        <w:rPr>
          <w:rFonts w:ascii="Times New Roman" w:cs="Times New Roman" w:eastAsia="Times New Roman" w:hAnsi="Times New Roman"/>
          <w:b/>
          <w:bCs/>
          <w:color w:val="1B2A4A"/>
          <w:sz w:val="22"/>
          <w:szCs w:val="22"/>
        </w:rPr>
        <w:t xml:space="preserve">ARTICLE 2</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APPOINTMENT AND ROLE OF THE CUSTODIAN</w:t>
      </w:r>
    </w:p>
    <w:p>
      <w:pPr>
        <w:spacing w:before="80" w:after="80" w:line="276"/>
        <w:ind w:left="720" w:hanging="720"/>
        <w:jc w:val="both"/>
      </w:pPr>
      <w:r>
        <w:rPr>
          <w:rFonts w:ascii="Times New Roman" w:cs="Times New Roman" w:eastAsia="Times New Roman" w:hAnsi="Times New Roman"/>
          <w:b/>
          <w:bCs/>
          <w:color w:val="333333"/>
          <w:sz w:val="22"/>
          <w:szCs w:val="22"/>
        </w:rPr>
        <w:t xml:space="preserve">2.1	</w:t>
      </w:r>
      <w:r>
        <w:rPr>
          <w:rFonts w:ascii="Times New Roman" w:cs="Times New Roman" w:eastAsia="Times New Roman" w:hAnsi="Times New Roman"/>
          <w:color w:val="333333"/>
          <w:sz w:val="22"/>
          <w:szCs w:val="22"/>
        </w:rPr>
        <w:t xml:space="preserve">The Client hereby appoints the Custodian to acquire, hold, manage, and deal with Carbon Credits in accordance with the terms of this Agreement. The Custodian accepts such appointment.</w:t>
      </w:r>
    </w:p>
    <w:p>
      <w:pPr>
        <w:spacing w:before="80" w:after="80" w:line="276"/>
        <w:ind w:left="720" w:hanging="720"/>
        <w:jc w:val="both"/>
      </w:pPr>
      <w:r>
        <w:rPr>
          <w:rFonts w:ascii="Times New Roman" w:cs="Times New Roman" w:eastAsia="Times New Roman" w:hAnsi="Times New Roman"/>
          <w:b/>
          <w:bCs/>
          <w:color w:val="333333"/>
          <w:sz w:val="22"/>
          <w:szCs w:val="22"/>
        </w:rPr>
        <w:t xml:space="preserve">2.2	</w:t>
      </w:r>
      <w:r>
        <w:rPr>
          <w:rFonts w:ascii="Times New Roman" w:cs="Times New Roman" w:eastAsia="Times New Roman" w:hAnsi="Times New Roman"/>
          <w:color w:val="333333"/>
          <w:sz w:val="22"/>
          <w:szCs w:val="22"/>
        </w:rPr>
        <w:t xml:space="preserve">The Client acknowledges and agrees that the Custodian acts as a facilitator of cross-border carbon credit transactions. Due to the structural separation between EU and PRC carbon markets, the Custodian employs a principal counterparty structure to effect Transactions. Under this structure, legal title to Carbon Credits vests in the Custodian upon acquisition, with the Client retaining beneficial ownership as recorded in the Client Ledger.</w:t>
      </w:r>
    </w:p>
    <w:p>
      <w:pPr>
        <w:spacing w:before="80" w:after="80" w:line="276"/>
        <w:ind w:left="720" w:hanging="720"/>
        <w:jc w:val="both"/>
      </w:pPr>
      <w:r>
        <w:rPr>
          <w:rFonts w:ascii="Times New Roman" w:cs="Times New Roman" w:eastAsia="Times New Roman" w:hAnsi="Times New Roman"/>
          <w:b/>
          <w:bCs/>
          <w:color w:val="333333"/>
          <w:sz w:val="22"/>
          <w:szCs w:val="22"/>
        </w:rPr>
        <w:t xml:space="preserve">2.3	</w:t>
      </w:r>
      <w:r>
        <w:rPr>
          <w:rFonts w:ascii="Times New Roman" w:cs="Times New Roman" w:eastAsia="Times New Roman" w:hAnsi="Times New Roman"/>
          <w:color w:val="333333"/>
          <w:sz w:val="22"/>
          <w:szCs w:val="22"/>
        </w:rPr>
        <w:t xml:space="preserve">For the avoidance of doubt, the Custodian is NOT acting as:</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a trustee or fiduciary, except to the extent expressly stated in this Agreement regarding the segregation of Carbon Credits and Client funds;</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an investment adviser or financial adviser;</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an exchange or marketplace operator.</w:t>
      </w:r>
    </w:p>
    <w:p>
      <w:pPr>
        <w:spacing w:before="80" w:after="80" w:line="276"/>
        <w:ind w:left="720" w:hanging="720"/>
        <w:jc w:val="both"/>
      </w:pPr>
      <w:r>
        <w:rPr>
          <w:rFonts w:ascii="Times New Roman" w:cs="Times New Roman" w:eastAsia="Times New Roman" w:hAnsi="Times New Roman"/>
          <w:b/>
          <w:bCs/>
          <w:color w:val="333333"/>
          <w:sz w:val="22"/>
          <w:szCs w:val="22"/>
        </w:rPr>
        <w:t xml:space="preserve">2.4	</w:t>
      </w:r>
      <w:r>
        <w:rPr>
          <w:rFonts w:ascii="Times New Roman" w:cs="Times New Roman" w:eastAsia="Times New Roman" w:hAnsi="Times New Roman"/>
          <w:color w:val="333333"/>
          <w:sz w:val="22"/>
          <w:szCs w:val="22"/>
        </w:rPr>
        <w:t xml:space="preserve">The Custodian’s obligation under this Agreement is to deliver Carbon Credits equivalent in type and volume to those recorded in the Client Ledger, upon the Client’s valid Instruction. The Custodian is not obligated to deliver the identical Carbon Credits originally acquired.</w:t>
      </w:r>
    </w:p>
    <w:p>
      <w:pPr>
        <w:spacing w:before="360" w:after="120"/>
        <w:jc w:val="left"/>
      </w:pPr>
      <w:r>
        <w:rPr>
          <w:rFonts w:ascii="Times New Roman" w:cs="Times New Roman" w:eastAsia="Times New Roman" w:hAnsi="Times New Roman"/>
          <w:b/>
          <w:bCs/>
          <w:color w:val="1B2A4A"/>
          <w:sz w:val="22"/>
          <w:szCs w:val="22"/>
        </w:rPr>
        <w:t xml:space="preserve">ARTICLE 3</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CUSTODY ARRANGEMENTS</w:t>
      </w:r>
    </w:p>
    <w:p>
      <w:pPr>
        <w:spacing w:before="80" w:after="80" w:line="276"/>
        <w:ind w:left="720" w:hanging="720"/>
        <w:jc w:val="both"/>
      </w:pPr>
      <w:r>
        <w:rPr>
          <w:rFonts w:ascii="Times New Roman" w:cs="Times New Roman" w:eastAsia="Times New Roman" w:hAnsi="Times New Roman"/>
          <w:b/>
          <w:bCs/>
          <w:color w:val="333333"/>
          <w:sz w:val="22"/>
          <w:szCs w:val="22"/>
        </w:rPr>
        <w:t xml:space="preserve">3.1	</w:t>
      </w:r>
      <w:r>
        <w:rPr>
          <w:rFonts w:ascii="Times New Roman" w:cs="Times New Roman" w:eastAsia="Times New Roman" w:hAnsi="Times New Roman"/>
          <w:color w:val="333333"/>
          <w:sz w:val="22"/>
          <w:szCs w:val="22"/>
        </w:rPr>
        <w:t xml:space="preserve">Segregation. The Custodian shall maintain the Client Ledger as a separate record, distinguishing the Client’s beneficial holdings from: (i) the Custodian’s proprietary Carbon Credits; and (ii) Carbon Credits held on behalf of other clients.</w:t>
      </w:r>
    </w:p>
    <w:p>
      <w:pPr>
        <w:spacing w:before="80" w:after="80" w:line="276"/>
        <w:ind w:left="720" w:hanging="720"/>
        <w:jc w:val="both"/>
      </w:pPr>
      <w:r>
        <w:rPr>
          <w:rFonts w:ascii="Times New Roman" w:cs="Times New Roman" w:eastAsia="Times New Roman" w:hAnsi="Times New Roman"/>
          <w:b/>
          <w:bCs/>
          <w:color w:val="333333"/>
          <w:sz w:val="22"/>
          <w:szCs w:val="22"/>
        </w:rPr>
        <w:t xml:space="preserve">3.2	</w:t>
      </w:r>
      <w:r>
        <w:rPr>
          <w:rFonts w:ascii="Times New Roman" w:cs="Times New Roman" w:eastAsia="Times New Roman" w:hAnsi="Times New Roman"/>
          <w:color w:val="333333"/>
          <w:sz w:val="22"/>
          <w:szCs w:val="22"/>
        </w:rPr>
        <w:t xml:space="preserve">Omnibus Accounts. The Client acknowledges that Carbon Credits may be held in omnibus accounts at the relevant Registry. The Custodian shall at all times maintain accurate sub-account records through the Platform sufficient to identify each client’s beneficial interest.</w:t>
      </w:r>
    </w:p>
    <w:p>
      <w:pPr>
        <w:spacing w:before="80" w:after="80" w:line="276"/>
        <w:ind w:left="720" w:hanging="720"/>
        <w:jc w:val="both"/>
      </w:pPr>
      <w:r>
        <w:rPr>
          <w:rFonts w:ascii="Times New Roman" w:cs="Times New Roman" w:eastAsia="Times New Roman" w:hAnsi="Times New Roman"/>
          <w:b/>
          <w:bCs/>
          <w:color w:val="333333"/>
          <w:sz w:val="22"/>
          <w:szCs w:val="22"/>
        </w:rPr>
        <w:t xml:space="preserve">3.3	</w:t>
      </w:r>
      <w:r>
        <w:rPr>
          <w:rFonts w:ascii="Times New Roman" w:cs="Times New Roman" w:eastAsia="Times New Roman" w:hAnsi="Times New Roman"/>
          <w:color w:val="333333"/>
          <w:sz w:val="22"/>
          <w:szCs w:val="22"/>
        </w:rPr>
        <w:t xml:space="preserve">No Encumbrance. The Custodian shall not pledge, lend, hypothecate, or otherwise encumber any Carbon Credits in which the Client holds a beneficial interest, without the prior written consent of the Client.</w:t>
      </w:r>
    </w:p>
    <w:p>
      <w:pPr>
        <w:spacing w:before="80" w:after="80" w:line="276"/>
        <w:ind w:left="720" w:hanging="720"/>
        <w:jc w:val="both"/>
      </w:pPr>
      <w:r>
        <w:rPr>
          <w:rFonts w:ascii="Times New Roman" w:cs="Times New Roman" w:eastAsia="Times New Roman" w:hAnsi="Times New Roman"/>
          <w:b/>
          <w:bCs/>
          <w:color w:val="333333"/>
          <w:sz w:val="22"/>
          <w:szCs w:val="22"/>
        </w:rPr>
        <w:t xml:space="preserve">3.4	</w:t>
      </w:r>
      <w:r>
        <w:rPr>
          <w:rFonts w:ascii="Times New Roman" w:cs="Times New Roman" w:eastAsia="Times New Roman" w:hAnsi="Times New Roman"/>
          <w:color w:val="333333"/>
          <w:sz w:val="22"/>
          <w:szCs w:val="22"/>
        </w:rPr>
        <w:t xml:space="preserve">Security. The Custodian shall implement and maintain reasonable security measures to protect Registry account credentials, including but not limited to multi-factor authentication, IP whitelisting, and access logging.</w:t>
      </w:r>
    </w:p>
    <w:p>
      <w:pPr>
        <w:spacing w:before="80" w:after="80" w:line="276"/>
        <w:ind w:left="720" w:hanging="720"/>
        <w:jc w:val="both"/>
      </w:pPr>
      <w:r>
        <w:rPr>
          <w:rFonts w:ascii="Times New Roman" w:cs="Times New Roman" w:eastAsia="Times New Roman" w:hAnsi="Times New Roman"/>
          <w:b/>
          <w:bCs/>
          <w:color w:val="333333"/>
          <w:sz w:val="22"/>
          <w:szCs w:val="22"/>
        </w:rPr>
        <w:t xml:space="preserve">3.5	</w:t>
      </w:r>
      <w:r>
        <w:rPr>
          <w:rFonts w:ascii="Times New Roman" w:cs="Times New Roman" w:eastAsia="Times New Roman" w:hAnsi="Times New Roman"/>
          <w:color w:val="333333"/>
          <w:sz w:val="22"/>
          <w:szCs w:val="22"/>
        </w:rPr>
        <w:t xml:space="preserve">Sub-Custody. The Custodian may appoint sub-custodians for the purpose of holding Carbon Credits at specific Registries, provided that: (i) the Custodian gives the Client prior written notice; (ii) the sub-custodian is a reputable institution with adequate operational infrastructure; and (iii) the Custodian remains liable for the acts and omissions of any sub-custodian as if they were its own.</w:t>
      </w:r>
    </w:p>
    <w:p>
      <w:pPr>
        <w:spacing w:before="360" w:after="120"/>
        <w:jc w:val="left"/>
      </w:pPr>
      <w:r>
        <w:rPr>
          <w:rFonts w:ascii="Times New Roman" w:cs="Times New Roman" w:eastAsia="Times New Roman" w:hAnsi="Times New Roman"/>
          <w:b/>
          <w:bCs/>
          <w:color w:val="1B2A4A"/>
          <w:sz w:val="22"/>
          <w:szCs w:val="22"/>
        </w:rPr>
        <w:t xml:space="preserve">ARTICLE 4</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CLIENT INSTRUCTIONS AND TRANSACTIONS</w:t>
      </w:r>
    </w:p>
    <w:p>
      <w:pPr>
        <w:spacing w:before="80" w:after="80" w:line="276"/>
        <w:ind w:left="720" w:hanging="720"/>
        <w:jc w:val="both"/>
      </w:pPr>
      <w:r>
        <w:rPr>
          <w:rFonts w:ascii="Times New Roman" w:cs="Times New Roman" w:eastAsia="Times New Roman" w:hAnsi="Times New Roman"/>
          <w:b/>
          <w:bCs/>
          <w:color w:val="333333"/>
          <w:sz w:val="22"/>
          <w:szCs w:val="22"/>
        </w:rPr>
        <w:t xml:space="preserve">4.1	</w:t>
      </w:r>
      <w:r>
        <w:rPr>
          <w:rFonts w:ascii="Times New Roman" w:cs="Times New Roman" w:eastAsia="Times New Roman" w:hAnsi="Times New Roman"/>
          <w:color w:val="333333"/>
          <w:sz w:val="22"/>
          <w:szCs w:val="22"/>
        </w:rPr>
        <w:t xml:space="preserve">The Client may issue Instructions to the Custodian through the Platform for:</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acquisition of Carbon Credits at prices agreed between the parties or at prevailing market prices;</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conversion (swap) of Carbon Credits from one type to another through the Custodian’s cross-border principal counterparty mechanism;</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delivery of Carbon Credits to a third-party Registry account designated by the Client;</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retirement of Carbon Credits in the Client’s name for compliance or voluntary purposes;</w:t>
      </w:r>
    </w:p>
    <w:p>
      <w:pPr>
        <w:spacing w:before="40" w:after="40" w:line="276"/>
        <w:ind w:left="1080" w:hanging="360"/>
        <w:jc w:val="both"/>
      </w:pPr>
      <w:r>
        <w:rPr>
          <w:rFonts w:ascii="Times New Roman" w:cs="Times New Roman" w:eastAsia="Times New Roman" w:hAnsi="Times New Roman"/>
          <w:color w:val="333333"/>
          <w:sz w:val="22"/>
          <w:szCs w:val="22"/>
        </w:rPr>
        <w:t xml:space="preserve">(e)	</w:t>
      </w:r>
      <w:r>
        <w:rPr>
          <w:rFonts w:ascii="Times New Roman" w:cs="Times New Roman" w:eastAsia="Times New Roman" w:hAnsi="Times New Roman"/>
          <w:color w:val="333333"/>
          <w:sz w:val="22"/>
          <w:szCs w:val="22"/>
        </w:rPr>
        <w:t xml:space="preserve">sale of Carbon Credits at prices agreed between the parties.</w:t>
      </w:r>
    </w:p>
    <w:p>
      <w:pPr>
        <w:spacing w:before="80" w:after="80" w:line="276"/>
        <w:ind w:left="720" w:hanging="720"/>
        <w:jc w:val="both"/>
      </w:pPr>
      <w:r>
        <w:rPr>
          <w:rFonts w:ascii="Times New Roman" w:cs="Times New Roman" w:eastAsia="Times New Roman" w:hAnsi="Times New Roman"/>
          <w:b/>
          <w:bCs/>
          <w:color w:val="333333"/>
          <w:sz w:val="22"/>
          <w:szCs w:val="22"/>
        </w:rPr>
        <w:t xml:space="preserve">4.2	</w:t>
      </w:r>
      <w:r>
        <w:rPr>
          <w:rFonts w:ascii="Times New Roman" w:cs="Times New Roman" w:eastAsia="Times New Roman" w:hAnsi="Times New Roman"/>
          <w:color w:val="333333"/>
          <w:sz w:val="22"/>
          <w:szCs w:val="22"/>
        </w:rPr>
        <w:t xml:space="preserve">Each Transaction shall be documented by a Confirmation generated by the Platform, specifying the type, volume, price, settlement date, and any special conditions.</w:t>
      </w:r>
    </w:p>
    <w:p>
      <w:pPr>
        <w:spacing w:before="80" w:after="80" w:line="276"/>
        <w:ind w:left="720" w:hanging="720"/>
        <w:jc w:val="both"/>
      </w:pPr>
      <w:r>
        <w:rPr>
          <w:rFonts w:ascii="Times New Roman" w:cs="Times New Roman" w:eastAsia="Times New Roman" w:hAnsi="Times New Roman"/>
          <w:b/>
          <w:bCs/>
          <w:color w:val="333333"/>
          <w:sz w:val="22"/>
          <w:szCs w:val="22"/>
        </w:rPr>
        <w:t xml:space="preserve">4.3	</w:t>
      </w:r>
      <w:r>
        <w:rPr>
          <w:rFonts w:ascii="Times New Roman" w:cs="Times New Roman" w:eastAsia="Times New Roman" w:hAnsi="Times New Roman"/>
          <w:color w:val="333333"/>
          <w:sz w:val="22"/>
          <w:szCs w:val="22"/>
        </w:rPr>
        <w:t xml:space="preserve">The Custodian shall use commercially reasonable efforts to execute Instructions within the settlement windows specified in Article 5.</w:t>
      </w:r>
    </w:p>
    <w:p>
      <w:pPr>
        <w:spacing w:before="80" w:after="80" w:line="276"/>
        <w:ind w:left="720" w:hanging="720"/>
        <w:jc w:val="both"/>
      </w:pPr>
      <w:r>
        <w:rPr>
          <w:rFonts w:ascii="Times New Roman" w:cs="Times New Roman" w:eastAsia="Times New Roman" w:hAnsi="Times New Roman"/>
          <w:b/>
          <w:bCs/>
          <w:color w:val="333333"/>
          <w:sz w:val="22"/>
          <w:szCs w:val="22"/>
        </w:rPr>
        <w:t xml:space="preserve">4.4	</w:t>
      </w:r>
      <w:r>
        <w:rPr>
          <w:rFonts w:ascii="Times New Roman" w:cs="Times New Roman" w:eastAsia="Times New Roman" w:hAnsi="Times New Roman"/>
          <w:color w:val="333333"/>
          <w:sz w:val="22"/>
          <w:szCs w:val="22"/>
        </w:rPr>
        <w:t xml:space="preserve">The Custodian may decline an Instruction if: (i) it would cause the Custodian to breach Applicable Law; (ii) the Client has insufficient funds on deposit; (iii) market conditions render execution impracticable; or (iv) the requested Carbon Credits are not available in the relevant market within a reasonable timeframe. The Custodian shall notify the Client promptly of any such refusal with reasons.</w:t>
      </w:r>
    </w:p>
    <w:p>
      <w:pPr>
        <w:spacing w:before="360" w:after="120"/>
        <w:jc w:val="left"/>
      </w:pPr>
      <w:r>
        <w:rPr>
          <w:rFonts w:ascii="Times New Roman" w:cs="Times New Roman" w:eastAsia="Times New Roman" w:hAnsi="Times New Roman"/>
          <w:b/>
          <w:bCs/>
          <w:color w:val="1B2A4A"/>
          <w:sz w:val="22"/>
          <w:szCs w:val="22"/>
        </w:rPr>
        <w:t xml:space="preserve">ARTICLE 5</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SETTLEMENT TIMELINES</w:t>
      </w:r>
    </w:p>
    <w:p>
      <w:pPr>
        <w:spacing w:before="80" w:after="80" w:line="276"/>
        <w:ind w:left="720" w:hanging="720"/>
        <w:jc w:val="both"/>
      </w:pPr>
      <w:r>
        <w:rPr>
          <w:rFonts w:ascii="Times New Roman" w:cs="Times New Roman" w:eastAsia="Times New Roman" w:hAnsi="Times New Roman"/>
          <w:b/>
          <w:bCs/>
          <w:color w:val="333333"/>
          <w:sz w:val="22"/>
          <w:szCs w:val="22"/>
        </w:rPr>
        <w:t xml:space="preserve">5.1	</w:t>
      </w:r>
      <w:r>
        <w:rPr>
          <w:rFonts w:ascii="Times New Roman" w:cs="Times New Roman" w:eastAsia="Times New Roman" w:hAnsi="Times New Roman"/>
          <w:color w:val="333333"/>
          <w:sz w:val="22"/>
          <w:szCs w:val="22"/>
        </w:rPr>
        <w:t xml:space="preserve">Standard settlement windows are as follows (all timelines expressed in Business Days from trade date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Transaction Type</w:t>
            </w:r>
          </w:p>
        </w:tc>
        <w:tc>
          <w:tcPr>
            <w:tcW w:type="dxa" w:w="2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Settlement Timeline</w:t>
            </w:r>
          </w:p>
        </w:tc>
        <w:tc>
          <w:tcPr>
            <w:tcW w:type="dxa" w:w="356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CEA Cash Purchase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T+3 (standard); T+5 (complex)</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Pre-funding model; Client must have cleared funds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Swap — CEA leg</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T+2</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CEA transferred to the EUA holder’s account</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Swap — EUA leg</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T+5</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EUA transferred to the Client’s EU entity account</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Full cycle (purchase → swap → EUA)</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T+10</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Composite: CEA T+3 + Swap CEA T+2 + EUA T+5</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Delivery to third-party accounts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T+3 to T+5</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Subject to receiving Registry processing</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Retirement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T+5 to T+10</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Subject to Registry processing times</w:t>
            </w:r>
          </w:p>
        </w:tc>
      </w:tr>
    </w:tbl>
    <w:p>
      <w:pPr>
        <w:spacing w:before="80" w:after="80" w:line="276"/>
        <w:ind w:left="720" w:hanging="720"/>
        <w:jc w:val="both"/>
      </w:pPr>
      <w:r>
        <w:rPr>
          <w:rFonts w:ascii="Times New Roman" w:cs="Times New Roman" w:eastAsia="Times New Roman" w:hAnsi="Times New Roman"/>
          <w:b/>
          <w:bCs/>
          <w:color w:val="333333"/>
          <w:sz w:val="22"/>
          <w:szCs w:val="22"/>
        </w:rPr>
        <w:t xml:space="preserve">5.2	</w:t>
      </w:r>
      <w:r>
        <w:rPr>
          <w:rFonts w:ascii="Times New Roman" w:cs="Times New Roman" w:eastAsia="Times New Roman" w:hAnsi="Times New Roman"/>
          <w:color w:val="333333"/>
          <w:sz w:val="22"/>
          <w:szCs w:val="22"/>
        </w:rPr>
        <w:t xml:space="preserve">If the Custodian is unable to settle by the settlement date due to causes beyond its reasonable control (including Registry delays, regulatory actions, or counterparty defaults), the Custodian shall notify the Client promptly and settlement shall be extended by a reasonable period not exceeding ten (10) Business Days.</w:t>
      </w:r>
    </w:p>
    <w:p>
      <w:pPr>
        <w:spacing w:before="80" w:after="80" w:line="276"/>
        <w:ind w:left="720" w:hanging="720"/>
        <w:jc w:val="both"/>
      </w:pPr>
      <w:r>
        <w:rPr>
          <w:rFonts w:ascii="Times New Roman" w:cs="Times New Roman" w:eastAsia="Times New Roman" w:hAnsi="Times New Roman"/>
          <w:b/>
          <w:bCs/>
          <w:color w:val="333333"/>
          <w:sz w:val="22"/>
          <w:szCs w:val="22"/>
        </w:rPr>
        <w:t xml:space="preserve">5.3	</w:t>
      </w:r>
      <w:r>
        <w:rPr>
          <w:rFonts w:ascii="Times New Roman" w:cs="Times New Roman" w:eastAsia="Times New Roman" w:hAnsi="Times New Roman"/>
          <w:color w:val="333333"/>
          <w:sz w:val="22"/>
          <w:szCs w:val="22"/>
        </w:rPr>
        <w:t xml:space="preserve">If settlement cannot be effected within the extended period, the Client may elect to: (i) continue to wait; (ii) cancel the Transaction and receive a full refund of funds paid; or (iii) accept alternative Carbon Credits of equivalent value, subject to the Client’s written consent.</w:t>
      </w:r>
    </w:p>
    <w:p>
      <w:pPr>
        <w:spacing w:before="360" w:after="120"/>
        <w:jc w:val="left"/>
      </w:pPr>
      <w:r>
        <w:rPr>
          <w:rFonts w:ascii="Times New Roman" w:cs="Times New Roman" w:eastAsia="Times New Roman" w:hAnsi="Times New Roman"/>
          <w:b/>
          <w:bCs/>
          <w:color w:val="1B2A4A"/>
          <w:sz w:val="22"/>
          <w:szCs w:val="22"/>
        </w:rPr>
        <w:t xml:space="preserve">ARTICLE 6</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CLIENT FUNDS</w:t>
      </w:r>
    </w:p>
    <w:p>
      <w:pPr>
        <w:spacing w:before="80" w:after="80" w:line="276"/>
        <w:ind w:left="720" w:hanging="720"/>
        <w:jc w:val="both"/>
      </w:pPr>
      <w:r>
        <w:rPr>
          <w:rFonts w:ascii="Times New Roman" w:cs="Times New Roman" w:eastAsia="Times New Roman" w:hAnsi="Times New Roman"/>
          <w:b/>
          <w:bCs/>
          <w:color w:val="333333"/>
          <w:sz w:val="22"/>
          <w:szCs w:val="22"/>
        </w:rPr>
        <w:t xml:space="preserve">6.1	</w:t>
      </w:r>
      <w:r>
        <w:rPr>
          <w:rFonts w:ascii="Times New Roman" w:cs="Times New Roman" w:eastAsia="Times New Roman" w:hAnsi="Times New Roman"/>
          <w:color w:val="333333"/>
          <w:sz w:val="22"/>
          <w:szCs w:val="22"/>
        </w:rPr>
        <w:t xml:space="preserve">The Client shall deposit funds with the Custodian in advance of Transactions, by wire transfer to the Designated Bank Account set out in Schedule C.</w:t>
      </w:r>
    </w:p>
    <w:p>
      <w:pPr>
        <w:spacing w:before="80" w:after="80" w:line="276"/>
        <w:ind w:left="720" w:hanging="720"/>
        <w:jc w:val="both"/>
      </w:pPr>
      <w:r>
        <w:rPr>
          <w:rFonts w:ascii="Times New Roman" w:cs="Times New Roman" w:eastAsia="Times New Roman" w:hAnsi="Times New Roman"/>
          <w:b/>
          <w:bCs/>
          <w:color w:val="333333"/>
          <w:sz w:val="22"/>
          <w:szCs w:val="22"/>
        </w:rPr>
        <w:t xml:space="preserve">6.2	</w:t>
      </w:r>
      <w:r>
        <w:rPr>
          <w:rFonts w:ascii="Times New Roman" w:cs="Times New Roman" w:eastAsia="Times New Roman" w:hAnsi="Times New Roman"/>
          <w:color w:val="333333"/>
          <w:sz w:val="22"/>
          <w:szCs w:val="22"/>
        </w:rPr>
        <w:t xml:space="preserve">Client funds shall be held in a segregated bank account (the “Segregated Account”) at a licensed Hong Kong bank, separate from the Custodian’s operational accounts.</w:t>
      </w:r>
    </w:p>
    <w:p>
      <w:pPr>
        <w:spacing w:before="80" w:after="80" w:line="276"/>
        <w:ind w:left="720" w:hanging="720"/>
        <w:jc w:val="both"/>
      </w:pPr>
      <w:r>
        <w:rPr>
          <w:rFonts w:ascii="Times New Roman" w:cs="Times New Roman" w:eastAsia="Times New Roman" w:hAnsi="Times New Roman"/>
          <w:b/>
          <w:bCs/>
          <w:color w:val="333333"/>
          <w:sz w:val="22"/>
          <w:szCs w:val="22"/>
        </w:rPr>
        <w:t xml:space="preserve">6.3	</w:t>
      </w:r>
      <w:r>
        <w:rPr>
          <w:rFonts w:ascii="Times New Roman" w:cs="Times New Roman" w:eastAsia="Times New Roman" w:hAnsi="Times New Roman"/>
          <w:color w:val="333333"/>
          <w:sz w:val="22"/>
          <w:szCs w:val="22"/>
        </w:rPr>
        <w:t xml:space="preserve">The Custodian shall not use Client funds for any purpose other than: (i) executing Transactions on behalf of the Client; (ii) deducting accrued fees and charges; and (iii) returning funds to the Client upon request.</w:t>
      </w:r>
    </w:p>
    <w:p>
      <w:pPr>
        <w:spacing w:before="80" w:after="80" w:line="276"/>
        <w:ind w:left="720" w:hanging="720"/>
        <w:jc w:val="both"/>
      </w:pPr>
      <w:r>
        <w:rPr>
          <w:rFonts w:ascii="Times New Roman" w:cs="Times New Roman" w:eastAsia="Times New Roman" w:hAnsi="Times New Roman"/>
          <w:b/>
          <w:bCs/>
          <w:color w:val="333333"/>
          <w:sz w:val="22"/>
          <w:szCs w:val="22"/>
        </w:rPr>
        <w:t xml:space="preserve">6.4	</w:t>
      </w:r>
      <w:r>
        <w:rPr>
          <w:rFonts w:ascii="Times New Roman" w:cs="Times New Roman" w:eastAsia="Times New Roman" w:hAnsi="Times New Roman"/>
          <w:color w:val="333333"/>
          <w:sz w:val="22"/>
          <w:szCs w:val="22"/>
        </w:rPr>
        <w:t xml:space="preserve">Interest (if any) accrued on the Segregated Account shall be applied in accordance with the terms agreed between the Custodian and the Client at the time of account opening. The Custodian makes no representation or guarantee regarding the accrual of interest on Client funds.</w:t>
      </w:r>
    </w:p>
    <w:p>
      <w:pPr>
        <w:spacing w:before="80" w:after="80" w:line="276"/>
        <w:ind w:left="720" w:hanging="720"/>
        <w:jc w:val="both"/>
      </w:pPr>
      <w:r>
        <w:rPr>
          <w:rFonts w:ascii="Times New Roman" w:cs="Times New Roman" w:eastAsia="Times New Roman" w:hAnsi="Times New Roman"/>
          <w:b/>
          <w:bCs/>
          <w:color w:val="333333"/>
          <w:sz w:val="22"/>
          <w:szCs w:val="22"/>
        </w:rPr>
        <w:t xml:space="preserve">6.5	</w:t>
      </w:r>
      <w:r>
        <w:rPr>
          <w:rFonts w:ascii="Times New Roman" w:cs="Times New Roman" w:eastAsia="Times New Roman" w:hAnsi="Times New Roman"/>
          <w:color w:val="333333"/>
          <w:sz w:val="22"/>
          <w:szCs w:val="22"/>
        </w:rPr>
        <w:t xml:space="preserve">The Client may request return of any unencumbered funds by written Instruction through the Platform. The Custodian shall effect the return within five (5) Business Days of receipt of such Instruction.</w:t>
      </w:r>
    </w:p>
    <w:p>
      <w:pPr>
        <w:spacing w:before="360" w:after="120"/>
        <w:jc w:val="left"/>
      </w:pPr>
      <w:r>
        <w:rPr>
          <w:rFonts w:ascii="Times New Roman" w:cs="Times New Roman" w:eastAsia="Times New Roman" w:hAnsi="Times New Roman"/>
          <w:b/>
          <w:bCs/>
          <w:color w:val="1B2A4A"/>
          <w:sz w:val="22"/>
          <w:szCs w:val="22"/>
        </w:rPr>
        <w:t xml:space="preserve">ARTICLE 7</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FEES AND CHARGES</w:t>
      </w:r>
    </w:p>
    <w:p>
      <w:pPr>
        <w:spacing w:before="80" w:after="80" w:line="276"/>
        <w:ind w:left="720" w:hanging="720"/>
        <w:jc w:val="both"/>
      </w:pPr>
      <w:r>
        <w:rPr>
          <w:rFonts w:ascii="Times New Roman" w:cs="Times New Roman" w:eastAsia="Times New Roman" w:hAnsi="Times New Roman"/>
          <w:b/>
          <w:bCs/>
          <w:color w:val="333333"/>
          <w:sz w:val="22"/>
          <w:szCs w:val="22"/>
        </w:rPr>
        <w:t xml:space="preserve">7.1	</w:t>
      </w:r>
      <w:r>
        <w:rPr>
          <w:rFonts w:ascii="Times New Roman" w:cs="Times New Roman" w:eastAsia="Times New Roman" w:hAnsi="Times New Roman"/>
          <w:color w:val="333333"/>
          <w:sz w:val="22"/>
          <w:szCs w:val="22"/>
        </w:rPr>
        <w:t xml:space="preserve">The Client shall pay the Custodian fees in accordance with the Fee Schedule set out in Schedule A.</w:t>
      </w:r>
    </w:p>
    <w:p>
      <w:pPr>
        <w:spacing w:before="80" w:after="80" w:line="276"/>
        <w:ind w:left="720" w:hanging="720"/>
        <w:jc w:val="both"/>
      </w:pPr>
      <w:r>
        <w:rPr>
          <w:rFonts w:ascii="Times New Roman" w:cs="Times New Roman" w:eastAsia="Times New Roman" w:hAnsi="Times New Roman"/>
          <w:b/>
          <w:bCs/>
          <w:color w:val="333333"/>
          <w:sz w:val="22"/>
          <w:szCs w:val="22"/>
        </w:rPr>
        <w:t xml:space="preserve">7.2	</w:t>
      </w:r>
      <w:r>
        <w:rPr>
          <w:rFonts w:ascii="Times New Roman" w:cs="Times New Roman" w:eastAsia="Times New Roman" w:hAnsi="Times New Roman"/>
          <w:color w:val="333333"/>
          <w:sz w:val="22"/>
          <w:szCs w:val="22"/>
        </w:rPr>
        <w:t xml:space="preserve">Fees are payable in the currency specified in Schedule A. The Custodian may deduct fees from the Client’s funds held in the Segregated Account or from the Client’s Carbon Credit holdings (as applicable), provided that: (i) the relevant fee has accrued; and (ii) the Custodian has given the Client at least five (5) Business Days’ prior notice.</w:t>
      </w:r>
    </w:p>
    <w:p>
      <w:pPr>
        <w:spacing w:before="80" w:after="80" w:line="276"/>
        <w:ind w:left="720" w:hanging="720"/>
        <w:jc w:val="both"/>
      </w:pPr>
      <w:r>
        <w:rPr>
          <w:rFonts w:ascii="Times New Roman" w:cs="Times New Roman" w:eastAsia="Times New Roman" w:hAnsi="Times New Roman"/>
          <w:b/>
          <w:bCs/>
          <w:color w:val="333333"/>
          <w:sz w:val="22"/>
          <w:szCs w:val="22"/>
        </w:rPr>
        <w:t xml:space="preserve">7.3	</w:t>
      </w:r>
      <w:r>
        <w:rPr>
          <w:rFonts w:ascii="Times New Roman" w:cs="Times New Roman" w:eastAsia="Times New Roman" w:hAnsi="Times New Roman"/>
          <w:color w:val="333333"/>
          <w:sz w:val="22"/>
          <w:szCs w:val="22"/>
        </w:rPr>
        <w:t xml:space="preserve">Registry fees, transfer fees, and third-party charges shall be passed through to the Client at cost, without mark-up.</w:t>
      </w:r>
    </w:p>
    <w:p>
      <w:pPr>
        <w:spacing w:before="80" w:after="80" w:line="276"/>
        <w:ind w:left="720" w:hanging="720"/>
        <w:jc w:val="both"/>
      </w:pPr>
      <w:r>
        <w:rPr>
          <w:rFonts w:ascii="Times New Roman" w:cs="Times New Roman" w:eastAsia="Times New Roman" w:hAnsi="Times New Roman"/>
          <w:b/>
          <w:bCs/>
          <w:color w:val="333333"/>
          <w:sz w:val="22"/>
          <w:szCs w:val="22"/>
        </w:rPr>
        <w:t xml:space="preserve">7.4	</w:t>
      </w:r>
      <w:r>
        <w:rPr>
          <w:rFonts w:ascii="Times New Roman" w:cs="Times New Roman" w:eastAsia="Times New Roman" w:hAnsi="Times New Roman"/>
          <w:color w:val="333333"/>
          <w:sz w:val="22"/>
          <w:szCs w:val="22"/>
        </w:rPr>
        <w:t xml:space="preserve">The Custodian may revise the Fee Schedule by giving sixty (60) days’ written notice to the Client. Any single revision shall not increase any fee rate by more than twenty-five percent (25%) relative to the then-current rate. The Client may terminate this Agreement pursuant to Article 16 without penalty if it does not accept the revised fees.</w:t>
      </w:r>
    </w:p>
    <w:p>
      <w:pPr>
        <w:spacing w:before="360" w:after="120"/>
        <w:jc w:val="left"/>
      </w:pPr>
      <w:r>
        <w:rPr>
          <w:rFonts w:ascii="Times New Roman" w:cs="Times New Roman" w:eastAsia="Times New Roman" w:hAnsi="Times New Roman"/>
          <w:b/>
          <w:bCs/>
          <w:color w:val="1B2A4A"/>
          <w:sz w:val="22"/>
          <w:szCs w:val="22"/>
        </w:rPr>
        <w:t xml:space="preserve">ARTICLE 8</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REPORTING AND RECORDS</w:t>
      </w:r>
    </w:p>
    <w:p>
      <w:pPr>
        <w:spacing w:before="80" w:after="80" w:line="276"/>
        <w:ind w:left="720" w:hanging="720"/>
        <w:jc w:val="both"/>
      </w:pPr>
      <w:r>
        <w:rPr>
          <w:rFonts w:ascii="Times New Roman" w:cs="Times New Roman" w:eastAsia="Times New Roman" w:hAnsi="Times New Roman"/>
          <w:b/>
          <w:bCs/>
          <w:color w:val="333333"/>
          <w:sz w:val="22"/>
          <w:szCs w:val="22"/>
        </w:rPr>
        <w:t xml:space="preserve">8.1	</w:t>
      </w:r>
      <w:r>
        <w:rPr>
          <w:rFonts w:ascii="Times New Roman" w:cs="Times New Roman" w:eastAsia="Times New Roman" w:hAnsi="Times New Roman"/>
          <w:color w:val="333333"/>
          <w:sz w:val="22"/>
          <w:szCs w:val="22"/>
        </w:rPr>
        <w:t xml:space="preserve">Platform Access. The Client shall have real-time access through the Platform to:</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current Carbon Credit holdings by type and volume;</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transaction history and Confirmations;</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current market valuation of holdings;</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EUR balance in the Segregated Account, including deposits, withdrawals, and fees.</w:t>
      </w:r>
    </w:p>
    <w:p>
      <w:pPr>
        <w:spacing w:before="80" w:after="80" w:line="276"/>
        <w:ind w:left="720" w:hanging="720"/>
        <w:jc w:val="both"/>
      </w:pPr>
      <w:r>
        <w:rPr>
          <w:rFonts w:ascii="Times New Roman" w:cs="Times New Roman" w:eastAsia="Times New Roman" w:hAnsi="Times New Roman"/>
          <w:b/>
          <w:bCs/>
          <w:color w:val="333333"/>
          <w:sz w:val="22"/>
          <w:szCs w:val="22"/>
        </w:rPr>
        <w:t xml:space="preserve">8.2	</w:t>
      </w:r>
      <w:r>
        <w:rPr>
          <w:rFonts w:ascii="Times New Roman" w:cs="Times New Roman" w:eastAsia="Times New Roman" w:hAnsi="Times New Roman"/>
          <w:color w:val="333333"/>
          <w:sz w:val="22"/>
          <w:szCs w:val="22"/>
        </w:rPr>
        <w:t xml:space="preserve">Monthly Statements. The Custodian shall make available through the Platform a monthly statement within ten (10) Business Days following the end of each calendar month, showing opening and closing holdings, all Transactions executed, current valuations, and cash balance movements.</w:t>
      </w:r>
    </w:p>
    <w:p>
      <w:pPr>
        <w:spacing w:before="80" w:after="80" w:line="276"/>
        <w:ind w:left="720" w:hanging="720"/>
        <w:jc w:val="both"/>
      </w:pPr>
      <w:r>
        <w:rPr>
          <w:rFonts w:ascii="Times New Roman" w:cs="Times New Roman" w:eastAsia="Times New Roman" w:hAnsi="Times New Roman"/>
          <w:b/>
          <w:bCs/>
          <w:color w:val="333333"/>
          <w:sz w:val="22"/>
          <w:szCs w:val="22"/>
        </w:rPr>
        <w:t xml:space="preserve">8.3	</w:t>
      </w:r>
      <w:r>
        <w:rPr>
          <w:rFonts w:ascii="Times New Roman" w:cs="Times New Roman" w:eastAsia="Times New Roman" w:hAnsi="Times New Roman"/>
          <w:color w:val="333333"/>
          <w:sz w:val="22"/>
          <w:szCs w:val="22"/>
        </w:rPr>
        <w:t xml:space="preserve">Annual Reconciliation. The Custodian shall conduct an annual internal reconciliation to confirm that: (i) the Client Ledger accurately reflects the Carbon Credits held in Custodian Accounts; and (ii) Client funds in the Segregated Account are properly segregated. A summary of the reconciliation results shall be made available to the Client upon request.</w:t>
      </w:r>
    </w:p>
    <w:p>
      <w:pPr>
        <w:spacing w:before="80" w:after="80" w:line="276"/>
        <w:ind w:left="720" w:hanging="720"/>
        <w:jc w:val="both"/>
      </w:pPr>
      <w:r>
        <w:rPr>
          <w:rFonts w:ascii="Times New Roman" w:cs="Times New Roman" w:eastAsia="Times New Roman" w:hAnsi="Times New Roman"/>
          <w:b/>
          <w:bCs/>
          <w:color w:val="333333"/>
          <w:sz w:val="22"/>
          <w:szCs w:val="22"/>
        </w:rPr>
        <w:t xml:space="preserve">8.4	</w:t>
      </w:r>
      <w:r>
        <w:rPr>
          <w:rFonts w:ascii="Times New Roman" w:cs="Times New Roman" w:eastAsia="Times New Roman" w:hAnsi="Times New Roman"/>
          <w:color w:val="333333"/>
          <w:sz w:val="22"/>
          <w:szCs w:val="22"/>
        </w:rPr>
        <w:t xml:space="preserve">Record Retention. The Custodian shall maintain all records relating to this Agreement for a minimum period of seven (7) years following termination, in accordance with applicable record-keeping legislation.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8.5	</w:t>
      </w:r>
      <w:r>
        <w:rPr>
          <w:rFonts w:ascii="Times New Roman" w:cs="Times New Roman" w:eastAsia="Times New Roman" w:hAnsi="Times New Roman"/>
          <w:color w:val="333333"/>
          <w:sz w:val="22"/>
          <w:szCs w:val="22"/>
        </w:rPr>
        <w:t xml:space="preserve">Inspection Rights. The Client or its authorised representative shall have the right to inspect the Custodian’s records relating to the Client’s holdings upon reasonable prior written notice during Business Days.</w:t>
      </w:r>
    </w:p>
    <w:p>
      <w:pPr>
        <w:spacing w:before="360" w:after="120"/>
        <w:jc w:val="left"/>
      </w:pPr>
      <w:r>
        <w:rPr>
          <w:rFonts w:ascii="Times New Roman" w:cs="Times New Roman" w:eastAsia="Times New Roman" w:hAnsi="Times New Roman"/>
          <w:b/>
          <w:bCs/>
          <w:color w:val="1B2A4A"/>
          <w:sz w:val="22"/>
          <w:szCs w:val="22"/>
        </w:rPr>
        <w:t xml:space="preserve">ARTICLE 9</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REPRESENTATIONS AND WARRANTIES</w:t>
      </w:r>
    </w:p>
    <w:p>
      <w:pPr>
        <w:spacing w:before="80" w:after="80" w:line="276"/>
        <w:ind w:left="720" w:hanging="720"/>
        <w:jc w:val="both"/>
      </w:pPr>
      <w:r>
        <w:rPr>
          <w:rFonts w:ascii="Times New Roman" w:cs="Times New Roman" w:eastAsia="Times New Roman" w:hAnsi="Times New Roman"/>
          <w:b/>
          <w:bCs/>
          <w:color w:val="333333"/>
          <w:sz w:val="22"/>
          <w:szCs w:val="22"/>
        </w:rPr>
        <w:t xml:space="preserve">9.1	</w:t>
      </w:r>
      <w:r>
        <w:rPr>
          <w:rFonts w:ascii="Times New Roman" w:cs="Times New Roman" w:eastAsia="Times New Roman" w:hAnsi="Times New Roman"/>
          <w:color w:val="333333"/>
          <w:sz w:val="22"/>
          <w:szCs w:val="22"/>
        </w:rPr>
        <w:t xml:space="preserve">Each party represents and warrants to the other that, as of the Effective Date and on each trade date:</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it is duly organised and validly existing under the laws of its jurisdiction;</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it has full corporate power and authority to enter into and perform this Agreement;</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this Agreement constitutes a legal, valid, and binding obligation;</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no consent, approval, or authorisation of any governmental authority is required that has not been obtained;</w:t>
      </w:r>
    </w:p>
    <w:p>
      <w:pPr>
        <w:spacing w:before="40" w:after="40" w:line="276"/>
        <w:ind w:left="1080" w:hanging="360"/>
        <w:jc w:val="both"/>
      </w:pPr>
      <w:r>
        <w:rPr>
          <w:rFonts w:ascii="Times New Roman" w:cs="Times New Roman" w:eastAsia="Times New Roman" w:hAnsi="Times New Roman"/>
          <w:color w:val="333333"/>
          <w:sz w:val="22"/>
          <w:szCs w:val="22"/>
        </w:rPr>
        <w:t xml:space="preserve">(e)	</w:t>
      </w:r>
      <w:r>
        <w:rPr>
          <w:rFonts w:ascii="Times New Roman" w:cs="Times New Roman" w:eastAsia="Times New Roman" w:hAnsi="Times New Roman"/>
          <w:color w:val="333333"/>
          <w:sz w:val="22"/>
          <w:szCs w:val="22"/>
        </w:rPr>
        <w:t xml:space="preserve">it is not insolvent, bankrupt, or subject to winding-up or analogous proceedings.</w:t>
      </w:r>
    </w:p>
    <w:p>
      <w:pPr>
        <w:spacing w:before="80" w:after="80" w:line="276"/>
        <w:ind w:left="720" w:hanging="720"/>
        <w:jc w:val="both"/>
      </w:pPr>
      <w:r>
        <w:rPr>
          <w:rFonts w:ascii="Times New Roman" w:cs="Times New Roman" w:eastAsia="Times New Roman" w:hAnsi="Times New Roman"/>
          <w:b/>
          <w:bCs/>
          <w:color w:val="333333"/>
          <w:sz w:val="22"/>
          <w:szCs w:val="22"/>
        </w:rPr>
        <w:t xml:space="preserve">9.2	</w:t>
      </w:r>
      <w:r>
        <w:rPr>
          <w:rFonts w:ascii="Times New Roman" w:cs="Times New Roman" w:eastAsia="Times New Roman" w:hAnsi="Times New Roman"/>
          <w:color w:val="333333"/>
          <w:sz w:val="22"/>
          <w:szCs w:val="22"/>
        </w:rPr>
        <w:t xml:space="preserve">The Custodian additionally represents that:</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it has adequate operational, technical, and compliance infrastructure to perform its obligations hereunder;</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it implements AML/KYC procedures aligned with applicable anti-money laundering and counter-terrorist financing legislation in Hong Kong;</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it has access to the relevant Registries necessary to execute Transactions, as listed in Schedule B;</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should any new regulatory requirement be introduced that materially affects the Services or the custody arrangements, the Custodian shall promptly notify the Client and take all reasonable steps to comply or to propose alternative arrangements.</w:t>
      </w:r>
    </w:p>
    <w:p>
      <w:pPr>
        <w:spacing w:before="360" w:after="120"/>
        <w:jc w:val="left"/>
      </w:pPr>
      <w:r>
        <w:rPr>
          <w:rFonts w:ascii="Times New Roman" w:cs="Times New Roman" w:eastAsia="Times New Roman" w:hAnsi="Times New Roman"/>
          <w:b/>
          <w:bCs/>
          <w:color w:val="1B2A4A"/>
          <w:sz w:val="22"/>
          <w:szCs w:val="22"/>
        </w:rPr>
        <w:t xml:space="preserve">ARTICLE 10</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RISK DISCLOSURES AND LIABILITY</w:t>
      </w:r>
    </w:p>
    <w:p>
      <w:pPr>
        <w:spacing w:before="80" w:after="80" w:line="276"/>
        <w:ind w:left="720" w:hanging="720"/>
        <w:jc w:val="both"/>
      </w:pPr>
      <w:r>
        <w:rPr>
          <w:rFonts w:ascii="Times New Roman" w:cs="Times New Roman" w:eastAsia="Times New Roman" w:hAnsi="Times New Roman"/>
          <w:b/>
          <w:bCs/>
          <w:color w:val="333333"/>
          <w:sz w:val="22"/>
          <w:szCs w:val="22"/>
        </w:rPr>
        <w:t xml:space="preserve">10.1	</w:t>
      </w:r>
      <w:r>
        <w:rPr>
          <w:rFonts w:ascii="Times New Roman" w:cs="Times New Roman" w:eastAsia="Times New Roman" w:hAnsi="Times New Roman"/>
          <w:color w:val="333333"/>
          <w:sz w:val="22"/>
          <w:szCs w:val="22"/>
        </w:rPr>
        <w:t xml:space="preserve">The Client acknowledges and accepts the following risks:</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Market Risk: The value of Carbon Credits may fluctuate significantly due to changes in supply, demand, regulation, and policy. The Custodian makes no representation as to future valuations.</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Regulatory Risk: Changes in applicable emissions trading systems or Hong Kong regulatory framework may affect the validity, transferability, or value of Carbon Credits. The Custodian is not liable for losses arising from regulatory changes.</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Registry Risk: Carbon Credits exist solely as digital entries in government or approved registries. The Custodian is not liable for registry downtime, errors, or unauthorised access that is not caused by the Custodian’s negligence.</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Cross-Border Risk: Transactions involve multiple jurisdictions and currencies. Exchange rate fluctuations may affect the value of the Client’s holdings.</w:t>
      </w:r>
    </w:p>
    <w:p>
      <w:pPr>
        <w:spacing w:before="40" w:after="40" w:line="276"/>
        <w:ind w:left="1080" w:hanging="360"/>
        <w:jc w:val="both"/>
      </w:pPr>
      <w:r>
        <w:rPr>
          <w:rFonts w:ascii="Times New Roman" w:cs="Times New Roman" w:eastAsia="Times New Roman" w:hAnsi="Times New Roman"/>
          <w:color w:val="333333"/>
          <w:sz w:val="22"/>
          <w:szCs w:val="22"/>
        </w:rPr>
        <w:t xml:space="preserve">(e)	</w:t>
      </w:r>
      <w:r>
        <w:rPr>
          <w:rFonts w:ascii="Times New Roman" w:cs="Times New Roman" w:eastAsia="Times New Roman" w:hAnsi="Times New Roman"/>
          <w:color w:val="333333"/>
          <w:sz w:val="22"/>
          <w:szCs w:val="22"/>
        </w:rPr>
        <w:t xml:space="preserve">Counterparty Risk: The Client’s beneficial interest in Carbon Credits depends on the Custodian’s continued solvency and ability to perform.</w:t>
      </w:r>
    </w:p>
    <w:p>
      <w:pPr>
        <w:spacing w:before="40" w:after="40" w:line="276"/>
        <w:ind w:left="1080" w:hanging="360"/>
        <w:jc w:val="both"/>
      </w:pPr>
      <w:r>
        <w:rPr>
          <w:rFonts w:ascii="Times New Roman" w:cs="Times New Roman" w:eastAsia="Times New Roman" w:hAnsi="Times New Roman"/>
          <w:color w:val="333333"/>
          <w:sz w:val="22"/>
          <w:szCs w:val="22"/>
        </w:rPr>
        <w:t xml:space="preserve">(f)	</w:t>
      </w:r>
      <w:r>
        <w:rPr>
          <w:rFonts w:ascii="Times New Roman" w:cs="Times New Roman" w:eastAsia="Times New Roman" w:hAnsi="Times New Roman"/>
          <w:color w:val="333333"/>
          <w:sz w:val="22"/>
          <w:szCs w:val="22"/>
        </w:rPr>
        <w:t xml:space="preserve">Liquidity Risk: Certain markets (particularly PRC pilot schemes) may have limited liquidity, affecting execution timing and pricing.</w:t>
      </w:r>
    </w:p>
    <w:p>
      <w:pPr>
        <w:spacing w:before="80" w:after="80" w:line="276"/>
        <w:ind w:left="720" w:hanging="720"/>
        <w:jc w:val="both"/>
      </w:pPr>
      <w:r>
        <w:rPr>
          <w:rFonts w:ascii="Times New Roman" w:cs="Times New Roman" w:eastAsia="Times New Roman" w:hAnsi="Times New Roman"/>
          <w:b/>
          <w:bCs/>
          <w:color w:val="333333"/>
          <w:sz w:val="22"/>
          <w:szCs w:val="22"/>
        </w:rPr>
        <w:t xml:space="preserve">10.2	</w:t>
      </w:r>
      <w:r>
        <w:rPr>
          <w:rFonts w:ascii="Times New Roman" w:cs="Times New Roman" w:eastAsia="Times New Roman" w:hAnsi="Times New Roman"/>
          <w:color w:val="333333"/>
          <w:sz w:val="22"/>
          <w:szCs w:val="22"/>
        </w:rPr>
        <w:t xml:space="preserve">The Custodian’s aggregate liability under or in connection with this Agreement shall not exceed the value of the Carbon Credits and funds held on behalf of the Client at the time the liability arose, except in cases of fraud, wilful default, or gross negligence.</w:t>
      </w:r>
    </w:p>
    <w:p>
      <w:pPr>
        <w:spacing w:before="80" w:after="80" w:line="276"/>
        <w:ind w:left="720" w:hanging="720"/>
        <w:jc w:val="both"/>
      </w:pPr>
      <w:r>
        <w:rPr>
          <w:rFonts w:ascii="Times New Roman" w:cs="Times New Roman" w:eastAsia="Times New Roman" w:hAnsi="Times New Roman"/>
          <w:b/>
          <w:bCs/>
          <w:color w:val="333333"/>
          <w:sz w:val="22"/>
          <w:szCs w:val="22"/>
        </w:rPr>
        <w:t xml:space="preserve">10.3	</w:t>
      </w:r>
      <w:r>
        <w:rPr>
          <w:rFonts w:ascii="Times New Roman" w:cs="Times New Roman" w:eastAsia="Times New Roman" w:hAnsi="Times New Roman"/>
          <w:color w:val="333333"/>
          <w:sz w:val="22"/>
          <w:szCs w:val="22"/>
        </w:rPr>
        <w:t xml:space="preserve">Neither party shall be liable for indirect, consequential, special, or punitive damages, including loss of profits, except where such damages arise from fraud, wilful misconduct, or breach of confidentiality or non-circumvention obligations.</w:t>
      </w:r>
    </w:p>
    <w:p>
      <w:pPr>
        <w:spacing w:before="80" w:after="80" w:line="276"/>
        <w:ind w:left="720" w:hanging="720"/>
        <w:jc w:val="both"/>
      </w:pPr>
      <w:r>
        <w:rPr>
          <w:rFonts w:ascii="Times New Roman" w:cs="Times New Roman" w:eastAsia="Times New Roman" w:hAnsi="Times New Roman"/>
          <w:b/>
          <w:bCs/>
          <w:color w:val="333333"/>
          <w:sz w:val="22"/>
          <w:szCs w:val="22"/>
        </w:rPr>
        <w:t xml:space="preserve">10.4	</w:t>
      </w:r>
      <w:r>
        <w:rPr>
          <w:rFonts w:ascii="Times New Roman" w:cs="Times New Roman" w:eastAsia="Times New Roman" w:hAnsi="Times New Roman"/>
          <w:color w:val="333333"/>
          <w:sz w:val="22"/>
          <w:szCs w:val="22"/>
        </w:rPr>
        <w:t xml:space="preserve">Nothing in this Agreement shall exclude or limit either party’s liability for fraud, wilful default, death or personal injury caused by negligence, or any liability that cannot be excluded or limited by Applicable Law.</w:t>
      </w:r>
    </w:p>
    <w:p>
      <w:pPr>
        <w:spacing w:before="360" w:after="120"/>
        <w:jc w:val="left"/>
      </w:pPr>
      <w:r>
        <w:rPr>
          <w:rFonts w:ascii="Times New Roman" w:cs="Times New Roman" w:eastAsia="Times New Roman" w:hAnsi="Times New Roman"/>
          <w:b/>
          <w:bCs/>
          <w:color w:val="1B2A4A"/>
          <w:sz w:val="22"/>
          <w:szCs w:val="22"/>
        </w:rPr>
        <w:t xml:space="preserve">ARTICLE 11</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INSOLVENCY PROTECTION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11.1	</w:t>
      </w:r>
      <w:r>
        <w:rPr>
          <w:rFonts w:ascii="Times New Roman" w:cs="Times New Roman" w:eastAsia="Times New Roman" w:hAnsi="Times New Roman"/>
          <w:color w:val="333333"/>
          <w:sz w:val="22"/>
          <w:szCs w:val="22"/>
        </w:rPr>
        <w:t xml:space="preserve">The parties acknowledge that this Agreement is intended to create a custody relationship whereby the Client’s beneficial interest in Carbon Credits is protected in the event of the Custodian’s insolvency.</w:t>
      </w:r>
    </w:p>
    <w:p>
      <w:pPr>
        <w:spacing w:before="80" w:after="80" w:line="276"/>
        <w:ind w:left="720" w:hanging="720"/>
        <w:jc w:val="both"/>
      </w:pPr>
      <w:r>
        <w:rPr>
          <w:rFonts w:ascii="Times New Roman" w:cs="Times New Roman" w:eastAsia="Times New Roman" w:hAnsi="Times New Roman"/>
          <w:b/>
          <w:bCs/>
          <w:color w:val="333333"/>
          <w:sz w:val="22"/>
          <w:szCs w:val="22"/>
        </w:rPr>
        <w:t xml:space="preserve">11.2	</w:t>
      </w:r>
      <w:r>
        <w:rPr>
          <w:rFonts w:ascii="Times New Roman" w:cs="Times New Roman" w:eastAsia="Times New Roman" w:hAnsi="Times New Roman"/>
          <w:color w:val="333333"/>
          <w:sz w:val="22"/>
          <w:szCs w:val="22"/>
        </w:rPr>
        <w:t xml:space="preserve">The Custodian shall maintain at all times sufficient Carbon Credits in its Custodian Accounts to satisfy the aggregate beneficial interests of all clients as recorded in their respective Client Ledgers.</w:t>
      </w:r>
    </w:p>
    <w:p>
      <w:pPr>
        <w:spacing w:before="80" w:after="80" w:line="276"/>
        <w:ind w:left="720" w:hanging="720"/>
        <w:jc w:val="both"/>
      </w:pPr>
      <w:r>
        <w:rPr>
          <w:rFonts w:ascii="Times New Roman" w:cs="Times New Roman" w:eastAsia="Times New Roman" w:hAnsi="Times New Roman"/>
          <w:b/>
          <w:bCs/>
          <w:color w:val="333333"/>
          <w:sz w:val="22"/>
          <w:szCs w:val="22"/>
        </w:rPr>
        <w:t xml:space="preserve">11.3	</w:t>
      </w:r>
      <w:r>
        <w:rPr>
          <w:rFonts w:ascii="Times New Roman" w:cs="Times New Roman" w:eastAsia="Times New Roman" w:hAnsi="Times New Roman"/>
          <w:color w:val="333333"/>
          <w:sz w:val="22"/>
          <w:szCs w:val="22"/>
        </w:rPr>
        <w:t xml:space="preserve">In the event of the Custodian’s insolvency, the Client’s beneficial interest in Carbon Credits as recorded in the Client Ledger shall have priority over unsecured creditors to the extent permissible under Applicable Law.</w:t>
      </w:r>
    </w:p>
    <w:p>
      <w:pPr>
        <w:spacing w:before="80" w:after="80" w:line="276"/>
        <w:ind w:left="720" w:hanging="720"/>
        <w:jc w:val="both"/>
      </w:pPr>
      <w:r>
        <w:rPr>
          <w:rFonts w:ascii="Times New Roman" w:cs="Times New Roman" w:eastAsia="Times New Roman" w:hAnsi="Times New Roman"/>
          <w:b/>
          <w:bCs/>
          <w:color w:val="333333"/>
          <w:sz w:val="22"/>
          <w:szCs w:val="22"/>
        </w:rPr>
        <w:t xml:space="preserve">11.4	</w:t>
      </w:r>
      <w:r>
        <w:rPr>
          <w:rFonts w:ascii="Times New Roman" w:cs="Times New Roman" w:eastAsia="Times New Roman" w:hAnsi="Times New Roman"/>
          <w:color w:val="333333"/>
          <w:sz w:val="22"/>
          <w:szCs w:val="22"/>
        </w:rPr>
        <w:t xml:space="preserve">Client funds in the Segregated Account shall not form part of the Custodian’s estate in insolvency and shall be returned to the Client in accordance with Applicable Law.</w:t>
      </w:r>
    </w:p>
    <w:p>
      <w:pPr>
        <w:spacing w:before="360" w:after="120"/>
        <w:jc w:val="left"/>
      </w:pPr>
      <w:r>
        <w:rPr>
          <w:rFonts w:ascii="Times New Roman" w:cs="Times New Roman" w:eastAsia="Times New Roman" w:hAnsi="Times New Roman"/>
          <w:b/>
          <w:bCs/>
          <w:color w:val="1B2A4A"/>
          <w:sz w:val="22"/>
          <w:szCs w:val="22"/>
        </w:rPr>
        <w:t xml:space="preserve">ARTICLE 12</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CONFIDENTIALITY</w:t>
      </w:r>
    </w:p>
    <w:p>
      <w:pPr>
        <w:spacing w:before="80" w:after="80" w:line="276"/>
        <w:ind w:left="720" w:hanging="720"/>
        <w:jc w:val="both"/>
      </w:pPr>
      <w:r>
        <w:rPr>
          <w:rFonts w:ascii="Times New Roman" w:cs="Times New Roman" w:eastAsia="Times New Roman" w:hAnsi="Times New Roman"/>
          <w:b/>
          <w:bCs/>
          <w:color w:val="333333"/>
          <w:sz w:val="22"/>
          <w:szCs w:val="22"/>
        </w:rPr>
        <w:t xml:space="preserve">12.1	</w:t>
      </w:r>
      <w:r>
        <w:rPr>
          <w:rFonts w:ascii="Times New Roman" w:cs="Times New Roman" w:eastAsia="Times New Roman" w:hAnsi="Times New Roman"/>
          <w:color w:val="333333"/>
          <w:sz w:val="22"/>
          <w:szCs w:val="22"/>
        </w:rPr>
        <w:t xml:space="preserve">Each party shall keep confidential all Confidential Information (as defined in the NDA) received from the other in connection with this Agreement, including but not limited to: custody arrangements, holdings data, transaction details, pricing, and proprietary methodologies.</w:t>
      </w:r>
    </w:p>
    <w:p>
      <w:pPr>
        <w:spacing w:before="80" w:after="80" w:line="276"/>
        <w:ind w:left="720" w:hanging="720"/>
        <w:jc w:val="both"/>
      </w:pPr>
      <w:r>
        <w:rPr>
          <w:rFonts w:ascii="Times New Roman" w:cs="Times New Roman" w:eastAsia="Times New Roman" w:hAnsi="Times New Roman"/>
          <w:b/>
          <w:bCs/>
          <w:color w:val="333333"/>
          <w:sz w:val="22"/>
          <w:szCs w:val="22"/>
        </w:rPr>
        <w:t xml:space="preserve">12.2	</w:t>
      </w:r>
      <w:r>
        <w:rPr>
          <w:rFonts w:ascii="Times New Roman" w:cs="Times New Roman" w:eastAsia="Times New Roman" w:hAnsi="Times New Roman"/>
          <w:color w:val="333333"/>
          <w:sz w:val="22"/>
          <w:szCs w:val="22"/>
        </w:rPr>
        <w:t xml:space="preserve">The confidentiality obligations under this Article 12 are supplementary to and shall be read in conjunction with the NDA. In the event of any conflict or inconsistency between the confidentiality provisions of this Agreement and those of the NDA, the provisions of the NDA shall prevail.</w:t>
      </w:r>
    </w:p>
    <w:p>
      <w:pPr>
        <w:spacing w:before="80" w:after="80" w:line="276"/>
        <w:ind w:left="720" w:hanging="720"/>
        <w:jc w:val="both"/>
      </w:pPr>
      <w:r>
        <w:rPr>
          <w:rFonts w:ascii="Times New Roman" w:cs="Times New Roman" w:eastAsia="Times New Roman" w:hAnsi="Times New Roman"/>
          <w:b/>
          <w:bCs/>
          <w:color w:val="333333"/>
          <w:sz w:val="22"/>
          <w:szCs w:val="22"/>
        </w:rPr>
        <w:t xml:space="preserve">12.3	</w:t>
      </w:r>
      <w:r>
        <w:rPr>
          <w:rFonts w:ascii="Times New Roman" w:cs="Times New Roman" w:eastAsia="Times New Roman" w:hAnsi="Times New Roman"/>
          <w:color w:val="333333"/>
          <w:sz w:val="22"/>
          <w:szCs w:val="22"/>
        </w:rPr>
        <w:t xml:space="preserve">Exceptions to confidentiality: information that is publicly available through no fault of the receiving party, independently developed, lawfully received from a third party without restriction, or required to be disclosed by Applicable Law or regulatory authority (subject to prior notice where legally permissible).</w:t>
      </w:r>
    </w:p>
    <w:p>
      <w:pPr>
        <w:spacing w:before="80" w:after="80" w:line="276"/>
        <w:ind w:left="720" w:hanging="720"/>
        <w:jc w:val="both"/>
      </w:pPr>
      <w:r>
        <w:rPr>
          <w:rFonts w:ascii="Times New Roman" w:cs="Times New Roman" w:eastAsia="Times New Roman" w:hAnsi="Times New Roman"/>
          <w:b/>
          <w:bCs/>
          <w:color w:val="333333"/>
          <w:sz w:val="22"/>
          <w:szCs w:val="22"/>
        </w:rPr>
        <w:t xml:space="preserve">12.4	</w:t>
      </w:r>
      <w:r>
        <w:rPr>
          <w:rFonts w:ascii="Times New Roman" w:cs="Times New Roman" w:eastAsia="Times New Roman" w:hAnsi="Times New Roman"/>
          <w:color w:val="333333"/>
          <w:sz w:val="22"/>
          <w:szCs w:val="22"/>
        </w:rPr>
        <w:t xml:space="preserve">This confidentiality obligation survives termination for a period of five (5) years.</w:t>
      </w:r>
    </w:p>
    <w:p>
      <w:pPr>
        <w:spacing w:before="360" w:after="120"/>
        <w:jc w:val="left"/>
      </w:pPr>
      <w:r>
        <w:rPr>
          <w:rFonts w:ascii="Times New Roman" w:cs="Times New Roman" w:eastAsia="Times New Roman" w:hAnsi="Times New Roman"/>
          <w:b/>
          <w:bCs/>
          <w:color w:val="1B2A4A"/>
          <w:sz w:val="22"/>
          <w:szCs w:val="22"/>
        </w:rPr>
        <w:t xml:space="preserve">ARTICLE 13</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ANTI-MONEY LAUNDERING AND COMPLIANCE</w:t>
      </w:r>
    </w:p>
    <w:p>
      <w:pPr>
        <w:spacing w:before="80" w:after="80" w:line="276"/>
        <w:ind w:left="720" w:hanging="720"/>
        <w:jc w:val="both"/>
      </w:pPr>
      <w:r>
        <w:rPr>
          <w:rFonts w:ascii="Times New Roman" w:cs="Times New Roman" w:eastAsia="Times New Roman" w:hAnsi="Times New Roman"/>
          <w:b/>
          <w:bCs/>
          <w:color w:val="333333"/>
          <w:sz w:val="22"/>
          <w:szCs w:val="22"/>
        </w:rPr>
        <w:t xml:space="preserve">13.1	</w:t>
      </w:r>
      <w:r>
        <w:rPr>
          <w:rFonts w:ascii="Times New Roman" w:cs="Times New Roman" w:eastAsia="Times New Roman" w:hAnsi="Times New Roman"/>
          <w:color w:val="333333"/>
          <w:sz w:val="22"/>
          <w:szCs w:val="22"/>
        </w:rPr>
        <w:t xml:space="preserve">The Client shall provide all information and documentation reasonably requested by the Custodian for AML/KYC purposes in a timely manner.</w:t>
      </w:r>
    </w:p>
    <w:p>
      <w:pPr>
        <w:spacing w:before="80" w:after="80" w:line="276"/>
        <w:ind w:left="720" w:hanging="720"/>
        <w:jc w:val="both"/>
      </w:pPr>
      <w:r>
        <w:rPr>
          <w:rFonts w:ascii="Times New Roman" w:cs="Times New Roman" w:eastAsia="Times New Roman" w:hAnsi="Times New Roman"/>
          <w:b/>
          <w:bCs/>
          <w:color w:val="333333"/>
          <w:sz w:val="22"/>
          <w:szCs w:val="22"/>
        </w:rPr>
        <w:t xml:space="preserve">13.2	</w:t>
      </w:r>
      <w:r>
        <w:rPr>
          <w:rFonts w:ascii="Times New Roman" w:cs="Times New Roman" w:eastAsia="Times New Roman" w:hAnsi="Times New Roman"/>
          <w:color w:val="333333"/>
          <w:sz w:val="22"/>
          <w:szCs w:val="22"/>
        </w:rPr>
        <w:t xml:space="preserve">The Custodian may suspend custody services or refuse to execute a Transaction if the Client fails to provide requested AML/KYC information within ten (10) Business Days.</w:t>
      </w:r>
    </w:p>
    <w:p>
      <w:pPr>
        <w:spacing w:before="80" w:after="80" w:line="276"/>
        <w:ind w:left="720" w:hanging="720"/>
        <w:jc w:val="both"/>
      </w:pPr>
      <w:r>
        <w:rPr>
          <w:rFonts w:ascii="Times New Roman" w:cs="Times New Roman" w:eastAsia="Times New Roman" w:hAnsi="Times New Roman"/>
          <w:b/>
          <w:bCs/>
          <w:color w:val="333333"/>
          <w:sz w:val="22"/>
          <w:szCs w:val="22"/>
        </w:rPr>
        <w:t xml:space="preserve">13.3	</w:t>
      </w:r>
      <w:r>
        <w:rPr>
          <w:rFonts w:ascii="Times New Roman" w:cs="Times New Roman" w:eastAsia="Times New Roman" w:hAnsi="Times New Roman"/>
          <w:color w:val="333333"/>
          <w:sz w:val="22"/>
          <w:szCs w:val="22"/>
        </w:rPr>
        <w:t xml:space="preserve">The Custodian reserves the right to file suspicious transaction reports with the appropriate authorities without notifying the Client, as required by applicable law.</w:t>
      </w:r>
    </w:p>
    <w:p>
      <w:pPr>
        <w:spacing w:before="80" w:after="80" w:line="276"/>
        <w:ind w:left="720" w:hanging="720"/>
        <w:jc w:val="both"/>
      </w:pPr>
      <w:r>
        <w:rPr>
          <w:rFonts w:ascii="Times New Roman" w:cs="Times New Roman" w:eastAsia="Times New Roman" w:hAnsi="Times New Roman"/>
          <w:b/>
          <w:bCs/>
          <w:color w:val="333333"/>
          <w:sz w:val="22"/>
          <w:szCs w:val="22"/>
        </w:rPr>
        <w:t xml:space="preserve">13.4	</w:t>
      </w:r>
      <w:r>
        <w:rPr>
          <w:rFonts w:ascii="Times New Roman" w:cs="Times New Roman" w:eastAsia="Times New Roman" w:hAnsi="Times New Roman"/>
          <w:color w:val="333333"/>
          <w:sz w:val="22"/>
          <w:szCs w:val="22"/>
        </w:rPr>
        <w:t xml:space="preserve">The Client represents that:</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it is not a sanctioned person or entity under the sanctions programmes of the United Nations, European Union, United States, United Kingdom, or Hong Kong;</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funds deposited with the Custodian are derived from lawful sources;</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it will not use the custody services for money laundering, terrorist financing, sanctions evasion, or any unlawful purpose.</w:t>
      </w:r>
    </w:p>
    <w:p>
      <w:pPr>
        <w:spacing w:before="360" w:after="120"/>
        <w:jc w:val="left"/>
      </w:pPr>
      <w:r>
        <w:rPr>
          <w:rFonts w:ascii="Times New Roman" w:cs="Times New Roman" w:eastAsia="Times New Roman" w:hAnsi="Times New Roman"/>
          <w:b/>
          <w:bCs/>
          <w:color w:val="1B2A4A"/>
          <w:sz w:val="22"/>
          <w:szCs w:val="22"/>
        </w:rPr>
        <w:t xml:space="preserve">ARTICLE 14</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ANTI-BRIBERY AND ANTI-CORRUPTION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14.1	</w:t>
      </w:r>
      <w:r>
        <w:rPr>
          <w:rFonts w:ascii="Times New Roman" w:cs="Times New Roman" w:eastAsia="Times New Roman" w:hAnsi="Times New Roman"/>
          <w:color w:val="333333"/>
          <w:sz w:val="22"/>
          <w:szCs w:val="22"/>
        </w:rPr>
        <w:t xml:space="preserve">Each party represents that it has not, and undertakes that it shall not, in connection with this Agreement:</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offer, promise, give, or authorise the giving of any bribe, kickback, or other corrupt payment to any person, including any government official, public officer, or political party;</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request, agree to receive, or accept any bribe, kickback, or other corrupt payment;</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take any action that would cause either party to violate applicable anti-bribery and anti-corruption legislation in Hong Kong, the European Union, or any other relevant jurisdiction.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14.2	</w:t>
      </w:r>
      <w:r>
        <w:rPr>
          <w:rFonts w:ascii="Times New Roman" w:cs="Times New Roman" w:eastAsia="Times New Roman" w:hAnsi="Times New Roman"/>
          <w:color w:val="333333"/>
          <w:sz w:val="22"/>
          <w:szCs w:val="22"/>
        </w:rPr>
        <w:t xml:space="preserve">Each party shall maintain adequate procedures designed to prevent bribery and corruption by its officers, employees, agents, and any persons performing services on its behalf.</w:t>
      </w:r>
    </w:p>
    <w:p>
      <w:pPr>
        <w:spacing w:before="80" w:after="80" w:line="276"/>
        <w:ind w:left="720" w:hanging="720"/>
        <w:jc w:val="both"/>
      </w:pPr>
      <w:r>
        <w:rPr>
          <w:rFonts w:ascii="Times New Roman" w:cs="Times New Roman" w:eastAsia="Times New Roman" w:hAnsi="Times New Roman"/>
          <w:b/>
          <w:bCs/>
          <w:color w:val="333333"/>
          <w:sz w:val="22"/>
          <w:szCs w:val="22"/>
        </w:rPr>
        <w:t xml:space="preserve">14.3	</w:t>
      </w:r>
      <w:r>
        <w:rPr>
          <w:rFonts w:ascii="Times New Roman" w:cs="Times New Roman" w:eastAsia="Times New Roman" w:hAnsi="Times New Roman"/>
          <w:color w:val="333333"/>
          <w:sz w:val="22"/>
          <w:szCs w:val="22"/>
        </w:rPr>
        <w:t xml:space="preserve">A breach of this Article shall constitute a material breach entitling the non-breaching party to terminate this Agreement immediately pursuant to Article 16.3.</w:t>
      </w:r>
    </w:p>
    <w:p>
      <w:pPr>
        <w:spacing w:before="360" w:after="120"/>
        <w:jc w:val="left"/>
      </w:pPr>
      <w:r>
        <w:rPr>
          <w:rFonts w:ascii="Times New Roman" w:cs="Times New Roman" w:eastAsia="Times New Roman" w:hAnsi="Times New Roman"/>
          <w:b/>
          <w:bCs/>
          <w:color w:val="1B2A4A"/>
          <w:sz w:val="22"/>
          <w:szCs w:val="22"/>
        </w:rPr>
        <w:t xml:space="preserve">ARTICLE 15</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NON-CIRCUMVENTION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15.1	</w:t>
      </w:r>
      <w:r>
        <w:rPr>
          <w:rFonts w:ascii="Times New Roman" w:cs="Times New Roman" w:eastAsia="Times New Roman" w:hAnsi="Times New Roman"/>
          <w:color w:val="333333"/>
          <w:sz w:val="22"/>
          <w:szCs w:val="22"/>
        </w:rPr>
        <w:t xml:space="preserve">The non-circumvention and non-solicitation obligations set out in the NDA are hereby incorporated by reference and shall apply mutatis mutandis to the parties’ relationship under this Agreement.</w:t>
      </w:r>
    </w:p>
    <w:p>
      <w:pPr>
        <w:spacing w:before="80" w:after="80" w:line="276"/>
        <w:ind w:left="720" w:hanging="720"/>
        <w:jc w:val="both"/>
      </w:pPr>
      <w:r>
        <w:rPr>
          <w:rFonts w:ascii="Times New Roman" w:cs="Times New Roman" w:eastAsia="Times New Roman" w:hAnsi="Times New Roman"/>
          <w:b/>
          <w:bCs/>
          <w:color w:val="333333"/>
          <w:sz w:val="22"/>
          <w:szCs w:val="22"/>
        </w:rPr>
        <w:t xml:space="preserve">15.2	</w:t>
      </w:r>
      <w:r>
        <w:rPr>
          <w:rFonts w:ascii="Times New Roman" w:cs="Times New Roman" w:eastAsia="Times New Roman" w:hAnsi="Times New Roman"/>
          <w:color w:val="333333"/>
          <w:sz w:val="22"/>
          <w:szCs w:val="22"/>
        </w:rPr>
        <w:t xml:space="preserve">Without prejudice to the generality of the NDA provisions, the Client undertakes that during the term of this Agreement and for a period of two (2) years following its termination, it shall not directly or indirectly contact, deal with, or transact with any Protected Relationship (as defined in the MSA or the NDA) of the Custodian for the purpose of conducting carbon credit business that would circumvent the Custodian.</w:t>
      </w:r>
    </w:p>
    <w:p>
      <w:pPr>
        <w:spacing w:before="80" w:after="80" w:line="276"/>
        <w:ind w:left="720" w:hanging="720"/>
        <w:jc w:val="both"/>
      </w:pPr>
      <w:r>
        <w:rPr>
          <w:rFonts w:ascii="Times New Roman" w:cs="Times New Roman" w:eastAsia="Times New Roman" w:hAnsi="Times New Roman"/>
          <w:b/>
          <w:bCs/>
          <w:color w:val="333333"/>
          <w:sz w:val="22"/>
          <w:szCs w:val="22"/>
        </w:rPr>
        <w:t xml:space="preserve">15.3	</w:t>
      </w:r>
      <w:r>
        <w:rPr>
          <w:rFonts w:ascii="Times New Roman" w:cs="Times New Roman" w:eastAsia="Times New Roman" w:hAnsi="Times New Roman"/>
          <w:color w:val="333333"/>
          <w:sz w:val="22"/>
          <w:szCs w:val="22"/>
        </w:rPr>
        <w:t xml:space="preserve">This Article 15 shall not restrict the Client from conducting business with any person or entity with whom the Client had a pre-existing relationship prior to the date of this Agreement, evidenced by contemporaneous written records.</w:t>
      </w:r>
    </w:p>
    <w:p>
      <w:pPr>
        <w:spacing w:before="360" w:after="120"/>
        <w:jc w:val="left"/>
      </w:pPr>
      <w:r>
        <w:rPr>
          <w:rFonts w:ascii="Times New Roman" w:cs="Times New Roman" w:eastAsia="Times New Roman" w:hAnsi="Times New Roman"/>
          <w:b/>
          <w:bCs/>
          <w:color w:val="1B2A4A"/>
          <w:sz w:val="22"/>
          <w:szCs w:val="22"/>
        </w:rPr>
        <w:t xml:space="preserve">ARTICLE 16</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TERM AND TERMINATION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16.1	</w:t>
      </w:r>
      <w:r>
        <w:rPr>
          <w:rFonts w:ascii="Times New Roman" w:cs="Times New Roman" w:eastAsia="Times New Roman" w:hAnsi="Times New Roman"/>
          <w:color w:val="333333"/>
          <w:sz w:val="22"/>
          <w:szCs w:val="22"/>
        </w:rPr>
        <w:t xml:space="preserve">This Agreement commences on the Effective Date and continues for an initial term of twelve (12) months, automatically renewing for successive twelve-month periods unless terminated in accordance with this Article.</w:t>
      </w:r>
    </w:p>
    <w:p>
      <w:pPr>
        <w:spacing w:before="80" w:after="80" w:line="276"/>
        <w:ind w:left="720" w:hanging="720"/>
        <w:jc w:val="both"/>
      </w:pPr>
      <w:r>
        <w:rPr>
          <w:rFonts w:ascii="Times New Roman" w:cs="Times New Roman" w:eastAsia="Times New Roman" w:hAnsi="Times New Roman"/>
          <w:b/>
          <w:bCs/>
          <w:color w:val="333333"/>
          <w:sz w:val="22"/>
          <w:szCs w:val="22"/>
        </w:rPr>
        <w:t xml:space="preserve">16.2	</w:t>
      </w:r>
      <w:r>
        <w:rPr>
          <w:rFonts w:ascii="Times New Roman" w:cs="Times New Roman" w:eastAsia="Times New Roman" w:hAnsi="Times New Roman"/>
          <w:color w:val="333333"/>
          <w:sz w:val="22"/>
          <w:szCs w:val="22"/>
        </w:rPr>
        <w:t xml:space="preserve">Either party may terminate by giving ninety (90) days’ written notice before the end of the then-current term.</w:t>
      </w:r>
    </w:p>
    <w:p>
      <w:pPr>
        <w:spacing w:before="80" w:after="80" w:line="276"/>
        <w:ind w:left="720" w:hanging="720"/>
        <w:jc w:val="both"/>
      </w:pPr>
      <w:r>
        <w:rPr>
          <w:rFonts w:ascii="Times New Roman" w:cs="Times New Roman" w:eastAsia="Times New Roman" w:hAnsi="Times New Roman"/>
          <w:b/>
          <w:bCs/>
          <w:color w:val="333333"/>
          <w:sz w:val="22"/>
          <w:szCs w:val="22"/>
        </w:rPr>
        <w:t xml:space="preserve">16.3	</w:t>
      </w:r>
      <w:r>
        <w:rPr>
          <w:rFonts w:ascii="Times New Roman" w:cs="Times New Roman" w:eastAsia="Times New Roman" w:hAnsi="Times New Roman"/>
          <w:color w:val="333333"/>
          <w:sz w:val="22"/>
          <w:szCs w:val="22"/>
        </w:rPr>
        <w:t xml:space="preserve">Either party may terminate immediately by written notice if:</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the other party commits a material breach that is not remedied within thirty (30) days of written notice specifying the breach;</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the other party becomes insolvent, enters into liquidation, or is subject to analogous proceedings;</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a change in Applicable Law makes performance of this Agreement unlawful;</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the other party commits a breach of Article 14 (Anti-Bribery).</w:t>
      </w:r>
    </w:p>
    <w:p>
      <w:pPr>
        <w:spacing w:before="80" w:after="80" w:line="276"/>
        <w:ind w:left="720" w:hanging="720"/>
        <w:jc w:val="both"/>
      </w:pPr>
      <w:r>
        <w:rPr>
          <w:rFonts w:ascii="Times New Roman" w:cs="Times New Roman" w:eastAsia="Times New Roman" w:hAnsi="Times New Roman"/>
          <w:b/>
          <w:bCs/>
          <w:color w:val="333333"/>
          <w:sz w:val="22"/>
          <w:szCs w:val="22"/>
        </w:rPr>
        <w:t xml:space="preserve">16.4	</w:t>
      </w:r>
      <w:r>
        <w:rPr>
          <w:rFonts w:ascii="Times New Roman" w:cs="Times New Roman" w:eastAsia="Times New Roman" w:hAnsi="Times New Roman"/>
          <w:color w:val="333333"/>
          <w:sz w:val="22"/>
          <w:szCs w:val="22"/>
        </w:rPr>
        <w:t xml:space="preserve">Upon termination, the Custodian shall:</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transfer all Carbon Credits recorded in the Client Ledger to a Registry account designated by the Client, within twenty (20) Business Days;</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return all Client funds (net of accrued fees and charges) in the Segregated Account within ten (10) Business Days;</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deliver a final statement of account within twenty (20) Business Days.</w:t>
      </w:r>
    </w:p>
    <w:p>
      <w:pPr>
        <w:spacing w:before="80" w:after="80" w:line="276"/>
        <w:ind w:left="720" w:hanging="720"/>
        <w:jc w:val="both"/>
      </w:pPr>
      <w:r>
        <w:rPr>
          <w:rFonts w:ascii="Times New Roman" w:cs="Times New Roman" w:eastAsia="Times New Roman" w:hAnsi="Times New Roman"/>
          <w:b/>
          <w:bCs/>
          <w:color w:val="333333"/>
          <w:sz w:val="22"/>
          <w:szCs w:val="22"/>
        </w:rPr>
        <w:t xml:space="preserve">16.5	</w:t>
      </w:r>
      <w:r>
        <w:rPr>
          <w:rFonts w:ascii="Times New Roman" w:cs="Times New Roman" w:eastAsia="Times New Roman" w:hAnsi="Times New Roman"/>
          <w:color w:val="333333"/>
          <w:sz w:val="22"/>
          <w:szCs w:val="22"/>
        </w:rPr>
        <w:t xml:space="preserve">Termination shall not affect accrued rights or obligations, nor obligations that by their nature survive termination, including: confidentiality (Article 12 and NDA), non-circumvention (Article 15 and NDA), insolvency protection (Article 11), liability provisions (Article 10), anti-bribery (Article 14), and dispute resolution (Article 17).</w:t>
      </w:r>
    </w:p>
    <w:p>
      <w:pPr>
        <w:spacing w:before="360" w:after="120"/>
        <w:jc w:val="left"/>
      </w:pPr>
      <w:r>
        <w:rPr>
          <w:rFonts w:ascii="Times New Roman" w:cs="Times New Roman" w:eastAsia="Times New Roman" w:hAnsi="Times New Roman"/>
          <w:b/>
          <w:bCs/>
          <w:color w:val="1B2A4A"/>
          <w:sz w:val="22"/>
          <w:szCs w:val="22"/>
        </w:rPr>
        <w:t xml:space="preserve">ARTICLE 17</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GOVERNING LAW AND DISPUTE RESOLUTION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17.1	</w:t>
      </w:r>
      <w:r>
        <w:rPr>
          <w:rFonts w:ascii="Times New Roman" w:cs="Times New Roman" w:eastAsia="Times New Roman" w:hAnsi="Times New Roman"/>
          <w:color w:val="333333"/>
          <w:sz w:val="22"/>
          <w:szCs w:val="22"/>
        </w:rPr>
        <w:t xml:space="preserve">This Agreement is governed by and shall be construed in accordance with the laws of Hong Kong Special Administrative Region.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17.2	</w:t>
      </w:r>
      <w:r>
        <w:rPr>
          <w:rFonts w:ascii="Times New Roman" w:cs="Times New Roman" w:eastAsia="Times New Roman" w:hAnsi="Times New Roman"/>
          <w:color w:val="333333"/>
          <w:sz w:val="22"/>
          <w:szCs w:val="22"/>
        </w:rPr>
        <w:t xml:space="preserve">Negotiation: In the event of any dispute arising out of or in connection with this Agreement, the parties shall first attempt to resolve the dispute through good faith negotiations between senior representatives of each party. Such negotiations shall commence within ten (10) Business Days of written notice and shall continue for not less than thirty (30) days.</w:t>
      </w:r>
    </w:p>
    <w:p>
      <w:pPr>
        <w:spacing w:before="80" w:after="80" w:line="276"/>
        <w:ind w:left="720" w:hanging="720"/>
        <w:jc w:val="both"/>
      </w:pPr>
      <w:r>
        <w:rPr>
          <w:rFonts w:ascii="Times New Roman" w:cs="Times New Roman" w:eastAsia="Times New Roman" w:hAnsi="Times New Roman"/>
          <w:b/>
          <w:bCs/>
          <w:color w:val="333333"/>
          <w:sz w:val="22"/>
          <w:szCs w:val="22"/>
        </w:rPr>
        <w:t xml:space="preserve">17.3	</w:t>
      </w:r>
      <w:r>
        <w:rPr>
          <w:rFonts w:ascii="Times New Roman" w:cs="Times New Roman" w:eastAsia="Times New Roman" w:hAnsi="Times New Roman"/>
          <w:color w:val="333333"/>
          <w:sz w:val="22"/>
          <w:szCs w:val="22"/>
        </w:rPr>
        <w:t xml:space="preserve">Mediation: If the dispute is not resolved through negotiation within the period specified in Article 17.2, either party may refer the dispute to mediation administered by the Hong Kong Mediation Centre (HKMC) or such other mediation institution as the parties may agree. The mediation shall be conducted in Hong Kong in the English language. Costs of mediation shall be shared equally.</w:t>
      </w:r>
    </w:p>
    <w:p>
      <w:pPr>
        <w:spacing w:before="80" w:after="80" w:line="276"/>
        <w:ind w:left="720" w:hanging="720"/>
        <w:jc w:val="both"/>
      </w:pPr>
      <w:r>
        <w:rPr>
          <w:rFonts w:ascii="Times New Roman" w:cs="Times New Roman" w:eastAsia="Times New Roman" w:hAnsi="Times New Roman"/>
          <w:b/>
          <w:bCs/>
          <w:color w:val="333333"/>
          <w:sz w:val="22"/>
          <w:szCs w:val="22"/>
        </w:rPr>
        <w:t xml:space="preserve">17.4	</w:t>
      </w:r>
      <w:r>
        <w:rPr>
          <w:rFonts w:ascii="Times New Roman" w:cs="Times New Roman" w:eastAsia="Times New Roman" w:hAnsi="Times New Roman"/>
          <w:color w:val="333333"/>
          <w:sz w:val="22"/>
          <w:szCs w:val="22"/>
        </w:rPr>
        <w:t xml:space="preserve">Arbitration: If the dispute is not resolved through mediation within sixty (60) days of referral, either party may refer the dispute to final and binding arbitration under the HKIAC Administered Arbitration Rules then in force. The tribunal shall consist of one (1) arbitrator. The seat of arbitration shall be Hong Kong. The language of arbitration shall be English. The arbitral award shall be final and binding. Enforcement may be sought in any court of competent jurisdiction under the New York Convention.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17.5	</w:t>
      </w:r>
      <w:r>
        <w:rPr>
          <w:rFonts w:ascii="Times New Roman" w:cs="Times New Roman" w:eastAsia="Times New Roman" w:hAnsi="Times New Roman"/>
          <w:color w:val="333333"/>
          <w:sz w:val="22"/>
          <w:szCs w:val="22"/>
        </w:rPr>
        <w:t xml:space="preserve">Notwithstanding the above, either party may seek injunctive or other equitable relief from the courts of Hong Kong to protect its rights pending the outcome of any dispute resolution procedure.</w:t>
      </w:r>
    </w:p>
    <w:p>
      <w:pPr>
        <w:spacing w:before="360" w:after="120"/>
        <w:jc w:val="left"/>
      </w:pPr>
      <w:r>
        <w:rPr>
          <w:rFonts w:ascii="Times New Roman" w:cs="Times New Roman" w:eastAsia="Times New Roman" w:hAnsi="Times New Roman"/>
          <w:b/>
          <w:bCs/>
          <w:color w:val="1B2A4A"/>
          <w:sz w:val="22"/>
          <w:szCs w:val="22"/>
        </w:rPr>
        <w:t xml:space="preserve">ARTICLE 18</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GENERAL PROVISIONS</w:t>
      </w:r>
    </w:p>
    <w:p>
      <w:pPr>
        <w:spacing w:before="80" w:after="80" w:line="276"/>
        <w:ind w:left="720" w:hanging="720"/>
        <w:jc w:val="both"/>
      </w:pPr>
      <w:r>
        <w:rPr>
          <w:rFonts w:ascii="Times New Roman" w:cs="Times New Roman" w:eastAsia="Times New Roman" w:hAnsi="Times New Roman"/>
          <w:b/>
          <w:bCs/>
          <w:color w:val="333333"/>
          <w:sz w:val="22"/>
          <w:szCs w:val="22"/>
        </w:rPr>
        <w:t xml:space="preserve">18.1	</w:t>
      </w:r>
      <w:r>
        <w:rPr>
          <w:rFonts w:ascii="Times New Roman" w:cs="Times New Roman" w:eastAsia="Times New Roman" w:hAnsi="Times New Roman"/>
          <w:color w:val="333333"/>
          <w:sz w:val="22"/>
          <w:szCs w:val="22"/>
        </w:rPr>
        <w:t xml:space="preserve">Entire Agreement: This Agreement (together with the NDA, the MSA, and all Schedules) constitutes the entire agreement between the parties regarding the custody and safekeeping of Carbon Credits and supersedes all prior agreements and understandings on this subject matter.</w:t>
      </w:r>
    </w:p>
    <w:p>
      <w:pPr>
        <w:spacing w:before="80" w:after="80" w:line="276"/>
        <w:ind w:left="720" w:hanging="720"/>
        <w:jc w:val="both"/>
      </w:pPr>
      <w:r>
        <w:rPr>
          <w:rFonts w:ascii="Times New Roman" w:cs="Times New Roman" w:eastAsia="Times New Roman" w:hAnsi="Times New Roman"/>
          <w:b/>
          <w:bCs/>
          <w:color w:val="333333"/>
          <w:sz w:val="22"/>
          <w:szCs w:val="22"/>
        </w:rPr>
        <w:t xml:space="preserve">18.2	</w:t>
      </w:r>
      <w:r>
        <w:rPr>
          <w:rFonts w:ascii="Times New Roman" w:cs="Times New Roman" w:eastAsia="Times New Roman" w:hAnsi="Times New Roman"/>
          <w:color w:val="333333"/>
          <w:sz w:val="22"/>
          <w:szCs w:val="22"/>
        </w:rPr>
        <w:t xml:space="preserve">Amendments: No amendment to this Agreement shall be effective unless in writing and signed by an authorised representative of each party.</w:t>
      </w:r>
    </w:p>
    <w:p>
      <w:pPr>
        <w:spacing w:before="80" w:after="80" w:line="276"/>
        <w:ind w:left="720" w:hanging="720"/>
        <w:jc w:val="both"/>
      </w:pPr>
      <w:r>
        <w:rPr>
          <w:rFonts w:ascii="Times New Roman" w:cs="Times New Roman" w:eastAsia="Times New Roman" w:hAnsi="Times New Roman"/>
          <w:b/>
          <w:bCs/>
          <w:color w:val="333333"/>
          <w:sz w:val="22"/>
          <w:szCs w:val="22"/>
        </w:rPr>
        <w:t xml:space="preserve">18.3	</w:t>
      </w:r>
      <w:r>
        <w:rPr>
          <w:rFonts w:ascii="Times New Roman" w:cs="Times New Roman" w:eastAsia="Times New Roman" w:hAnsi="Times New Roman"/>
          <w:color w:val="333333"/>
          <w:sz w:val="22"/>
          <w:szCs w:val="22"/>
        </w:rPr>
        <w:t xml:space="preserve">Waiver: No failure or delay by either party in exercising any right shall constitute a waiver of that right.</w:t>
      </w:r>
    </w:p>
    <w:p>
      <w:pPr>
        <w:spacing w:before="80" w:after="80" w:line="276"/>
        <w:ind w:left="720" w:hanging="720"/>
        <w:jc w:val="both"/>
      </w:pPr>
      <w:r>
        <w:rPr>
          <w:rFonts w:ascii="Times New Roman" w:cs="Times New Roman" w:eastAsia="Times New Roman" w:hAnsi="Times New Roman"/>
          <w:b/>
          <w:bCs/>
          <w:color w:val="333333"/>
          <w:sz w:val="22"/>
          <w:szCs w:val="22"/>
        </w:rPr>
        <w:t xml:space="preserve">18.4	</w:t>
      </w:r>
      <w:r>
        <w:rPr>
          <w:rFonts w:ascii="Times New Roman" w:cs="Times New Roman" w:eastAsia="Times New Roman" w:hAnsi="Times New Roman"/>
          <w:color w:val="333333"/>
          <w:sz w:val="22"/>
          <w:szCs w:val="22"/>
        </w:rPr>
        <w:t xml:space="preserve">Severability: If any provision is held invalid or unenforceable, the remaining provisions shall continue in full force and effect. The parties shall negotiate in good faith to replace the invalid provision with one that most closely reflects the original commercial intent.</w:t>
      </w:r>
    </w:p>
    <w:p>
      <w:pPr>
        <w:spacing w:before="80" w:after="80" w:line="276"/>
        <w:ind w:left="720" w:hanging="720"/>
        <w:jc w:val="both"/>
      </w:pPr>
      <w:r>
        <w:rPr>
          <w:rFonts w:ascii="Times New Roman" w:cs="Times New Roman" w:eastAsia="Times New Roman" w:hAnsi="Times New Roman"/>
          <w:b/>
          <w:bCs/>
          <w:color w:val="333333"/>
          <w:sz w:val="22"/>
          <w:szCs w:val="22"/>
        </w:rPr>
        <w:t xml:space="preserve">18.5	</w:t>
      </w:r>
      <w:r>
        <w:rPr>
          <w:rFonts w:ascii="Times New Roman" w:cs="Times New Roman" w:eastAsia="Times New Roman" w:hAnsi="Times New Roman"/>
          <w:color w:val="333333"/>
          <w:sz w:val="22"/>
          <w:szCs w:val="22"/>
        </w:rPr>
        <w:t xml:space="preserve">Assignment: Neither party may assign its rights or obligations without the prior written consent of the other party. The Custodian may assign to a wholly-owned subsidiary upon thirty (30) days’ written notice, provided the assignee assumes all obligations hereunder.</w:t>
      </w:r>
    </w:p>
    <w:p>
      <w:pPr>
        <w:spacing w:before="80" w:after="80" w:line="276"/>
        <w:ind w:left="720" w:hanging="720"/>
        <w:jc w:val="both"/>
      </w:pPr>
      <w:r>
        <w:rPr>
          <w:rFonts w:ascii="Times New Roman" w:cs="Times New Roman" w:eastAsia="Times New Roman" w:hAnsi="Times New Roman"/>
          <w:b/>
          <w:bCs/>
          <w:color w:val="333333"/>
          <w:sz w:val="22"/>
          <w:szCs w:val="22"/>
        </w:rPr>
        <w:t xml:space="preserve">18.6	</w:t>
      </w:r>
      <w:r>
        <w:rPr>
          <w:rFonts w:ascii="Times New Roman" w:cs="Times New Roman" w:eastAsia="Times New Roman" w:hAnsi="Times New Roman"/>
          <w:color w:val="333333"/>
          <w:sz w:val="22"/>
          <w:szCs w:val="22"/>
        </w:rPr>
        <w:t xml:space="preserve">Third Party Rights: Nothing in this Agreement confers rights on any third party under applicable third party rights legislation.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18.7	</w:t>
      </w:r>
      <w:r>
        <w:rPr>
          <w:rFonts w:ascii="Times New Roman" w:cs="Times New Roman" w:eastAsia="Times New Roman" w:hAnsi="Times New Roman"/>
          <w:color w:val="333333"/>
          <w:sz w:val="22"/>
          <w:szCs w:val="22"/>
        </w:rPr>
        <w:t xml:space="preserve">Notices: All notices shall be in writing and delivered to the addresses set out in Schedule C, or as subsequently notified. Notices by email shall be valid only if followed by a hard copy sent by registered mail or internationally recognised courier within five (5) Business Days.</w:t>
      </w:r>
    </w:p>
    <w:p>
      <w:pPr>
        <w:spacing w:before="80" w:after="80" w:line="276"/>
        <w:ind w:left="720" w:hanging="720"/>
        <w:jc w:val="both"/>
      </w:pPr>
      <w:r>
        <w:rPr>
          <w:rFonts w:ascii="Times New Roman" w:cs="Times New Roman" w:eastAsia="Times New Roman" w:hAnsi="Times New Roman"/>
          <w:b/>
          <w:bCs/>
          <w:color w:val="333333"/>
          <w:sz w:val="22"/>
          <w:szCs w:val="22"/>
        </w:rPr>
        <w:t xml:space="preserve">18.8	</w:t>
      </w:r>
      <w:r>
        <w:rPr>
          <w:rFonts w:ascii="Times New Roman" w:cs="Times New Roman" w:eastAsia="Times New Roman" w:hAnsi="Times New Roman"/>
          <w:color w:val="333333"/>
          <w:sz w:val="22"/>
          <w:szCs w:val="22"/>
        </w:rPr>
        <w:t xml:space="preserve">Counterparts: This Agreement may be executed in counterparts, each of which shall constitute an original and all of which together shall constitute one and the same agreement.</w:t>
      </w:r>
    </w:p>
    <w:p>
      <w:pPr>
        <w:spacing w:before="80" w:after="80" w:line="276"/>
        <w:ind w:left="720" w:hanging="720"/>
        <w:jc w:val="both"/>
      </w:pPr>
      <w:r>
        <w:rPr>
          <w:rFonts w:ascii="Times New Roman" w:cs="Times New Roman" w:eastAsia="Times New Roman" w:hAnsi="Times New Roman"/>
          <w:b/>
          <w:bCs/>
          <w:color w:val="333333"/>
          <w:sz w:val="22"/>
          <w:szCs w:val="22"/>
        </w:rPr>
        <w:t xml:space="preserve">18.9	</w:t>
      </w:r>
      <w:r>
        <w:rPr>
          <w:rFonts w:ascii="Times New Roman" w:cs="Times New Roman" w:eastAsia="Times New Roman" w:hAnsi="Times New Roman"/>
          <w:color w:val="333333"/>
          <w:sz w:val="22"/>
          <w:szCs w:val="22"/>
        </w:rPr>
        <w:t xml:space="preserve">Order of Precedence: In the event of conflict between this Agreement and any Schedule, this Agreement shall prevail. The hierarchy between this Agreement, the MSA, and the NDA is set out in Article 1.5.</w:t>
      </w:r>
    </w:p>
    <w:p>
      <w:r>
        <w:br w:type="page"/>
      </w:r>
    </w:p>
    <w:p>
      <w:pPr>
        <w:spacing w:before="200" w:after="300"/>
        <w:jc w:val="center"/>
      </w:pPr>
      <w:r>
        <w:rPr>
          <w:rFonts w:ascii="Times New Roman" w:cs="Times New Roman" w:eastAsia="Times New Roman" w:hAnsi="Times New Roman"/>
          <w:b/>
          <w:bCs/>
          <w:color w:val="1B2A4A"/>
          <w:sz w:val="24"/>
          <w:szCs w:val="24"/>
        </w:rPr>
        <w:t xml:space="preserve">IN WITNESS WHEREOF</w:t>
      </w:r>
    </w:p>
    <w:p>
      <w:pPr>
        <w:spacing w:before="60" w:after="60" w:line="276"/>
        <w:jc w:val="center"/>
      </w:pPr>
      <w:r>
        <w:rPr>
          <w:rFonts w:ascii="Times New Roman" w:cs="Times New Roman" w:eastAsia="Times New Roman" w:hAnsi="Times New Roman"/>
          <w:b w:val="false"/>
          <w:bCs w:val="false"/>
          <w:color w:val="333333"/>
          <w:sz w:val="22"/>
          <w:szCs w:val="22"/>
        </w:rPr>
        <w:t xml:space="preserve">the parties have executed this Agreement as of the date first written above.</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00"/>
              <w:bottom w:type="dxa" w:w="80"/>
              <w:right w:type="dxa" w:w="200"/>
            </w:tcMar>
          </w:tcPr>
          <w:p>
            <w:pPr>
              <w:spacing w:before="30" w:after="30"/>
            </w:pPr>
            <w:r>
              <w:rPr>
                <w:rFonts w:ascii="Times New Roman" w:cs="Times New Roman" w:eastAsia="Times New Roman" w:hAnsi="Times New Roman"/>
                <w:b/>
                <w:bCs/>
                <w:color w:val="333333"/>
                <w:sz w:val="20"/>
                <w:szCs w:val="20"/>
              </w:rPr>
              <w:t xml:space="preserve">FOR AND ON BEHALF OF</w:t>
            </w:r>
          </w:p>
          <w:p>
            <w:pPr>
              <w:spacing w:before="30" w:after="30"/>
            </w:pPr>
            <w:r>
              <w:rPr>
                <w:rFonts w:ascii="Times New Roman" w:cs="Times New Roman" w:eastAsia="Times New Roman" w:hAnsi="Times New Roman"/>
                <w:b/>
                <w:bCs/>
                <w:color w:val="1B2A4A"/>
                <w:sz w:val="20"/>
                <w:szCs w:val="20"/>
              </w:rPr>
              <w:t xml:space="preserve">ITALY NIHAO GROUP LIMITED</w:t>
            </w:r>
          </w:p>
          <w:p>
            <w:pPr>
              <w:spacing w:before="30" w:after="30"/>
            </w:pPr>
            <w:r>
              <w:rPr>
                <w:rFonts w:ascii="Times New Roman" w:cs="Times New Roman" w:eastAsia="Times New Roman" w:hAnsi="Times New Roman"/>
                <w:b w:val="false"/>
                <w:bCs w:val="false"/>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Signature: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Name: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Title: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Date: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b w:val="false"/>
                <w:bCs w:val="false"/>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WITNESS: </w:t>
            </w:r>
            <w:r>
              <w:rPr>
                <w:rFonts w:ascii="Times New Roman" w:cs="Times New Roman" w:eastAsia="Times New Roman" w:hAnsi="Times New Roman"/>
                <w:b/>
                <w:bCs/>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Signature: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Name: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Occupation: </w:t>
            </w:r>
            <w:r>
              <w:rPr>
                <w:rFonts w:ascii="Times New Roman" w:cs="Times New Roman" w:eastAsia="Times New Roman" w:hAnsi="Times New Roman"/>
                <w:b w:val="false"/>
                <w:bCs w:val="false"/>
                <w:color w:val="333333"/>
                <w:sz w:val="20"/>
                <w:szCs w:val="20"/>
              </w:rPr>
              <w:t xml:space="preserve">________________________</w:t>
            </w:r>
          </w:p>
        </w:tc>
        <w:tc>
          <w:tcPr>
            <w:tcW w:type="dxa" w:w="4680"/>
            <w:tcBorders>
              <w:top w:val="none"/>
              <w:left w:val="none"/>
              <w:bottom w:val="none"/>
              <w:right w:val="none"/>
            </w:tcBorders>
            <w:tcMar>
              <w:top w:type="dxa" w:w="80"/>
              <w:left w:type="dxa" w:w="200"/>
              <w:bottom w:type="dxa" w:w="80"/>
              <w:right w:type="dxa" w:w="100"/>
            </w:tcMar>
          </w:tcPr>
          <w:p>
            <w:pPr>
              <w:spacing w:before="30" w:after="30"/>
            </w:pPr>
            <w:r>
              <w:rPr>
                <w:rFonts w:ascii="Times New Roman" w:cs="Times New Roman" w:eastAsia="Times New Roman" w:hAnsi="Times New Roman"/>
                <w:b/>
                <w:bCs/>
                <w:color w:val="333333"/>
                <w:sz w:val="20"/>
                <w:szCs w:val="20"/>
              </w:rPr>
              <w:t xml:space="preserve">FOR AND ON BEHALF OF</w:t>
            </w:r>
          </w:p>
          <w:p>
            <w:pPr>
              <w:spacing w:before="30" w:after="30"/>
            </w:pPr>
            <w:r>
              <w:rPr>
                <w:rFonts w:ascii="Times New Roman" w:cs="Times New Roman" w:eastAsia="Times New Roman" w:hAnsi="Times New Roman"/>
                <w:b/>
                <w:bCs/>
                <w:color w:val="2E75B6"/>
                <w:sz w:val="20"/>
                <w:szCs w:val="20"/>
              </w:rPr>
              <w:t xml:space="preserve">[CLIENT FULL LEGAL NAME]</w:t>
            </w:r>
          </w:p>
          <w:p>
            <w:pPr>
              <w:spacing w:before="30" w:after="30"/>
            </w:pPr>
            <w:r>
              <w:rPr>
                <w:rFonts w:ascii="Times New Roman" w:cs="Times New Roman" w:eastAsia="Times New Roman" w:hAnsi="Times New Roman"/>
                <w:b w:val="false"/>
                <w:bCs w:val="false"/>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Signature: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Name: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Title: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Date: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b w:val="false"/>
                <w:bCs w:val="false"/>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WITNESS: </w:t>
            </w:r>
            <w:r>
              <w:rPr>
                <w:rFonts w:ascii="Times New Roman" w:cs="Times New Roman" w:eastAsia="Times New Roman" w:hAnsi="Times New Roman"/>
                <w:b/>
                <w:bCs/>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Signature: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Name: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Occupation: </w:t>
            </w:r>
            <w:r>
              <w:rPr>
                <w:rFonts w:ascii="Times New Roman" w:cs="Times New Roman" w:eastAsia="Times New Roman" w:hAnsi="Times New Roman"/>
                <w:b w:val="false"/>
                <w:bCs w:val="false"/>
                <w:color w:val="333333"/>
                <w:sz w:val="20"/>
                <w:szCs w:val="20"/>
              </w:rPr>
              <w:t xml:space="preserve">________________________</w:t>
            </w:r>
          </w:p>
        </w:tc>
      </w:tr>
    </w:tbl>
    <w:p>
      <w:r>
        <w:br w:type="page"/>
      </w:r>
    </w:p>
    <w:p>
      <w:pPr>
        <w:spacing w:before="300" w:after="150"/>
        <w:jc w:val="left"/>
      </w:pPr>
      <w:r>
        <w:rPr>
          <w:rFonts w:ascii="Times New Roman" w:cs="Times New Roman" w:eastAsia="Times New Roman" w:hAnsi="Times New Roman"/>
          <w:b/>
          <w:bCs/>
          <w:color w:val="1B2A4A"/>
          <w:sz w:val="28"/>
          <w:szCs w:val="28"/>
        </w:rPr>
        <w:t xml:space="preserve">SCHEDULE A — FEE SCHEDULE</w:t>
      </w:r>
    </w:p>
    <w:p>
      <w:pPr>
        <w:spacing w:before="120" w:after="200" w:line="276"/>
        <w:jc w:val="both"/>
      </w:pPr>
      <w:r>
        <w:rPr>
          <w:rFonts w:ascii="Times New Roman" w:cs="Times New Roman" w:eastAsia="Times New Roman" w:hAnsi="Times New Roman"/>
          <w:b w:val="false"/>
          <w:bCs w:val="false"/>
          <w:color w:val="333333"/>
          <w:sz w:val="22"/>
          <w:szCs w:val="22"/>
        </w:rPr>
        <w:t xml:space="preserve">The following fee rates apply to custody and transaction services under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2060"/>
        <w:gridCol w:w="18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Fee 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Rate</w:t>
            </w:r>
          </w:p>
        </w:tc>
        <w:tc>
          <w:tcPr>
            <w:tcW w:type="dxa" w:w="206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Currency</w:t>
            </w:r>
          </w:p>
        </w:tc>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Billing</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CEA Cash Purchase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Facilitation Fee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1.5% of transaction value</w:t>
            </w:r>
          </w:p>
        </w:tc>
        <w:tc>
          <w:tcPr>
            <w:tcW w:type="dxa" w:w="2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Per trade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CEA → EUA Swap</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Swap Fee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2.0% of CEA volume</w:t>
            </w:r>
          </w:p>
        </w:tc>
        <w:tc>
          <w:tcPr>
            <w:tcW w:type="dxa" w:w="2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CEA (whole units, rounded up)</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Per conversion</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EUA → CEA Swap</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Swap Fee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2.0% of EUA volume</w:t>
            </w:r>
          </w:p>
        </w:tc>
        <w:tc>
          <w:tcPr>
            <w:tcW w:type="dxa" w:w="2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EUA (whole units, rounded up)</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Per conversion</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Delivery</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Transfer Fee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At cost (Registry fees)</w:t>
            </w:r>
          </w:p>
        </w:tc>
        <w:tc>
          <w:tcPr>
            <w:tcW w:type="dxa" w:w="2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Per delivery event</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Retirement</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Administrative Fee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At cost</w:t>
            </w:r>
          </w:p>
        </w:tc>
        <w:tc>
          <w:tcPr>
            <w:tcW w:type="dxa" w:w="2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Per retirement event</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Registry Transfers</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Pass-through</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At cost</w:t>
            </w:r>
          </w:p>
        </w:tc>
        <w:tc>
          <w:tcPr>
            <w:tcW w:type="dxa" w:w="2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As incurred</w:t>
            </w:r>
          </w:p>
        </w:tc>
      </w:tr>
    </w:tbl>
    <w:p>
      <w:pPr>
        <w:spacing w:before="200" w:after="60" w:line="276"/>
        <w:jc w:val="both"/>
      </w:pPr>
      <w:r>
        <w:rPr>
          <w:rFonts w:ascii="Times New Roman" w:cs="Times New Roman" w:eastAsia="Times New Roman" w:hAnsi="Times New Roman"/>
          <w:b w:val="false"/>
          <w:bCs w:val="false"/>
          <w:color w:val="333333"/>
          <w:sz w:val="22"/>
          <w:szCs w:val="22"/>
        </w:rPr>
        <w:t xml:space="preserve"/>
      </w:r>
    </w:p>
    <w:p>
      <w:pPr>
        <w:spacing w:before="120" w:after="60" w:line="276"/>
        <w:jc w:val="both"/>
      </w:pPr>
      <w:r>
        <w:rPr>
          <w:rFonts w:ascii="Times New Roman" w:cs="Times New Roman" w:eastAsia="Times New Roman" w:hAnsi="Times New Roman"/>
          <w:b/>
          <w:bCs/>
          <w:color w:val="333333"/>
          <w:sz w:val="22"/>
          <w:szCs w:val="22"/>
        </w:rPr>
        <w:t xml:space="preserve">Notes:</w:t>
      </w:r>
    </w:p>
    <w:p>
      <w:pPr>
        <w:spacing w:before="60" w:after="60" w:line="276"/>
        <w:ind w:left="360"/>
        <w:jc w:val="both"/>
      </w:pPr>
      <w:r>
        <w:rPr>
          <w:rFonts w:ascii="Times New Roman" w:cs="Times New Roman" w:eastAsia="Times New Roman" w:hAnsi="Times New Roman"/>
          <w:b w:val="false"/>
          <w:bCs w:val="false"/>
          <w:color w:val="333333"/>
          <w:sz w:val="22"/>
          <w:szCs w:val="22"/>
        </w:rPr>
        <w:t xml:space="preserve">1. Swap Fee Methodology: The swap fee is calculated in the source Carbon Credit currency (e.g., CEA for a CEA-to-EUA swap). The fee amount is: Volume × Fee Rate, rounded up to the nearest whole unit. The fee is deducted before execution against the order book.</w:t>
      </w:r>
    </w:p>
    <w:p>
      <w:pPr>
        <w:spacing w:before="60" w:after="60" w:line="276"/>
        <w:ind w:left="360"/>
        <w:jc w:val="both"/>
      </w:pPr>
      <w:r>
        <w:rPr>
          <w:rFonts w:ascii="Times New Roman" w:cs="Times New Roman" w:eastAsia="Times New Roman" w:hAnsi="Times New Roman"/>
          <w:b w:val="false"/>
          <w:bCs w:val="false"/>
          <w:color w:val="333333"/>
          <w:sz w:val="22"/>
          <w:szCs w:val="22"/>
        </w:rPr>
        <w:t xml:space="preserve">2. Fee Cap: Any single fee revision under Article 7.4 shall not increase any rate by more than 25% relative to the then-current rate.</w:t>
      </w:r>
    </w:p>
    <w:p>
      <w:pPr>
        <w:spacing w:before="60" w:after="60" w:line="276"/>
        <w:ind w:left="360"/>
        <w:jc w:val="both"/>
      </w:pPr>
      <w:r>
        <w:rPr>
          <w:rFonts w:ascii="Times New Roman" w:cs="Times New Roman" w:eastAsia="Times New Roman" w:hAnsi="Times New Roman"/>
          <w:b w:val="false"/>
          <w:bCs w:val="false"/>
          <w:color w:val="333333"/>
          <w:sz w:val="22"/>
          <w:szCs w:val="22"/>
        </w:rPr>
        <w:t xml:space="preserve">3. All fees are exclusive of VAT, GST, or equivalent taxes, which are borne by the Client at the applicable rate.</w:t>
      </w:r>
    </w:p>
    <w:p>
      <w:r>
        <w:br w:type="page"/>
      </w:r>
    </w:p>
    <w:p>
      <w:pPr>
        <w:spacing w:before="300" w:after="150"/>
        <w:jc w:val="left"/>
      </w:pPr>
      <w:r>
        <w:rPr>
          <w:rFonts w:ascii="Times New Roman" w:cs="Times New Roman" w:eastAsia="Times New Roman" w:hAnsi="Times New Roman"/>
          <w:b/>
          <w:bCs/>
          <w:color w:val="1B2A4A"/>
          <w:sz w:val="28"/>
          <w:szCs w:val="28"/>
        </w:rPr>
        <w:t xml:space="preserve">SCHEDULE B — APPROVED REGISTRIES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Registry / Market</w:t>
            </w:r>
          </w:p>
        </w:tc>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Jurisdiction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Products</w:t>
            </w:r>
          </w:p>
        </w:tc>
        <w:tc>
          <w:tcPr>
            <w:tcW w:type="dxa" w:w="316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Access Type</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 Transaction Log (EUTL)</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European Union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EUA</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Via EU counterparty</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CEEX Shenzhen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PRC (Shenzhen)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SZA, CCER</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Direct participation</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Guangdong ETS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PRC (Guangdong)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GDEA, CCER</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Via partner</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HKEX Core Climate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Hong Kong SAR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VCC</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Institutional participant</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Verra (VCS)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International</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VCU</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Account holder</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Gold Standard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International</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GS VER</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Account holder</w:t>
            </w:r>
          </w:p>
        </w:tc>
      </w:tr>
    </w:tbl>
    <w:p>
      <w:pPr>
        <w:spacing w:before="200" w:after="60" w:line="276"/>
        <w:jc w:val="both"/>
      </w:pPr>
      <w:r>
        <w:rPr>
          <w:rFonts w:ascii="Times New Roman" w:cs="Times New Roman" w:eastAsia="Times New Roman" w:hAnsi="Times New Roman"/>
          <w:b w:val="false"/>
          <w:bCs w:val="false"/>
          <w:color w:val="333333"/>
          <w:sz w:val="22"/>
          <w:szCs w:val="22"/>
        </w:rPr>
        <w:t xml:space="preserve"/>
      </w:r>
    </w:p>
    <w:p>
      <w:pPr>
        <w:spacing w:before="60" w:after="60" w:line="276"/>
        <w:jc w:val="both"/>
      </w:pPr>
      <w:r>
        <w:rPr>
          <w:rFonts w:ascii="Times New Roman" w:cs="Times New Roman" w:eastAsia="Times New Roman" w:hAnsi="Times New Roman"/>
          <w:b w:val="false"/>
          <w:bCs w:val="false"/>
          <w:color w:val="333333"/>
          <w:sz w:val="20"/>
          <w:szCs w:val="20"/>
        </w:rPr>
        <w:t xml:space="preserve">This list may be updated by the Custodian from time to time with prior written notice to the Client. Addition of new registries shall not constitute an amendment to this Agreement.</w:t>
      </w:r>
    </w:p>
    <w:p>
      <w:r>
        <w:br w:type="page"/>
      </w:r>
    </w:p>
    <w:p>
      <w:pPr>
        <w:spacing w:before="300" w:after="150"/>
        <w:jc w:val="left"/>
      </w:pPr>
      <w:r>
        <w:rPr>
          <w:rFonts w:ascii="Times New Roman" w:cs="Times New Roman" w:eastAsia="Times New Roman" w:hAnsi="Times New Roman"/>
          <w:b/>
          <w:bCs/>
          <w:color w:val="1B2A4A"/>
          <w:sz w:val="28"/>
          <w:szCs w:val="28"/>
        </w:rPr>
        <w:t xml:space="preserve">SCHEDULE C — DESIGNATED BANK ACCOUNTS AND NOTICES</w:t>
      </w:r>
    </w:p>
    <w:p>
      <w:pPr>
        <w:spacing w:before="200" w:after="60" w:line="276"/>
        <w:jc w:val="both"/>
      </w:pPr>
      <w:r>
        <w:rPr>
          <w:rFonts w:ascii="Times New Roman" w:cs="Times New Roman" w:eastAsia="Times New Roman" w:hAnsi="Times New Roman"/>
          <w:b/>
          <w:bCs/>
          <w:color w:val="1B2A4A"/>
          <w:sz w:val="22"/>
          <w:szCs w:val="22"/>
        </w:rPr>
        <w:t xml:space="preserve">1. CUSTODIAN DESIGNATED BANK ACCOUNT (SEGREGATED CLIENT ACCOUNT)</w:t>
      </w:r>
    </w:p>
    <w:p>
      <w:pPr>
        <w:spacing w:before="60" w:after="60" w:line="276"/>
        <w:jc w:val="both"/>
      </w:pPr>
      <w:r>
        <w:rPr>
          <w:rFonts w:ascii="Times New Roman" w:cs="Times New Roman" w:eastAsia="Times New Roman" w:hAnsi="Times New Roman"/>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Account Name:</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[To be completed upon onboarding]</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Bank Name:</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[Licensed Hong Kong Bank]</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Bank Address:</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[Bank Address]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Account Number:</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[Account Number]</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SWIFT Code:</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[SWIFT/BIC Code]</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Currency:</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EUR / USD / CNY (as applicable)</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Reference:</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NIHA-CCA-2026-[___] / [Client Name]</w:t>
            </w:r>
          </w:p>
        </w:tc>
      </w:tr>
    </w:tbl>
    <w:p>
      <w:pPr>
        <w:spacing w:before="300" w:after="60" w:line="276"/>
        <w:jc w:val="both"/>
      </w:pPr>
      <w:r>
        <w:rPr>
          <w:rFonts w:ascii="Times New Roman" w:cs="Times New Roman" w:eastAsia="Times New Roman" w:hAnsi="Times New Roman"/>
          <w:b w:val="false"/>
          <w:bCs w:val="false"/>
          <w:color w:val="333333"/>
          <w:sz w:val="22"/>
          <w:szCs w:val="22"/>
        </w:rPr>
        <w:t xml:space="preserve"/>
      </w:r>
    </w:p>
    <w:p>
      <w:pPr>
        <w:spacing w:before="200" w:after="60" w:line="276"/>
        <w:jc w:val="both"/>
      </w:pPr>
      <w:r>
        <w:rPr>
          <w:rFonts w:ascii="Times New Roman" w:cs="Times New Roman" w:eastAsia="Times New Roman" w:hAnsi="Times New Roman"/>
          <w:b/>
          <w:bCs/>
          <w:color w:val="1B2A4A"/>
          <w:sz w:val="22"/>
          <w:szCs w:val="22"/>
        </w:rPr>
        <w:t xml:space="preserve">2. ADDRESSES FOR NOTICES</w:t>
      </w:r>
    </w:p>
    <w:p>
      <w:pPr>
        <w:spacing w:before="60" w:after="60" w:line="276"/>
        <w:jc w:val="both"/>
      </w:pPr>
      <w:r>
        <w:rPr>
          <w:rFonts w:ascii="Times New Roman" w:cs="Times New Roman" w:eastAsia="Times New Roman" w:hAnsi="Times New Roman"/>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
            </w:r>
          </w:p>
        </w:tc>
        <w:tc>
          <w:tcPr>
            <w:tcW w:type="dxa" w:w="378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Custodian</w:t>
            </w:r>
          </w:p>
        </w:tc>
        <w:tc>
          <w:tcPr>
            <w:tcW w:type="dxa" w:w="378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Client</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Entity Name:</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Italy Nihao Group Limited</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[Client Full Legal Name]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Attention:</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[Designated Contact Person]</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[Designated Contact Person]</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Address:</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[Registered Office Address]</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[Client Registered Address]</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Email:</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[official@nihacarbon.com]</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[client@email.com]</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Phone:</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[+852 XXXX XXXX]</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[Client Phone]</w:t>
            </w:r>
          </w:p>
        </w:tc>
      </w:tr>
    </w:tbl>
    <w:p>
      <w:pPr>
        <w:spacing w:before="200" w:after="60" w:line="276"/>
        <w:jc w:val="both"/>
      </w:pPr>
      <w:r>
        <w:rPr>
          <w:rFonts w:ascii="Times New Roman" w:cs="Times New Roman" w:eastAsia="Times New Roman" w:hAnsi="Times New Roman"/>
          <w:b w:val="false"/>
          <w:bCs w:val="false"/>
          <w:color w:val="333333"/>
          <w:sz w:val="22"/>
          <w:szCs w:val="22"/>
        </w:rPr>
        <w:t xml:space="preserve"/>
      </w:r>
    </w:p>
    <w:p>
      <w:pPr>
        <w:spacing w:before="60" w:after="60" w:line="276"/>
        <w:jc w:val="both"/>
      </w:pPr>
      <w:r>
        <w:rPr>
          <w:rFonts w:ascii="Times New Roman" w:cs="Times New Roman" w:eastAsia="Times New Roman" w:hAnsi="Times New Roman"/>
          <w:b w:val="false"/>
          <w:bCs w:val="false"/>
          <w:color w:val="333333"/>
          <w:sz w:val="20"/>
          <w:szCs w:val="20"/>
        </w:rPr>
        <w:t xml:space="preserve">Note: Notices by email are valid only if followed by a hard copy sent by registered mail or internationally recognised courier within five (5) Business Days, as specified in Article 18.7.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jc w:val="center"/>
    </w:pPr>
    <w:r>
      <w:rPr>
        <w:rFonts w:ascii="Times New Roman" w:cs="Times New Roman" w:eastAsia="Times New Roman" w:hAnsi="Times New Roman"/>
        <w:color w:val="666666"/>
        <w:sz w:val="16"/>
        <w:szCs w:val="16"/>
      </w:rPr>
      <w:t xml:space="preserve">Italy Nihao Group Limited  |  Carbon Credit Custody Agreement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jc w:val="right"/>
    </w:pPr>
    <w:r>
      <w:rPr>
        <w:rFonts w:ascii="Times New Roman" w:cs="Times New Roman" w:eastAsia="Times New Roman" w:hAnsi="Times New Roman"/>
        <w:color w:val="666666"/>
        <w:sz w:val="16"/>
        <w:szCs w:val="16"/>
      </w:rPr>
      <w:t xml:space="preserve">NIHA-CCA-2026-[___]</w:t>
    </w:r>
    <w:r>
      <w:rPr>
        <w:rFonts w:ascii="Times New Roman" w:cs="Times New Roman" w:eastAsia="Times New Roman" w:hAnsi="Times New Roman"/>
        <w:color w:val="CCCCCC"/>
        <w:sz w:val="16"/>
        <w:szCs w:val="16"/>
      </w:rPr>
      <w:t xml:space="preserve">  |  </w:t>
    </w:r>
    <w:r>
      <w:rPr>
        <w:rFonts w:ascii="Times New Roman" w:cs="Times New Roman" w:eastAsia="Times New Roman" w:hAnsi="Times New Roman"/>
        <w:b/>
        <w:bCs/>
        <w:color w:val="2E75B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color w:val="1B2A4A"/>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2026-02-21T06:56:56.214Z</dcterms:created>
  <dcterms:modified xsi:type="dcterms:W3CDTF">2026-02-21T06:56:56.215Z</dcterms:modified>
</cp:coreProperties>
</file>

<file path=docProps/custom.xml><?xml version="1.0" encoding="utf-8"?>
<Properties xmlns="http://schemas.openxmlformats.org/officeDocument/2006/custom-properties" xmlns:vt="http://schemas.openxmlformats.org/officeDocument/2006/docPropsVTypes"/>
</file>