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rFonts w:ascii="Times New Roman" w:cs="Times New Roman" w:eastAsia="Times New Roman" w:hAnsi="Times New Roman"/>
          <w:b/>
          <w:bCs/>
          <w:color w:val="1B2A4A"/>
          <w:sz w:val="36"/>
          <w:szCs w:val="36"/>
        </w:rPr>
        <w:t xml:space="preserve">ITALY NIHAO GROUP LIMITED</w:t>
      </w:r>
    </w:p>
    <w:p>
      <w:pPr>
        <w:pBdr>
          <w:bottom w:val="single" w:color="1B2A4A" w:sz="3" w:space="10"/>
        </w:pBdr>
        <w:spacing w:after="600"/>
        <w:jc w:val="center"/>
      </w:pPr>
      <w:r>
        <w:rPr>
          <w:rFonts w:ascii="Times New Roman" w:cs="Times New Roman" w:eastAsia="Times New Roman" w:hAnsi="Times New Roman"/>
          <w:b/>
          <w:bCs/>
          <w:color w:val="1B2A4A"/>
          <w:sz w:val="32"/>
          <w:szCs w:val="32"/>
        </w:rPr>
        <w:t xml:space="preserve">FEE SCHEDULE &amp; PRICING MATRIX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Effective Date: 1 January 2026 | Version 3.0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Reference: NIHA-FEE-2026-001</w:t>
      </w:r>
    </w:p>
    <w:p>
      <w:pPr>
        <w:spacing w:before="400" w:after="20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This Fee Schedule forms Annexure B to the Master Service Agreement and sets out all fees, commissions, and charges applicable to carbon credit trading services provided by Italy Nihao Group Limited.</w:t>
      </w:r>
    </w:p>
    <w:p>
      <w:pPr>
        <w:spacing w:before="0" w:after="2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Fees are subject to annual review and may be amended with 30 days' written notice to the Client.</w:t>
      </w:r>
    </w:p>
    <w:p>
      <w:r>
        <w:br w:type="page"/>
      </w:r>
    </w:p>
    <w:p>
      <w:pPr>
        <w:pBdr>
          <w:bottom w:val="single" w:color="2E75B6" w:sz="2" w:space="4"/>
        </w:pBdr>
        <w:spacing w:before="400" w:after="200"/>
      </w:pPr>
      <w:r>
        <w:rPr>
          <w:rFonts w:ascii="Times New Roman" w:cs="Times New Roman" w:eastAsia="Times New Roman" w:hAnsi="Times New Roman"/>
          <w:b/>
          <w:bCs/>
          <w:color w:val="1B2A4A"/>
          <w:sz w:val="26"/>
          <w:szCs w:val="26"/>
        </w:rPr>
        <w:t xml:space="preserve">1. TRADING COMMISSIONS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Instrument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Transaction Type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Volume Tier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Commission Rate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Minimum Fee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2F5" w:val="solid"/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EUA (Phase IV)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Spot Buy/Sell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&lt; 5,000 whole units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1.75%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€500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Of consideration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2F5" w:val="solid"/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EUA (Phase IV)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Spot Buy/Sell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5,000–25,000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1.50%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€500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Of consideration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2F5" w:val="solid"/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EUA (Phase IV)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Spot Buy/Sell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25,000–100,000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1.25%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€1,000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Of consideration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2F5" w:val="solid"/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EUA (Phase IV)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Spot Buy/Sell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&gt; 100,000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Negotiable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€2,500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Of consideration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2F5" w:val="solid"/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EUA (Phase IV)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Block Trade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1.00%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€2,000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Of consideration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CEA (Shenzhen Pilot)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Spot Buy/Sell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&lt; 20,000 whole units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2.00%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¥3,000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Of consideration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CEA (Shenzhen Pilot)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Spot Buy/Sell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20,000–100,000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1.75%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¥3,000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Of consideration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CEA (Shenzhen Pilot)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Spot Buy/Sell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&gt; 100,000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1.50%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¥5,000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Of consideration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F0FE" w:val="solid"/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CEA (Shenzhen Pilot)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Block/Auction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1.25%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¥8,000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Of consideration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FF0" w:val="solid"/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VCC (Gold Standard)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Spot Buy/Sell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&lt; 10,000 whole units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2.50%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$250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Of consideration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FF0" w:val="solid"/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VCC (Gold Standard)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Spot Buy/Sell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10,000–50,000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2.00%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$500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Of consideration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FF0" w:val="solid"/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VCC (Verra VCS)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Spot Buy/Sell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2.50%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$250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Of consideration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FF0" w:val="solid"/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VCC (CDM CER)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Spot Buy/Sell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3.00%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$200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Of consideration</w:t>
            </w:r>
          </w:p>
        </w:tc>
      </w:tr>
    </w:tbl>
    <w:p>
      <w:pPr>
        <w:pBdr>
          <w:bottom w:val="single" w:color="2E75B6" w:sz="2" w:space="4"/>
        </w:pBdr>
        <w:spacing w:before="400" w:after="200"/>
      </w:pPr>
      <w:r>
        <w:rPr>
          <w:rFonts w:ascii="Times New Roman" w:cs="Times New Roman" w:eastAsia="Times New Roman" w:hAnsi="Times New Roman"/>
          <w:b/>
          <w:bCs/>
          <w:color w:val="1B2A4A"/>
          <w:sz w:val="26"/>
          <w:szCs w:val="26"/>
        </w:rPr>
        <w:t xml:space="preserve">2. CROSS-BORDER CONVERSION FEES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Conversion Type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Volume Tier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Fee Rate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Minimum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CEA → EUA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&lt; 50,000 CEA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3.00%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€1,500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Of delivered EUA market value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CEA → EUA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50,000–200,000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2.50%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€3,000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Of delivered EUA market value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CEA → EUA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&gt; 200,000 CEA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2.00%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€5,000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Of delivered EUA market value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EUA → CEA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3.50%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¥15,000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Of delivered CEA market value</w:t>
            </w:r>
          </w:p>
        </w:tc>
      </w:tr>
    </w:tbl>
    <w:p>
      <w:pPr>
        <w:spacing w:before="0" w:after="2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Note: Conversion fees include NIHA's cross-border facilitation, SAFE clearance processing, and registry transfer coordination. Exchange fees charged by CEEX or the EU Registry are passed through at cost.</w:t>
      </w:r>
    </w:p>
    <w:p>
      <w:pPr>
        <w:pBdr>
          <w:bottom w:val="single" w:color="2E75B6" w:sz="2" w:space="4"/>
        </w:pBdr>
        <w:spacing w:before="400" w:after="200"/>
      </w:pPr>
      <w:r>
        <w:rPr>
          <w:rFonts w:ascii="Times New Roman" w:cs="Times New Roman" w:eastAsia="Times New Roman" w:hAnsi="Times New Roman"/>
          <w:b/>
          <w:bCs/>
          <w:color w:val="1B2A4A"/>
          <w:sz w:val="26"/>
          <w:szCs w:val="26"/>
        </w:rPr>
        <w:t xml:space="preserve">3. CUSTODY &amp; ADMINISTRATION FEES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Fee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Carbon Credit Custody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0.02% of AUM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Monthly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Calculated on month-end MTM value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Account Maintenance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€250 / ¥2,000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Quarterly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Per currency account maintained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Portfolio Statement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Included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Monthly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Included in custody fee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Ad-hoc Valuation Report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€100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Per request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Delivered within 2 business days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Registry Transfer (within TAL)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€25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Per transfer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Trusted Account List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Registry Transfer (outside TAL)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€75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Per transfer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Subject to 24h delay rule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VCC Retirement (on behalf)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$50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Per retirement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Includes retirement certificate</w:t>
            </w:r>
          </w:p>
        </w:tc>
      </w:tr>
    </w:tbl>
    <w:p>
      <w:pPr>
        <w:pBdr>
          <w:bottom w:val="single" w:color="2E75B6" w:sz="2" w:space="4"/>
        </w:pBdr>
        <w:spacing w:before="400" w:after="200"/>
      </w:pPr>
      <w:r>
        <w:rPr>
          <w:rFonts w:ascii="Times New Roman" w:cs="Times New Roman" w:eastAsia="Times New Roman" w:hAnsi="Times New Roman"/>
          <w:b/>
          <w:bCs/>
          <w:color w:val="1B2A4A"/>
          <w:sz w:val="26"/>
          <w:szCs w:val="26"/>
        </w:rPr>
        <w:t xml:space="preserve">4. ONBOARDING &amp; COMPLIANCE FEES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Fee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Initial Client Onboarding &amp; KYC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1B7A3D"/>
                <w:sz w:val="18"/>
                <w:szCs w:val="18"/>
              </w:rPr>
              <w:t xml:space="preserve">Waived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One-time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Absorbed by NIHA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Enhanced Due Diligence (if required)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€500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One-time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PEP / high-risk jurisdictions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Periodic KYC Review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Included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Annual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Standard for all clients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Account Closure Processing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€200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One-time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Includes final reconciliation</w:t>
            </w:r>
          </w:p>
        </w:tc>
      </w:tr>
    </w:tbl>
    <w:p>
      <w:pPr>
        <w:pBdr>
          <w:bottom w:val="single" w:color="2E75B6" w:sz="2" w:space="4"/>
        </w:pBdr>
        <w:spacing w:before="400" w:after="200"/>
      </w:pPr>
      <w:r>
        <w:rPr>
          <w:rFonts w:ascii="Times New Roman" w:cs="Times New Roman" w:eastAsia="Times New Roman" w:hAnsi="Times New Roman"/>
          <w:b/>
          <w:bCs/>
          <w:color w:val="1B2A4A"/>
          <w:sz w:val="26"/>
          <w:szCs w:val="26"/>
        </w:rPr>
        <w:t xml:space="preserve">5. MARKET DATA &amp; ADVISORY FEES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Fee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Carbon Market Intelligence Report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1B7A3D"/>
                <w:sz w:val="18"/>
                <w:szCs w:val="18"/>
              </w:rPr>
              <w:t xml:space="preserve">Included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Quarterly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For active clients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Bespoke Market Analysis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€500 / report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On request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Sector/jurisdiction specific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CBAM Compliance Advisory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€1,000 / engagement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On request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Includes EUA sourcing plan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Regulatory Update Alerts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1B7A3D"/>
                <w:sz w:val="18"/>
                <w:szCs w:val="18"/>
              </w:rPr>
              <w:t xml:space="preserve">Included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Ongoing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Email/platform alerts</w:t>
            </w:r>
          </w:p>
        </w:tc>
      </w:tr>
    </w:tbl>
    <w:p>
      <w:pPr>
        <w:pBdr>
          <w:bottom w:val="single" w:color="2E75B6" w:sz="2" w:space="4"/>
        </w:pBdr>
        <w:spacing w:before="400" w:after="200"/>
      </w:pPr>
      <w:r>
        <w:rPr>
          <w:rFonts w:ascii="Times New Roman" w:cs="Times New Roman" w:eastAsia="Times New Roman" w:hAnsi="Times New Roman"/>
          <w:b/>
          <w:bCs/>
          <w:color w:val="1B2A4A"/>
          <w:sz w:val="26"/>
          <w:szCs w:val="26"/>
        </w:rPr>
        <w:t xml:space="preserve">6. PAYMENT TERMS</w:t>
      </w:r>
    </w:p>
    <w:p>
      <w:pPr>
        <w:spacing w:before="0" w:after="10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6.1 Trading commissions are deducted from the transaction proceeds at settlement (T+0).</w:t>
      </w:r>
    </w:p>
    <w:p>
      <w:pPr>
        <w:spacing w:before="0" w:after="10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6.2 Conversion fees are payable in advance of EUA delivery, or deducted from the delivered EUA value at the Client's election.</w:t>
      </w:r>
    </w:p>
    <w:p>
      <w:pPr>
        <w:spacing w:before="0" w:after="10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6.3 Custody fees are invoiced monthly in arrears, payable within 14 business days.</w:t>
      </w:r>
    </w:p>
    <w:p>
      <w:pPr>
        <w:spacing w:before="0" w:after="10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6.4 All fees are quoted exclusive of applicable taxes. Currently, carbon credit trading services are not subject to Hong Kong profits tax on a per-transaction basis, but Clients are responsible for their own tax obligations.</w:t>
      </w:r>
    </w:p>
    <w:p>
      <w:pPr>
        <w:spacing w:before="0" w:after="10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6.5 Late payment interest: HSBC Hong Kong Prime Rate + 2% per annum, calculated daily.</w:t>
      </w:r>
    </w:p>
    <w:p>
      <w:pPr>
        <w:spacing w:before="0" w:after="20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6.6 Fee disputes must be raised in writing within 30 days of the relevant invoice or deduction.</w:t>
      </w:r>
    </w:p>
    <w:p>
      <w:pPr>
        <w:pBdr>
          <w:bottom w:val="single" w:color="2E75B6" w:sz="2" w:space="4"/>
        </w:pBdr>
        <w:spacing w:before="400" w:after="200"/>
      </w:pPr>
      <w:r>
        <w:rPr>
          <w:rFonts w:ascii="Times New Roman" w:cs="Times New Roman" w:eastAsia="Times New Roman" w:hAnsi="Times New Roman"/>
          <w:b/>
          <w:bCs/>
          <w:color w:val="1B2A4A"/>
          <w:sz w:val="26"/>
          <w:szCs w:val="26"/>
        </w:rPr>
        <w:t xml:space="preserve">7. VOLUME DISCOUNT PROGRAMME</w:t>
      </w:r>
    </w:p>
    <w:p>
      <w:pPr>
        <w:spacing w:before="0" w:after="20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Clients exceeding certain annual trading volume thresholds qualify for reduced commission rates: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Annual Volume (whole units)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EUA Discount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CEA Discount</w:t>
            </w:r>
          </w:p>
        </w:tc>
        <w:tc>
          <w:tcPr>
            <w:tcW w:type="pct" w:w="1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0" w:after="5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VCC Discount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&lt; 50,000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Standard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pct" w:w="1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50,000 – 200,000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Silver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1B7A3D"/>
                <w:sz w:val="18"/>
                <w:szCs w:val="18"/>
              </w:rPr>
              <w:t xml:space="preserve">-0.15%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1B7A3D"/>
                <w:sz w:val="18"/>
                <w:szCs w:val="18"/>
              </w:rPr>
              <w:t xml:space="preserve">-0.15%</w:t>
            </w:r>
          </w:p>
        </w:tc>
        <w:tc>
          <w:tcPr>
            <w:tcW w:type="pct" w:w="1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1B7A3D"/>
                <w:sz w:val="18"/>
                <w:szCs w:val="18"/>
              </w:rPr>
              <w:t xml:space="preserve">-0.25%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200,000 – 500,000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Gold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1B7A3D"/>
                <w:sz w:val="18"/>
                <w:szCs w:val="18"/>
              </w:rPr>
              <w:t xml:space="preserve">-0.30%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1B7A3D"/>
                <w:sz w:val="18"/>
                <w:szCs w:val="18"/>
              </w:rPr>
              <w:t xml:space="preserve">-0.30%</w:t>
            </w:r>
          </w:p>
        </w:tc>
        <w:tc>
          <w:tcPr>
            <w:tcW w:type="pct" w:w="1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color w:val="1B7A3D"/>
                <w:sz w:val="18"/>
                <w:szCs w:val="18"/>
              </w:rPr>
              <w:t xml:space="preserve">-0.40%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&gt; 500,000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Platinum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Negotiable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Negotiable</w:t>
            </w:r>
          </w:p>
        </w:tc>
        <w:tc>
          <w:tcPr>
            <w:tcW w:type="pct" w:w="1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Negotiable</w:t>
            </w:r>
          </w:p>
        </w:tc>
      </w:tr>
    </w:tbl>
    <w:p>
      <w:pPr>
        <w:spacing w:before="0" w:after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Volume discount tier is assessed annually on 1 January based on the prior calendar year's trading volume. New clients may negotiate their initial tier based on projected volumes.</w:t>
      </w:r>
    </w:p>
    <w:p>
      <w:pPr>
        <w:pBdr>
          <w:top w:val="single" w:color="1B2A4A" w:sz="2" w:space="8"/>
        </w:pBdr>
        <w:spacing w:before="300"/>
      </w:pPr>
    </w:p>
    <w:p>
      <w:pPr>
        <w:spacing w:before="0" w:after="120"/>
      </w:pPr>
      <w:r>
        <w:rPr>
          <w:rFonts w:ascii="Times New Roman" w:cs="Times New Roman" w:eastAsia="Times New Roman" w:hAnsi="Times New Roman"/>
          <w:color w:val="666666"/>
          <w:sz w:val="22"/>
          <w:szCs w:val="22"/>
        </w:rPr>
        <w:t xml:space="preserve">Approved by:</w:t>
      </w:r>
    </w:p>
    <w:p>
      <w:pPr>
        <w:spacing w:before="0" w:after="200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____________________________ Managing Director Date: 20 December 2025</w:t>
      </w:r>
    </w:p>
    <w:p>
      <w:pPr>
        <w:spacing w:before="0" w:after="12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This Fee Schedule supersedes all prior fee schedules and is effective from 1 January 2026.</w:t>
      </w:r>
    </w:p>
    <w:sectPr>
      <w:headerReference w:type="default" r:id="rId6"/>
      <w:footerReference w:type="default" r:id="rId7"/>
      <w:pgSz w:w="11906" w:h="16838" w:orient="portrait"/>
      <w:pgMar w:top="1100" w:right="900" w:bottom="11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Times New Roman" w:cs="Times New Roman" w:eastAsia="Times New Roman" w:hAnsi="Times New Roman"/>
        <w:color w:val="666666"/>
        <w:sz w:val="14"/>
        <w:szCs w:val="14"/>
      </w:rPr>
      <w:t xml:space="preserve">NIHA-FEE-2026-001 | Annexure to MSA | Page </w:t>
    </w:r>
    <w:r>
      <w:rPr>
        <w:rFonts w:ascii="Times New Roman" w:cs="Times New Roman" w:eastAsia="Times New Roman" w:hAnsi="Times New Roman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2" w:space="4"/>
      </w:pBdr>
      <w:spacing w:after="80"/>
      <w:jc w:val="left"/>
    </w:pPr>
    <w:r>
      <w:rPr>
        <w:rFonts w:ascii="Times New Roman" w:cs="Times New Roman" w:eastAsia="Times New Roman" w:hAnsi="Times New Roman"/>
        <w:b/>
        <w:bCs/>
        <w:color w:val="1B2A4A"/>
        <w:sz w:val="20"/>
        <w:szCs w:val="20"/>
      </w:rPr>
      <w:t xml:space="preserve">NIHA</w:t>
    </w:r>
    <w:r>
      <w:rPr>
        <w:rFonts w:ascii="Times New Roman" w:cs="Times New Roman" w:eastAsia="Times New Roman" w:hAnsi="Times New Roman"/>
        <w:color w:val="666666"/>
        <w:sz w:val="16"/>
        <w:szCs w:val="16"/>
      </w:rPr>
      <w:t xml:space="preserve"> | FEE SCHEDULE &amp; PRICING MATRIX | EFFECTIVE 1 JANUARY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2026-02-20T12:21:35.540Z</dcterms:created>
  <dcterms:modified xsi:type="dcterms:W3CDTF">2026-02-20T12:21:35.540Z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