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cs="Times New Roman" w:eastAsia="Times New Roman" w:hAnsi="Times New Roman"/>
          <w:b/>
          <w:bCs/>
          <w:color w:val="6B2D5B"/>
          <w:sz w:val="36"/>
          <w:szCs w:val="36"/>
        </w:rPr>
        <w:t xml:space="preserve">CHAN, WONG &amp; PARTNERS</w:t>
      </w:r>
    </w:p>
    <w:p>
      <w:pPr>
        <w:spacing w:after="60"/>
        <w:jc w:val="center"/>
      </w:pPr>
      <w:r>
        <w:rPr>
          <w:rFonts w:ascii="Times New Roman" w:cs="Times New Roman" w:eastAsia="Times New Roman" w:hAnsi="Times New Roman"/>
          <w:color w:val="666666"/>
          <w:sz w:val="20"/>
          <w:szCs w:val="20"/>
        </w:rPr>
        <w:t xml:space="preserve">SOLICITORS &amp; NOTARIES</w:t>
      </w:r>
    </w:p>
    <w:p>
      <w:pPr>
        <w:spacing w:after="60"/>
        <w:jc w:val="center"/>
      </w:pPr>
      <w:r>
        <w:rPr>
          <w:rFonts w:ascii="Times New Roman" w:cs="Times New Roman" w:eastAsia="Times New Roman" w:hAnsi="Times New Roman"/>
          <w:color w:val="666666"/>
          <w:sz w:val="18"/>
          <w:szCs w:val="18"/>
        </w:rPr>
        <w:t xml:space="preserve">Suite 3801, Two Exchange Square, 8 Connaught Place, Central, Hong Kong</w:t>
      </w:r>
    </w:p>
    <w:p>
      <w:pPr>
        <w:pBdr>
          <w:bottom w:val="single" w:color="6B2D5B" w:sz="3" w:space="8"/>
        </w:pBdr>
        <w:spacing w:after="200"/>
        <w:jc w:val="center"/>
      </w:pPr>
      <w:r>
        <w:rPr>
          <w:rFonts w:ascii="Times New Roman" w:cs="Times New Roman" w:eastAsia="Times New Roman" w:hAnsi="Times New Roman"/>
          <w:color w:val="666666"/>
          <w:sz w:val="16"/>
          <w:szCs w:val="16"/>
        </w:rPr>
        <w:t xml:space="preserve">Tel: +852 2523 XXXX | Fax: +852 2523 XXXX | DX: 009006 Central 1</w:t>
      </w:r>
    </w:p>
    <w:p>
      <w:pPr>
        <w:spacing w:before="0" w:after="80"/>
      </w:pPr>
      <w:r>
        <w:rPr>
          <w:rFonts w:ascii="Times New Roman" w:cs="Times New Roman" w:eastAsia="Times New Roman" w:hAnsi="Times New Roman"/>
          <w:color w:val="666666"/>
          <w:sz w:val="22"/>
          <w:szCs w:val="22"/>
        </w:rPr>
        <w:t xml:space="preserve">Our Ref: CWP/CL/2025/1847</w:t>
      </w:r>
    </w:p>
    <w:p>
      <w:pPr>
        <w:spacing w:before="0" w:after="200"/>
      </w:pPr>
      <w:r>
        <w:rPr>
          <w:rFonts w:ascii="Times New Roman" w:cs="Times New Roman" w:eastAsia="Times New Roman" w:hAnsi="Times New Roman"/>
          <w:color w:val="666666"/>
          <w:sz w:val="22"/>
          <w:szCs w:val="22"/>
        </w:rPr>
        <w:t xml:space="preserve">Your Ref: NIHA-LO-2025-001</w:t>
      </w:r>
    </w:p>
    <w:p>
      <w:pPr>
        <w:spacing w:before="0" w:after="300"/>
      </w:pPr>
      <w:r>
        <w:rPr>
          <w:rFonts w:ascii="Times New Roman" w:cs="Times New Roman" w:eastAsia="Times New Roman" w:hAnsi="Times New Roman"/>
          <w:color w:val="333333"/>
          <w:sz w:val="22"/>
          <w:szCs w:val="22"/>
        </w:rPr>
        <w:t xml:space="preserve">18 November 2025</w:t>
      </w:r>
    </w:p>
    <w:p>
      <w:pPr>
        <w:spacing w:before="0" w:after="200"/>
      </w:pPr>
      <w:r>
        <w:rPr>
          <w:rFonts w:ascii="Times New Roman" w:cs="Times New Roman" w:eastAsia="Times New Roman" w:hAnsi="Times New Roman"/>
          <w:b/>
          <w:bCs/>
          <w:color w:val="C0392B"/>
          <w:sz w:val="22"/>
          <w:szCs w:val="22"/>
        </w:rPr>
        <w:t xml:space="preserve">PRIVATE &amp; CONFIDENTIAL</w:t>
      </w:r>
    </w:p>
    <w:p>
      <w:pPr>
        <w:spacing w:before="0" w:after="60"/>
      </w:pPr>
      <w:r>
        <w:rPr>
          <w:rFonts w:ascii="Times New Roman" w:cs="Times New Roman" w:eastAsia="Times New Roman" w:hAnsi="Times New Roman"/>
          <w:b/>
          <w:bCs/>
          <w:color w:val="333333"/>
          <w:sz w:val="22"/>
          <w:szCs w:val="22"/>
        </w:rPr>
        <w:t xml:space="preserve">The Board of Directors</w:t>
      </w:r>
    </w:p>
    <w:p>
      <w:pPr>
        <w:spacing w:before="0" w:after="60"/>
      </w:pPr>
      <w:r>
        <w:rPr>
          <w:rFonts w:ascii="Times New Roman" w:cs="Times New Roman" w:eastAsia="Times New Roman" w:hAnsi="Times New Roman"/>
          <w:color w:val="333333"/>
          <w:sz w:val="22"/>
          <w:szCs w:val="22"/>
        </w:rPr>
        <w:t xml:space="preserve">Italy Nihao Group Limited</w:t>
      </w:r>
    </w:p>
    <w:p>
      <w:pPr>
        <w:spacing w:before="0" w:after="60"/>
      </w:pPr>
      <w:r>
        <w:rPr>
          <w:rFonts w:ascii="Times New Roman" w:cs="Times New Roman" w:eastAsia="Times New Roman" w:hAnsi="Times New Roman"/>
          <w:color w:val="333333"/>
          <w:sz w:val="22"/>
          <w:szCs w:val="22"/>
        </w:rPr>
        <w:t xml:space="preserve">Unit 1603, 16/F, The L. Plaza</w:t>
      </w:r>
    </w:p>
    <w:p>
      <w:pPr>
        <w:spacing w:before="0" w:after="60"/>
      </w:pPr>
      <w:r>
        <w:rPr>
          <w:rFonts w:ascii="Times New Roman" w:cs="Times New Roman" w:eastAsia="Times New Roman" w:hAnsi="Times New Roman"/>
          <w:color w:val="333333"/>
          <w:sz w:val="22"/>
          <w:szCs w:val="22"/>
        </w:rPr>
        <w:t xml:space="preserve">367-375 Queen's Road Central</w:t>
      </w:r>
    </w:p>
    <w:p>
      <w:pPr>
        <w:spacing w:before="0" w:after="300"/>
      </w:pPr>
      <w:r>
        <w:rPr>
          <w:rFonts w:ascii="Times New Roman" w:cs="Times New Roman" w:eastAsia="Times New Roman" w:hAnsi="Times New Roman"/>
          <w:color w:val="333333"/>
          <w:sz w:val="22"/>
          <w:szCs w:val="22"/>
        </w:rPr>
        <w:t xml:space="preserve">Sheung Wan, Hong Kong</w:t>
      </w:r>
    </w:p>
    <w:p>
      <w:pPr>
        <w:spacing w:before="0" w:after="300"/>
      </w:pPr>
      <w:r>
        <w:rPr>
          <w:rFonts w:ascii="Times New Roman" w:cs="Times New Roman" w:eastAsia="Times New Roman" w:hAnsi="Times New Roman"/>
          <w:color w:val="333333"/>
          <w:sz w:val="22"/>
          <w:szCs w:val="22"/>
        </w:rPr>
        <w:t xml:space="preserve">Dear Sirs,</w:t>
      </w:r>
    </w:p>
    <w:p>
      <w:pPr>
        <w:spacing w:after="200"/>
        <w:jc w:val="center"/>
      </w:pPr>
      <w:r>
        <w:rPr>
          <w:rFonts w:ascii="Times New Roman" w:cs="Times New Roman" w:eastAsia="Times New Roman" w:hAnsi="Times New Roman"/>
          <w:b/>
          <w:bCs/>
          <w:color w:val="6B2D5B"/>
          <w:sz w:val="28"/>
          <w:szCs w:val="28"/>
        </w:rPr>
        <w:t xml:space="preserve">INDEPENDENT LEGAL OPINION</w:t>
      </w:r>
      <w:r>
        <w:rPr>
          <w:rFonts w:ascii="Times New Roman" w:cs="Times New Roman" w:eastAsia="Times New Roman" w:hAnsi="Times New Roman"/>
          <w:b/>
          <w:bCs/>
          <w:color w:val="6B2D5B"/>
          <w:sz w:val="22"/>
          <w:szCs w:val="22"/>
        </w:rPr>
        <w:br/>
        <w:t xml:space="preserve">
RE: REGULATORY STATUS OF CARBON CREDIT TRADING ACTIVITIES</w:t>
      </w:r>
      <w:r>
        <w:rPr>
          <w:rFonts w:ascii="Times New Roman" w:cs="Times New Roman" w:eastAsia="Times New Roman" w:hAnsi="Times New Roman"/>
          <w:b/>
          <w:bCs/>
          <w:color w:val="6B2D5B"/>
          <w:sz w:val="22"/>
          <w:szCs w:val="22"/>
        </w:rPr>
        <w:br/>
        <w:t xml:space="preserve">
ITALY NIHAO GROUP LIMITED</w:t>
      </w:r>
    </w:p>
    <w:p>
      <w:pPr>
        <w:pBdr>
          <w:bottom w:val="single" w:color="6B2D5B" w:sz="1" w:space="4"/>
        </w:pBdr>
        <w:spacing w:after="200"/>
      </w:pPr>
    </w:p>
    <w:p>
      <w:pPr>
        <w:spacing w:before="400" w:after="200"/>
      </w:pPr>
      <w:r>
        <w:rPr>
          <w:rFonts w:ascii="Times New Roman" w:cs="Times New Roman" w:eastAsia="Times New Roman" w:hAnsi="Times New Roman"/>
          <w:b/>
          <w:bCs/>
          <w:caps/>
          <w:color w:val="6B2D5B"/>
          <w:sz w:val="24"/>
          <w:szCs w:val="24"/>
        </w:rPr>
        <w:t xml:space="preserve">A. INSTRUCTIONS</w:t>
      </w:r>
    </w:p>
    <w:p>
      <w:pPr>
        <w:pStyle w:val="ListParagraph"/>
        <w:numPr>
          <w:ilvl w:val="0"/>
          <w:numId w:val="2"/>
        </w:numPr>
        <w:spacing w:after="140"/>
      </w:pPr>
      <w:r>
        <w:rPr>
          <w:rFonts w:ascii="Times New Roman" w:cs="Times New Roman" w:eastAsia="Times New Roman" w:hAnsi="Times New Roman"/>
          <w:color w:val="333333"/>
          <w:sz w:val="22"/>
          <w:szCs w:val="22"/>
        </w:rPr>
        <w:t xml:space="preserve">We have been instructed by Italy Nihao Group Limited ("NIHA" or the "Company"), a company incorporated in Hong Kong under the applicable companies legislation in Hong Kong with company reference number 2217469, to provide an independent legal opinion on the regulatory classification of the Company's proposed and existing carbon credit trading activities under Hong Kong law.</w:t>
      </w:r>
    </w:p>
    <w:p>
      <w:pPr>
        <w:pStyle w:val="ListParagraph"/>
        <w:numPr>
          <w:ilvl w:val="0"/>
          <w:numId w:val="2"/>
        </w:numPr>
        <w:spacing w:after="140"/>
      </w:pPr>
      <w:r>
        <w:rPr>
          <w:rFonts w:ascii="Times New Roman" w:cs="Times New Roman" w:eastAsia="Times New Roman" w:hAnsi="Times New Roman"/>
          <w:color w:val="333333"/>
          <w:sz w:val="22"/>
          <w:szCs w:val="22"/>
        </w:rPr>
        <w:t xml:space="preserve">Specifically, we have been asked to opine on the following matters:</w:t>
      </w:r>
    </w:p>
    <w:p>
      <w:pPr>
        <w:pStyle w:val="ListParagraph"/>
        <w:numPr>
          <w:ilvl w:val="0"/>
          <w:numId w:val="3"/>
        </w:numPr>
        <w:spacing w:after="120"/>
      </w:pPr>
      <w:r>
        <w:rPr>
          <w:rFonts w:ascii="Times New Roman" w:cs="Times New Roman" w:eastAsia="Times New Roman" w:hAnsi="Times New Roman"/>
          <w:color w:val="333333"/>
          <w:sz w:val="22"/>
          <w:szCs w:val="22"/>
        </w:rPr>
        <w:t xml:space="preserve">Whether carbon credits (including EU Emission Allowances, Chinese Emission Allowances, and voluntary carbon credits) constitute "securities" or "futures contracts" as defined under the applicable securities and futures legislation in Hong Kong (the "applicable securities legislation");</w:t>
      </w:r>
    </w:p>
    <w:p>
      <w:pPr>
        <w:pStyle w:val="ListParagraph"/>
        <w:numPr>
          <w:ilvl w:val="0"/>
          <w:numId w:val="3"/>
        </w:numPr>
        <w:spacing w:after="120"/>
      </w:pPr>
      <w:r>
        <w:rPr>
          <w:rFonts w:ascii="Times New Roman" w:cs="Times New Roman" w:eastAsia="Times New Roman" w:hAnsi="Times New Roman"/>
          <w:color w:val="333333"/>
          <w:sz w:val="22"/>
          <w:szCs w:val="22"/>
        </w:rPr>
        <w:t xml:space="preserve">Whether the Company's carbon credit trading activities require licensing by the the applicable regulatory authority (the "the applicable regulatory authority") under applicable securities legislation;</w:t>
      </w:r>
    </w:p>
    <w:p>
      <w:pPr>
        <w:pStyle w:val="ListParagraph"/>
        <w:numPr>
          <w:ilvl w:val="0"/>
          <w:numId w:val="3"/>
        </w:numPr>
        <w:spacing w:after="120"/>
      </w:pPr>
      <w:r>
        <w:rPr>
          <w:rFonts w:ascii="Times New Roman" w:cs="Times New Roman" w:eastAsia="Times New Roman" w:hAnsi="Times New Roman"/>
          <w:color w:val="333333"/>
          <w:sz w:val="22"/>
          <w:szCs w:val="22"/>
        </w:rPr>
        <w:t xml:space="preserve">Whether the Company's activities as a principal counterparty in bilateral carbon credit transactions trigger any other licensing or registration requirements under Hong Kong law;</w:t>
      </w:r>
    </w:p>
    <w:p>
      <w:pPr>
        <w:pStyle w:val="ListParagraph"/>
        <w:numPr>
          <w:ilvl w:val="0"/>
          <w:numId w:val="3"/>
        </w:numPr>
        <w:spacing w:after="120"/>
      </w:pPr>
      <w:r>
        <w:rPr>
          <w:rFonts w:ascii="Times New Roman" w:cs="Times New Roman" w:eastAsia="Times New Roman" w:hAnsi="Times New Roman"/>
          <w:color w:val="333333"/>
          <w:sz w:val="22"/>
          <w:szCs w:val="22"/>
        </w:rPr>
        <w:t xml:space="preserve">The regulatory implications of the Company's cross-border carbon credit conversion services between the EU Emissions Trading System ("EU ETS") and China's pilot emissions trading schemes;</w:t>
      </w:r>
    </w:p>
    <w:p>
      <w:pPr>
        <w:pStyle w:val="ListParagraph"/>
        <w:numPr>
          <w:ilvl w:val="0"/>
          <w:numId w:val="3"/>
        </w:numPr>
        <w:spacing w:after="120"/>
      </w:pPr>
      <w:r>
        <w:rPr>
          <w:rFonts w:ascii="Times New Roman" w:cs="Times New Roman" w:eastAsia="Times New Roman" w:hAnsi="Times New Roman"/>
          <w:color w:val="333333"/>
          <w:sz w:val="22"/>
          <w:szCs w:val="22"/>
        </w:rPr>
        <w:t xml:space="preserve">Any applicable anti-money laundering and counter-terrorist financing obligations.</w:t>
      </w:r>
    </w:p>
    <w:p>
      <w:pPr>
        <w:spacing w:before="400" w:after="200"/>
      </w:pPr>
      <w:r>
        <w:rPr>
          <w:rFonts w:ascii="Times New Roman" w:cs="Times New Roman" w:eastAsia="Times New Roman" w:hAnsi="Times New Roman"/>
          <w:b/>
          <w:bCs/>
          <w:caps/>
          <w:color w:val="6B2D5B"/>
          <w:sz w:val="24"/>
          <w:szCs w:val="24"/>
        </w:rPr>
        <w:t xml:space="preserve">B. DOCUMENTS REVIEWED</w:t>
      </w:r>
    </w:p>
    <w:p>
      <w:pPr>
        <w:pStyle w:val="ListParagraph"/>
        <w:numPr>
          <w:ilvl w:val="0"/>
          <w:numId w:val="2"/>
        </w:numPr>
        <w:spacing w:after="140"/>
      </w:pPr>
      <w:r>
        <w:rPr>
          <w:rFonts w:ascii="Times New Roman" w:cs="Times New Roman" w:eastAsia="Times New Roman" w:hAnsi="Times New Roman"/>
          <w:color w:val="333333"/>
          <w:sz w:val="22"/>
          <w:szCs w:val="22"/>
        </w:rPr>
        <w:t xml:space="preserve">For the purposes of this Opinion, we have reviewed the following documents and materials:</w:t>
      </w:r>
    </w:p>
    <w:p>
      <w:pPr>
        <w:pStyle w:val="ListParagraph"/>
        <w:numPr>
          <w:ilvl w:val="0"/>
          <w:numId w:val="3"/>
        </w:numPr>
        <w:spacing w:after="120"/>
      </w:pPr>
      <w:r>
        <w:rPr>
          <w:rFonts w:ascii="Times New Roman" w:cs="Times New Roman" w:eastAsia="Times New Roman" w:hAnsi="Times New Roman"/>
          <w:color w:val="333333"/>
          <w:sz w:val="22"/>
          <w:szCs w:val="22"/>
        </w:rPr>
        <w:t xml:space="preserve">Certificate of Incorporation and Business Registration Certificate of the Company;</w:t>
      </w:r>
    </w:p>
    <w:p>
      <w:pPr>
        <w:pStyle w:val="ListParagraph"/>
        <w:numPr>
          <w:ilvl w:val="0"/>
          <w:numId w:val="3"/>
        </w:numPr>
        <w:spacing w:after="120"/>
      </w:pPr>
      <w:r>
        <w:rPr>
          <w:rFonts w:ascii="Times New Roman" w:cs="Times New Roman" w:eastAsia="Times New Roman" w:hAnsi="Times New Roman"/>
          <w:color w:val="333333"/>
          <w:sz w:val="22"/>
          <w:szCs w:val="22"/>
        </w:rPr>
        <w:t xml:space="preserve">Memorandum and Articles of Association of the Company (as amended);</w:t>
      </w:r>
    </w:p>
    <w:p>
      <w:pPr>
        <w:pStyle w:val="ListParagraph"/>
        <w:numPr>
          <w:ilvl w:val="0"/>
          <w:numId w:val="3"/>
        </w:numPr>
        <w:spacing w:after="120"/>
      </w:pPr>
      <w:r>
        <w:rPr>
          <w:rFonts w:ascii="Times New Roman" w:cs="Times New Roman" w:eastAsia="Times New Roman" w:hAnsi="Times New Roman"/>
          <w:color w:val="333333"/>
          <w:sz w:val="22"/>
          <w:szCs w:val="22"/>
        </w:rPr>
        <w:t xml:space="preserve">Board Resolution for Carbon Trading Activities dated 15 October 2025 (Ref: NIHA-BR-2025-001);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Carbon Credit Custody Agreement template (Ref: NIHA-CCA-2025-001);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Master Service Agreement template (Ref: NIHA-MSA-2025-001);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Trade Execution Policy (Ref: NIHA-TEP-2025-001);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Compliance Policy Manual (Ref: NIHA-CPM-2025-001);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Client Onboarding and KYC Application Pack (Ref: NIHA-OBD-2025-001);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Risk Disclosure Statement (Ref: NIHA-RDS-2025-001);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Non-Disclosure Agreement template (Ref: NIHA-NDA-2025-001);</w:t>
      </w:r>
    </w:p>
    <w:p>
      <w:pPr>
        <w:pStyle w:val="ListParagraph"/>
        <w:numPr>
          <w:ilvl w:val="0"/>
          <w:numId w:val="3"/>
        </w:numPr>
        <w:spacing w:after="120"/>
      </w:pPr>
      <w:r>
        <w:rPr>
          <w:rFonts w:ascii="Times New Roman" w:cs="Times New Roman" w:eastAsia="Times New Roman" w:hAnsi="Times New Roman"/>
          <w:color w:val="333333"/>
          <w:sz w:val="22"/>
          <w:szCs w:val="22"/>
        </w:rPr>
        <w:t xml:space="preserve">Correspondence with the Shenzhen Carbon Exchange (CEEX) regarding foreign investor account establishment;</w:t>
      </w:r>
    </w:p>
    <w:p>
      <w:pPr>
        <w:pStyle w:val="ListParagraph"/>
        <w:numPr>
          <w:ilvl w:val="0"/>
          <w:numId w:val="3"/>
        </w:numPr>
        <w:spacing w:after="120"/>
      </w:pPr>
      <w:r>
        <w:rPr>
          <w:rFonts w:ascii="Times New Roman" w:cs="Times New Roman" w:eastAsia="Times New Roman" w:hAnsi="Times New Roman"/>
          <w:color w:val="333333"/>
          <w:sz w:val="22"/>
          <w:szCs w:val="22"/>
        </w:rPr>
        <w:t xml:space="preserve">SAFE approval documentation for cross-border carbon trading capital flows;</w:t>
      </w:r>
    </w:p>
    <w:p>
      <w:pPr>
        <w:pStyle w:val="ListParagraph"/>
        <w:numPr>
          <w:ilvl w:val="0"/>
          <w:numId w:val="3"/>
        </w:numPr>
        <w:spacing w:after="120"/>
      </w:pPr>
      <w:r>
        <w:rPr>
          <w:rFonts w:ascii="Times New Roman" w:cs="Times New Roman" w:eastAsia="Times New Roman" w:hAnsi="Times New Roman"/>
          <w:color w:val="333333"/>
          <w:sz w:val="22"/>
          <w:szCs w:val="22"/>
        </w:rPr>
        <w:t xml:space="preserve">EU Union Registry account opening documentation;</w:t>
      </w:r>
    </w:p>
    <w:p>
      <w:pPr>
        <w:pStyle w:val="ListParagraph"/>
        <w:numPr>
          <w:ilvl w:val="0"/>
          <w:numId w:val="3"/>
        </w:numPr>
        <w:spacing w:after="120"/>
      </w:pPr>
      <w:r>
        <w:rPr>
          <w:rFonts w:ascii="Times New Roman" w:cs="Times New Roman" w:eastAsia="Times New Roman" w:hAnsi="Times New Roman"/>
          <w:color w:val="333333"/>
          <w:sz w:val="22"/>
          <w:szCs w:val="22"/>
        </w:rPr>
        <w:t xml:space="preserve">HKEX Core Climate participant agreement.</w:t>
      </w:r>
    </w:p>
    <w:p>
      <w:pPr>
        <w:pStyle w:val="ListParagraph"/>
        <w:numPr>
          <w:ilvl w:val="0"/>
          <w:numId w:val="2"/>
        </w:numPr>
        <w:spacing w:after="140"/>
      </w:pPr>
      <w:r>
        <w:rPr>
          <w:rFonts w:ascii="Times New Roman" w:cs="Times New Roman" w:eastAsia="Times New Roman" w:hAnsi="Times New Roman"/>
          <w:color w:val="333333"/>
          <w:sz w:val="22"/>
          <w:szCs w:val="22"/>
        </w:rPr>
        <w:t xml:space="preserve">We have also conducted independent research into the current regulatory framework applicable to carbon credit trading in Hong Kong, including the applicable regulatory authority guidance, legislative history, and relevant comparative jurisdictions.</w:t>
      </w:r>
    </w:p>
    <w:p>
      <w:pPr>
        <w:spacing w:before="400" w:after="200"/>
      </w:pPr>
      <w:r>
        <w:rPr>
          <w:rFonts w:ascii="Times New Roman" w:cs="Times New Roman" w:eastAsia="Times New Roman" w:hAnsi="Times New Roman"/>
          <w:b/>
          <w:bCs/>
          <w:caps/>
          <w:color w:val="6B2D5B"/>
          <w:sz w:val="24"/>
          <w:szCs w:val="24"/>
        </w:rPr>
        <w:t xml:space="preserve">C. ASSUMPTIONS AND QUALIFICATIONS</w:t>
      </w:r>
    </w:p>
    <w:p>
      <w:pPr>
        <w:pStyle w:val="ListParagraph"/>
        <w:numPr>
          <w:ilvl w:val="0"/>
          <w:numId w:val="2"/>
        </w:numPr>
        <w:spacing w:after="140"/>
      </w:pPr>
      <w:r>
        <w:rPr>
          <w:rFonts w:ascii="Times New Roman" w:cs="Times New Roman" w:eastAsia="Times New Roman" w:hAnsi="Times New Roman"/>
          <w:color w:val="333333"/>
          <w:sz w:val="22"/>
          <w:szCs w:val="22"/>
        </w:rPr>
        <w:t xml:space="preserve">This Opinion is given on the basis of Hong Kong law as at the date hereof. We express no opinion on the laws of any other jurisdiction, including but not limited to the People's Republic of China, the European Union, or any EU Member State.</w:t>
      </w:r>
    </w:p>
    <w:p>
      <w:pPr>
        <w:pStyle w:val="ListParagraph"/>
        <w:numPr>
          <w:ilvl w:val="0"/>
          <w:numId w:val="2"/>
        </w:numPr>
        <w:spacing w:after="140"/>
      </w:pPr>
      <w:r>
        <w:rPr>
          <w:rFonts w:ascii="Times New Roman" w:cs="Times New Roman" w:eastAsia="Times New Roman" w:hAnsi="Times New Roman"/>
          <w:color w:val="333333"/>
          <w:sz w:val="22"/>
          <w:szCs w:val="22"/>
        </w:rPr>
        <w:t xml:space="preserve">We have assumed the accuracy and completeness of all documents and information provided to us. We have not independently verified the factual statements contained in the documents reviewed.</w:t>
      </w:r>
    </w:p>
    <w:p>
      <w:pPr>
        <w:pStyle w:val="ListParagraph"/>
        <w:numPr>
          <w:ilvl w:val="0"/>
          <w:numId w:val="2"/>
        </w:numPr>
        <w:spacing w:after="140"/>
      </w:pPr>
      <w:r>
        <w:rPr>
          <w:rFonts w:ascii="Times New Roman" w:cs="Times New Roman" w:eastAsia="Times New Roman" w:hAnsi="Times New Roman"/>
          <w:color w:val="333333"/>
          <w:sz w:val="22"/>
          <w:szCs w:val="22"/>
        </w:rPr>
        <w:t xml:space="preserve">This Opinion is addressed solely to the Board of Directors of the Company and may not be relied upon by any third party without our prior written consent, except that the Company may disclose this Opinion to:</w:t>
      </w:r>
    </w:p>
    <w:p>
      <w:pPr>
        <w:pStyle w:val="ListParagraph"/>
        <w:numPr>
          <w:ilvl w:val="0"/>
          <w:numId w:val="3"/>
        </w:numPr>
        <w:spacing w:after="120"/>
      </w:pPr>
      <w:r>
        <w:rPr>
          <w:rFonts w:ascii="Times New Roman" w:cs="Times New Roman" w:eastAsia="Times New Roman" w:hAnsi="Times New Roman"/>
          <w:color w:val="333333"/>
          <w:sz w:val="22"/>
          <w:szCs w:val="22"/>
        </w:rPr>
        <w:t xml:space="preserve">Regulatory authorities having jurisdiction over the Company;</w:t>
      </w:r>
    </w:p>
    <w:p>
      <w:pPr>
        <w:pStyle w:val="ListParagraph"/>
        <w:numPr>
          <w:ilvl w:val="0"/>
          <w:numId w:val="3"/>
        </w:numPr>
        <w:spacing w:after="120"/>
      </w:pPr>
      <w:r>
        <w:rPr>
          <w:rFonts w:ascii="Times New Roman" w:cs="Times New Roman" w:eastAsia="Times New Roman" w:hAnsi="Times New Roman"/>
          <w:color w:val="333333"/>
          <w:sz w:val="22"/>
          <w:szCs w:val="22"/>
        </w:rPr>
        <w:t xml:space="preserve">The Company's auditors and professional advisers, on a confidential basis;</w:t>
      </w:r>
    </w:p>
    <w:p>
      <w:pPr>
        <w:pStyle w:val="ListParagraph"/>
        <w:numPr>
          <w:ilvl w:val="0"/>
          <w:numId w:val="3"/>
        </w:numPr>
        <w:spacing w:after="120"/>
      </w:pPr>
      <w:r>
        <w:rPr>
          <w:rFonts w:ascii="Times New Roman" w:cs="Times New Roman" w:eastAsia="Times New Roman" w:hAnsi="Times New Roman"/>
          <w:color w:val="333333"/>
          <w:sz w:val="22"/>
          <w:szCs w:val="22"/>
        </w:rPr>
        <w:t xml:space="preserve">Prospective clients, for the purpose of demonstrating the Company's regulatory compliance, provided that the Opinion is disclosed in full and unredacted.</w:t>
      </w:r>
    </w:p>
    <w:p>
      <w:r>
        <w:br w:type="page"/>
      </w:r>
    </w:p>
    <w:p>
      <w:pPr>
        <w:spacing w:before="400" w:after="200"/>
      </w:pPr>
      <w:r>
        <w:rPr>
          <w:rFonts w:ascii="Times New Roman" w:cs="Times New Roman" w:eastAsia="Times New Roman" w:hAnsi="Times New Roman"/>
          <w:b/>
          <w:bCs/>
          <w:caps/>
          <w:color w:val="6B2D5B"/>
          <w:sz w:val="24"/>
          <w:szCs w:val="24"/>
        </w:rPr>
        <w:t xml:space="preserve">D. LEGAL ANALYSIS</w:t>
      </w:r>
    </w:p>
    <w:p>
      <w:pPr>
        <w:spacing w:before="0" w:after="200"/>
      </w:pPr>
      <w:r>
        <w:rPr>
          <w:rFonts w:ascii="Times New Roman" w:cs="Times New Roman" w:eastAsia="Times New Roman" w:hAnsi="Times New Roman"/>
          <w:b/>
          <w:bCs/>
          <w:color w:val="6B2D5B"/>
          <w:sz w:val="24"/>
          <w:szCs w:val="24"/>
        </w:rPr>
        <w:t xml:space="preserve">D.1 Classification of Carbon Credits under applicable securities legislation</w:t>
      </w:r>
    </w:p>
    <w:p>
      <w:pPr>
        <w:pStyle w:val="ListParagraph"/>
        <w:numPr>
          <w:ilvl w:val="0"/>
          <w:numId w:val="2"/>
        </w:numPr>
        <w:spacing w:after="140"/>
      </w:pPr>
      <w:r>
        <w:rPr>
          <w:rFonts w:ascii="Times New Roman" w:cs="Times New Roman" w:eastAsia="Times New Roman" w:hAnsi="Times New Roman"/>
          <w:color w:val="333333"/>
          <w:sz w:val="22"/>
          <w:szCs w:val="22"/>
        </w:rPr>
        <w:t xml:space="preserve">applicable securities legislation defines "securities" in Schedule 1 to include, inter alia, shares, debentures, loan stocks, bonds, notes, warrants, certificates of interest, collective investment scheme interests, and "rights, options or interests" in any of the foregoing. The definition is inclusive but not exhaustive.</w:t>
      </w:r>
    </w:p>
    <w:p>
      <w:pPr>
        <w:pStyle w:val="ListParagraph"/>
        <w:numPr>
          <w:ilvl w:val="0"/>
          <w:numId w:val="2"/>
        </w:numPr>
        <w:spacing w:after="140"/>
      </w:pPr>
      <w:r>
        <w:rPr>
          <w:rFonts w:ascii="Times New Roman" w:cs="Times New Roman" w:eastAsia="Times New Roman" w:hAnsi="Times New Roman"/>
          <w:color w:val="333333"/>
          <w:sz w:val="22"/>
          <w:szCs w:val="22"/>
        </w:rPr>
        <w:t xml:space="preserve">Carbon credits — whether in the form of EU Emission Allowances ("EUAs") issued under applicable EU emissions trading legislation, Chinese Emission Allowances ("CEAs") issued under China's emissions trading schemes, or voluntary carbon credits issued under standards such as Verra VCS or Gold Standard — are, in their essential nature:</w:t>
      </w:r>
    </w:p>
    <w:p>
      <w:pPr>
        <w:pStyle w:val="ListParagraph"/>
        <w:numPr>
          <w:ilvl w:val="0"/>
          <w:numId w:val="3"/>
        </w:numPr>
        <w:spacing w:after="120"/>
      </w:pPr>
      <w:r>
        <w:rPr>
          <w:rFonts w:ascii="Times New Roman" w:cs="Times New Roman" w:eastAsia="Times New Roman" w:hAnsi="Times New Roman"/>
          <w:color w:val="333333"/>
          <w:sz w:val="22"/>
          <w:szCs w:val="22"/>
        </w:rPr>
        <w:t xml:space="preserve">Government-issued (in the case of compliance credits) or standard-body-issued (in the case of voluntary credits) permits or certificates representing the right to emit one tonne of carbon dioxide equivalent;</w:t>
      </w:r>
    </w:p>
    <w:p>
      <w:pPr>
        <w:pStyle w:val="ListParagraph"/>
        <w:numPr>
          <w:ilvl w:val="0"/>
          <w:numId w:val="3"/>
        </w:numPr>
        <w:spacing w:after="120"/>
      </w:pPr>
      <w:r>
        <w:rPr>
          <w:rFonts w:ascii="Times New Roman" w:cs="Times New Roman" w:eastAsia="Times New Roman" w:hAnsi="Times New Roman"/>
          <w:color w:val="333333"/>
          <w:sz w:val="22"/>
          <w:szCs w:val="22"/>
        </w:rPr>
        <w:t xml:space="preserve">Not instruments evidencing a debt obligation or equity interest in any entity;</w:t>
      </w:r>
    </w:p>
    <w:p>
      <w:pPr>
        <w:pStyle w:val="ListParagraph"/>
        <w:numPr>
          <w:ilvl w:val="0"/>
          <w:numId w:val="3"/>
        </w:numPr>
        <w:spacing w:after="120"/>
      </w:pPr>
      <w:r>
        <w:rPr>
          <w:rFonts w:ascii="Times New Roman" w:cs="Times New Roman" w:eastAsia="Times New Roman" w:hAnsi="Times New Roman"/>
          <w:color w:val="333333"/>
          <w:sz w:val="22"/>
          <w:szCs w:val="22"/>
        </w:rPr>
        <w:t xml:space="preserve">Not interests in a collective investment scheme within the meaning of section 1 of Part 1 of Schedule 1 to applicable securities legislation;</w:t>
      </w:r>
    </w:p>
    <w:p>
      <w:pPr>
        <w:pStyle w:val="ListParagraph"/>
        <w:numPr>
          <w:ilvl w:val="0"/>
          <w:numId w:val="3"/>
        </w:numPr>
        <w:spacing w:after="120"/>
      </w:pPr>
      <w:r>
        <w:rPr>
          <w:rFonts w:ascii="Times New Roman" w:cs="Times New Roman" w:eastAsia="Times New Roman" w:hAnsi="Times New Roman"/>
          <w:color w:val="333333"/>
          <w:sz w:val="22"/>
          <w:szCs w:val="22"/>
        </w:rPr>
        <w:t xml:space="preserve">Not derivative instruments whose value is derived from an underlying security;</w:t>
      </w:r>
    </w:p>
    <w:p>
      <w:pPr>
        <w:pStyle w:val="ListParagraph"/>
        <w:numPr>
          <w:ilvl w:val="0"/>
          <w:numId w:val="3"/>
        </w:numPr>
        <w:spacing w:after="120"/>
      </w:pPr>
      <w:r>
        <w:rPr>
          <w:rFonts w:ascii="Times New Roman" w:cs="Times New Roman" w:eastAsia="Times New Roman" w:hAnsi="Times New Roman"/>
          <w:color w:val="333333"/>
          <w:sz w:val="22"/>
          <w:szCs w:val="22"/>
        </w:rPr>
        <w:t xml:space="preserve">More accurately characterised as intangible property rights or regulatory permits, analogous to other government-issued tradeable permits or quotas.</w:t>
      </w:r>
    </w:p>
    <w:p>
      <w:pPr>
        <w:pStyle w:val="ListParagraph"/>
        <w:numPr>
          <w:ilvl w:val="0"/>
          <w:numId w:val="2"/>
        </w:numPr>
        <w:spacing w:after="140"/>
      </w:pPr>
      <w:r>
        <w:rPr>
          <w:rFonts w:ascii="Times New Roman" w:cs="Times New Roman" w:eastAsia="Times New Roman" w:hAnsi="Times New Roman"/>
          <w:color w:val="333333"/>
          <w:sz w:val="22"/>
          <w:szCs w:val="22"/>
        </w:rPr>
        <w:t xml:space="preserve">the applicable regulatory authority has not, to the date of this Opinion, published any guidance or determination classifying carbon credits as securities. the applicable regulatory authority's 2023 consultation paper on virtual assets and tokenised securities ("CP on Tokenised Securities") addressed the tokenisation of traditional securities but did not extend its analysis to carbon credits or environmental commodities.</w:t>
      </w:r>
    </w:p>
    <w:p>
      <w:pPr>
        <w:pStyle w:val="ListParagraph"/>
        <w:numPr>
          <w:ilvl w:val="0"/>
          <w:numId w:val="2"/>
        </w:numPr>
        <w:spacing w:after="140"/>
      </w:pPr>
      <w:r>
        <w:rPr>
          <w:rFonts w:ascii="Times New Roman" w:cs="Times New Roman" w:eastAsia="Times New Roman" w:hAnsi="Times New Roman"/>
          <w:color w:val="333333"/>
          <w:sz w:val="22"/>
          <w:szCs w:val="22"/>
        </w:rPr>
        <w:t xml:space="preserve">In the EU, carbon credits are classified as financial instruments under MiFID II (Directive 2014/65/EU), specifically as "emission allowances" under Annex I, Section C(11). However, this classification is specific to the EU regulatory framework and has no bearing on their classification under Hong Kong law, which is a separate and independent legal system.</w:t>
      </w:r>
    </w:p>
    <w:p>
      <w:pPr>
        <w:pStyle w:val="ListParagraph"/>
        <w:numPr>
          <w:ilvl w:val="0"/>
          <w:numId w:val="2"/>
        </w:numPr>
        <w:spacing w:after="140"/>
      </w:pPr>
      <w:r>
        <w:rPr>
          <w:rFonts w:ascii="Times New Roman" w:cs="Times New Roman" w:eastAsia="Times New Roman" w:hAnsi="Times New Roman"/>
          <w:color w:val="333333"/>
          <w:sz w:val="22"/>
          <w:szCs w:val="22"/>
        </w:rPr>
        <w:t xml:space="preserve">We note that in no common law jurisdiction of which we are aware — including the United Kingdom, Australia, Singapore, or Hong Kong — have carbon credits been judicially determined to be securities. The UK Financial Conduct Authority regulates emission allowances as financial instruments under the UK Emissions Trading Scheme Order 2020, but this is by express statutory provision, not by inherent characteristic.</w:t>
      </w:r>
    </w:p>
    <w:p>
      <w:pPr>
        <w:spacing w:before="0" w:after="200"/>
      </w:pPr>
      <w:r>
        <w:rPr>
          <w:rFonts w:ascii="Times New Roman" w:cs="Times New Roman" w:eastAsia="Times New Roman" w:hAnsi="Times New Roman"/>
          <w:b/>
          <w:bCs/>
          <w:color w:val="6B2D5B"/>
          <w:sz w:val="24"/>
          <w:szCs w:val="24"/>
        </w:rPr>
        <w:t xml:space="preserve">D.2 Futures Contract Analysis</w:t>
      </w:r>
    </w:p>
    <w:p>
      <w:pPr>
        <w:pStyle w:val="ListParagraph"/>
        <w:numPr>
          <w:ilvl w:val="0"/>
          <w:numId w:val="2"/>
        </w:numPr>
        <w:spacing w:after="140"/>
      </w:pPr>
      <w:r>
        <w:rPr>
          <w:rFonts w:ascii="Times New Roman" w:cs="Times New Roman" w:eastAsia="Times New Roman" w:hAnsi="Times New Roman"/>
          <w:color w:val="333333"/>
          <w:sz w:val="22"/>
          <w:szCs w:val="22"/>
        </w:rPr>
        <w:t xml:space="preserve">applicable securities legislation defines "futures contract" in section 1 of Schedule 1 as a contract made pursuant to the rules or conventions of a futures market. The term "futures market" is defined as a market at which futures contracts are traded. This circular definition has been interpreted by the courts to require that the contract be traded on a recognised futures exchange.</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NIHA's carbon credit transactions are bilateral over-the-counter ("OTC") transactions executed between NIHA (as principal) and its clients, and between NIHA and its market counterparties. These transactions are not executed on any futures exchange and do not constitute futures contracts within the meaning of applicable securities legislation.</w:t>
      </w:r>
    </w:p>
    <w:p>
      <w:pPr>
        <w:pStyle w:val="ListParagraph"/>
        <w:numPr>
          <w:ilvl w:val="0"/>
          <w:numId w:val="2"/>
        </w:numPr>
        <w:spacing w:after="140"/>
      </w:pPr>
      <w:r>
        <w:rPr>
          <w:rFonts w:ascii="Times New Roman" w:cs="Times New Roman" w:eastAsia="Times New Roman" w:hAnsi="Times New Roman"/>
          <w:color w:val="333333"/>
          <w:sz w:val="22"/>
          <w:szCs w:val="22"/>
        </w:rPr>
        <w:t xml:space="preserve">Even if carbon credit forward or option contracts were introduced by NIHA in the future, such OTC derivatives would not, in our opinion, constitute futures contracts under applicable securities legislation unless they were traded on a recognised futures market (i.e., a market operated by a recognised exchange company under section 19 of applicable securities legislation).</w:t>
      </w:r>
    </w:p>
    <w:p>
      <w:pPr>
        <w:spacing w:before="0" w:after="200"/>
      </w:pPr>
      <w:r>
        <w:rPr>
          <w:rFonts w:ascii="Times New Roman" w:cs="Times New Roman" w:eastAsia="Times New Roman" w:hAnsi="Times New Roman"/>
          <w:b/>
          <w:bCs/>
          <w:color w:val="6B2D5B"/>
          <w:sz w:val="24"/>
          <w:szCs w:val="24"/>
        </w:rPr>
        <w:t xml:space="preserve">D.3 the applicable regulatory authority Licensing Requirements</w:t>
      </w:r>
    </w:p>
    <w:p>
      <w:pPr>
        <w:pStyle w:val="ListParagraph"/>
        <w:numPr>
          <w:ilvl w:val="0"/>
          <w:numId w:val="2"/>
        </w:numPr>
        <w:spacing w:after="140"/>
      </w:pPr>
      <w:r>
        <w:rPr>
          <w:rFonts w:ascii="Times New Roman" w:cs="Times New Roman" w:eastAsia="Times New Roman" w:hAnsi="Times New Roman"/>
          <w:color w:val="333333"/>
          <w:sz w:val="22"/>
          <w:szCs w:val="22"/>
        </w:rPr>
        <w:t xml:space="preserve">Under section 114 of applicable securities legislation, a person must be licensed by the applicable regulatory authority to carry on a business in a "regulated activity" as defined in Schedule 5 to applicable securities legislation. The ten regulated activities include dealing in securities (Type 1), dealing in futures contracts (Type 2), leveraged foreign exchange trading (Type 3), advising on securities (Type 4), and advising on futures contracts (Type 5), among others.</w:t>
      </w:r>
    </w:p>
    <w:p>
      <w:pPr>
        <w:pStyle w:val="ListParagraph"/>
        <w:numPr>
          <w:ilvl w:val="0"/>
          <w:numId w:val="2"/>
        </w:numPr>
        <w:spacing w:after="140"/>
      </w:pPr>
      <w:r>
        <w:rPr>
          <w:rFonts w:ascii="Times New Roman" w:cs="Times New Roman" w:eastAsia="Times New Roman" w:hAnsi="Times New Roman"/>
          <w:color w:val="333333"/>
          <w:sz w:val="22"/>
          <w:szCs w:val="22"/>
        </w:rPr>
        <w:t xml:space="preserve">Since carbon credits do not, in our opinion, constitute securities or futures contracts under applicable securities legislation (as analysed above), NIHA's activities in buying, selling, and facilitating the transfer of carbon credits do not constitute "dealing in securities" (Type 1) or "dealing in futures contracts" (Type 2).</w:t>
      </w:r>
    </w:p>
    <w:p>
      <w:pPr>
        <w:pStyle w:val="ListParagraph"/>
        <w:numPr>
          <w:ilvl w:val="0"/>
          <w:numId w:val="2"/>
        </w:numPr>
        <w:spacing w:after="140"/>
      </w:pPr>
      <w:r>
        <w:rPr>
          <w:rFonts w:ascii="Times New Roman" w:cs="Times New Roman" w:eastAsia="Times New Roman" w:hAnsi="Times New Roman"/>
          <w:color w:val="333333"/>
          <w:sz w:val="22"/>
          <w:szCs w:val="22"/>
        </w:rPr>
        <w:t xml:space="preserve">Furthermore, the provision of information and market commentary regarding carbon credit prices, market trends, and regulatory developments by NIHA to its clients does not, in our opinion, constitute "advising on securities" (Type 4) or "advising on futures contracts" (Type 5), as the subject matter of such advice is not a security or futures contract within applicable securities legislation definitions.</w:t>
      </w:r>
    </w:p>
    <w:p>
      <w:pPr>
        <w:pStyle w:val="ListParagraph"/>
        <w:numPr>
          <w:ilvl w:val="0"/>
          <w:numId w:val="2"/>
        </w:numPr>
        <w:spacing w:after="140"/>
      </w:pPr>
      <w:r>
        <w:rPr>
          <w:rFonts w:ascii="Times New Roman" w:cs="Times New Roman" w:eastAsia="Times New Roman" w:hAnsi="Times New Roman"/>
          <w:color w:val="333333"/>
          <w:sz w:val="22"/>
          <w:szCs w:val="22"/>
        </w:rPr>
        <w:t xml:space="preserve">Accordingly, we are of the opinion that NIHA's carbon credit trading activities, as described in the documents reviewed, do not require licensing by the applicable regulatory authority under any regulated activity category.</w:t>
      </w:r>
    </w:p>
    <w:p>
      <w:pPr>
        <w:spacing w:before="0" w:after="200"/>
      </w:pPr>
      <w:r>
        <w:rPr>
          <w:rFonts w:ascii="Times New Roman" w:cs="Times New Roman" w:eastAsia="Times New Roman" w:hAnsi="Times New Roman"/>
          <w:b/>
          <w:bCs/>
          <w:color w:val="6B2D5B"/>
          <w:sz w:val="24"/>
          <w:szCs w:val="24"/>
        </w:rPr>
        <w:t xml:space="preserve">D.4 Cross-Border Conversion Services</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NIHA's cross-border conversion service — whereby clients surrender CEAs through the Shenzhen Carbon Exchange (CEEX) and receive EUAs through the EU Union Registry, with NIHA acting as principal counterparty and applying a proprietary conversion ratio — is a novel service that does not fall neatly within any existing Hong Kong regulatory category.</w:t>
      </w:r>
    </w:p>
    <w:p>
      <w:pPr>
        <w:pStyle w:val="ListParagraph"/>
        <w:numPr>
          <w:ilvl w:val="0"/>
          <w:numId w:val="2"/>
        </w:numPr>
        <w:spacing w:after="140"/>
      </w:pPr>
      <w:r>
        <w:rPr>
          <w:rFonts w:ascii="Times New Roman" w:cs="Times New Roman" w:eastAsia="Times New Roman" w:hAnsi="Times New Roman"/>
          <w:color w:val="333333"/>
          <w:sz w:val="22"/>
          <w:szCs w:val="22"/>
        </w:rPr>
        <w:t xml:space="preserve">Having analysed this service, we are of the opinion that it does not constitute:</w:t>
      </w:r>
    </w:p>
    <w:p>
      <w:pPr>
        <w:pStyle w:val="ListParagraph"/>
        <w:numPr>
          <w:ilvl w:val="0"/>
          <w:numId w:val="3"/>
        </w:numPr>
        <w:spacing w:after="120"/>
      </w:pPr>
      <w:r>
        <w:rPr>
          <w:rFonts w:ascii="Times New Roman" w:cs="Times New Roman" w:eastAsia="Times New Roman" w:hAnsi="Times New Roman"/>
          <w:color w:val="333333"/>
          <w:sz w:val="22"/>
          <w:szCs w:val="22"/>
        </w:rPr>
        <w:t xml:space="preserve">Money changing or remittance services under the regulated financial services providers (MSO) regime of applicable anti-money laundering legislation applicable anti-money laundering legislation, as the service involves the exchange of one type of carbon permit for another, not the remittance or exchange of money or monetary value;</w:t>
      </w:r>
    </w:p>
    <w:p>
      <w:pPr>
        <w:pStyle w:val="ListParagraph"/>
        <w:numPr>
          <w:ilvl w:val="0"/>
          <w:numId w:val="3"/>
        </w:numPr>
        <w:spacing w:after="120"/>
      </w:pPr>
      <w:r>
        <w:rPr>
          <w:rFonts w:ascii="Times New Roman" w:cs="Times New Roman" w:eastAsia="Times New Roman" w:hAnsi="Times New Roman"/>
          <w:color w:val="333333"/>
          <w:sz w:val="22"/>
          <w:szCs w:val="22"/>
        </w:rPr>
        <w:t xml:space="preserve">Fund management or asset management under the applicable regulatory authority Type 9 regulated activity, as NIHA does not exercise discretionary investment authority over client assets — the client instructs each conversion transaction;</w:t>
      </w:r>
    </w:p>
    <w:p>
      <w:pPr>
        <w:pStyle w:val="ListParagraph"/>
        <w:numPr>
          <w:ilvl w:val="0"/>
          <w:numId w:val="3"/>
        </w:numPr>
        <w:spacing w:after="120"/>
      </w:pPr>
      <w:r>
        <w:rPr>
          <w:rFonts w:ascii="Times New Roman" w:cs="Times New Roman" w:eastAsia="Times New Roman" w:hAnsi="Times New Roman"/>
          <w:color w:val="333333"/>
          <w:sz w:val="22"/>
          <w:szCs w:val="22"/>
        </w:rPr>
        <w:t xml:space="preserve">A leveraged foreign exchange transaction under the applicable regulatory authority Type 3 regulated activity, notwithstanding that the conversion involves instruments denominated in different currencies (EUR and CNY), as the underlying transaction is an exchange of carbon credits, not a foreign exchange transaction.</w:t>
      </w:r>
    </w:p>
    <w:p>
      <w:pPr>
        <w:pStyle w:val="ListParagraph"/>
        <w:numPr>
          <w:ilvl w:val="0"/>
          <w:numId w:val="2"/>
        </w:numPr>
        <w:spacing w:after="140"/>
      </w:pPr>
      <w:r>
        <w:rPr>
          <w:rFonts w:ascii="Times New Roman" w:cs="Times New Roman" w:eastAsia="Times New Roman" w:hAnsi="Times New Roman"/>
          <w:color w:val="333333"/>
          <w:sz w:val="22"/>
          <w:szCs w:val="22"/>
        </w:rPr>
        <w:t xml:space="preserve">We note, however, that the cross-border nature of this service involves compliance with the foreign exchange administration regulations of the People's Republic of China, administered by the State Administration of Foreign Exchange (SAFE). We understand that NIHA has obtained the necessary SAFE approvals for its cross-border carbon trading activities through the CEEX foreign investor framework. This Opinion does not address PRC law, and we recommend that NIHA obtain and maintain a separate PRC legal opinion regarding its SAFE compliance obligations.</w:t>
      </w:r>
    </w:p>
    <w:p>
      <w:r>
        <w:br w:type="page"/>
      </w:r>
    </w:p>
    <w:p>
      <w:pPr>
        <w:spacing w:before="0" w:after="200"/>
      </w:pPr>
      <w:r>
        <w:rPr>
          <w:rFonts w:ascii="Times New Roman" w:cs="Times New Roman" w:eastAsia="Times New Roman" w:hAnsi="Times New Roman"/>
          <w:b/>
          <w:bCs/>
          <w:color w:val="6B2D5B"/>
          <w:sz w:val="24"/>
          <w:szCs w:val="24"/>
        </w:rPr>
        <w:t xml:space="preserve">D.5 Anti-Money Laundering and Counter-Terrorist Financing</w:t>
      </w:r>
    </w:p>
    <w:p>
      <w:pPr>
        <w:pStyle w:val="ListParagraph"/>
        <w:numPr>
          <w:ilvl w:val="0"/>
          <w:numId w:val="2"/>
        </w:numPr>
        <w:spacing w:after="140"/>
      </w:pPr>
      <w:r>
        <w:rPr>
          <w:rFonts w:ascii="Times New Roman" w:cs="Times New Roman" w:eastAsia="Times New Roman" w:hAnsi="Times New Roman"/>
          <w:color w:val="333333"/>
          <w:sz w:val="22"/>
          <w:szCs w:val="22"/>
        </w:rPr>
        <w:t xml:space="preserve">The applicable anti-money laundering and counter-terrorist financing legislation in Hong Kong ("applicable anti-money laundering legislation") imposes customer due diligence and record-keeping obligations on "financial institutions" and "designated non-financial businesses and professions" ("DNFBPs").</w:t>
      </w:r>
    </w:p>
    <w:p>
      <w:pPr>
        <w:pStyle w:val="ListParagraph"/>
        <w:numPr>
          <w:ilvl w:val="0"/>
          <w:numId w:val="2"/>
        </w:numPr>
        <w:spacing w:after="140"/>
      </w:pPr>
      <w:r>
        <w:rPr>
          <w:rFonts w:ascii="Times New Roman" w:cs="Times New Roman" w:eastAsia="Times New Roman" w:hAnsi="Times New Roman"/>
          <w:color w:val="333333"/>
          <w:sz w:val="22"/>
          <w:szCs w:val="22"/>
        </w:rPr>
        <w:t xml:space="preserve">Carbon credit trading entities are not currently designated as financial institutions or DNFBPs under applicable anti-money laundering legislation. However, the Financial Action Task Force ("FATF") has increasingly focused on emerging risks in environmental markets, and it is possible that future amendments to applicable anti-money laundering legislation could bring carbon trading within its scope.</w:t>
      </w:r>
    </w:p>
    <w:p>
      <w:pPr>
        <w:pStyle w:val="ListParagraph"/>
        <w:numPr>
          <w:ilvl w:val="0"/>
          <w:numId w:val="2"/>
        </w:numPr>
        <w:spacing w:after="140"/>
      </w:pPr>
      <w:r>
        <w:rPr>
          <w:rFonts w:ascii="Times New Roman" w:cs="Times New Roman" w:eastAsia="Times New Roman" w:hAnsi="Times New Roman"/>
          <w:color w:val="333333"/>
          <w:sz w:val="22"/>
          <w:szCs w:val="22"/>
        </w:rPr>
        <w:t xml:space="preserve">We note that NIHA has voluntarily adopted AML/CFT policies and procedures that are substantially consistent with the requirements of applicable anti-money laundering legislation as they apply to financial institutions. We commend this approach as a matter of best practice and risk management, and we recommend that NIHA continue to maintain these policies regardless of whether they are legally mandated.</w:t>
      </w:r>
    </w:p>
    <w:p>
      <w:pPr>
        <w:pStyle w:val="ListParagraph"/>
        <w:numPr>
          <w:ilvl w:val="0"/>
          <w:numId w:val="2"/>
        </w:numPr>
        <w:spacing w:after="140"/>
      </w:pPr>
      <w:r>
        <w:rPr>
          <w:rFonts w:ascii="Times New Roman" w:cs="Times New Roman" w:eastAsia="Times New Roman" w:hAnsi="Times New Roman"/>
          <w:color w:val="333333"/>
          <w:sz w:val="22"/>
          <w:szCs w:val="22"/>
        </w:rPr>
        <w:t xml:space="preserve">Under section 25 of the Organized and Serious Crimes Ordinance ("OSCO") and section 25A thereof, all persons (not only regulated entities) are prohibited from dealing with property known or suspected to be the proceeds of an indictable offence, and are required to report suspicious transactions to the Joint Financial Intelligence Unit ("JFIU"). These obligations apply to NIHA's operations irrespective of its regulatory status.</w:t>
      </w:r>
    </w:p>
    <w:p>
      <w:pPr>
        <w:spacing w:before="400" w:after="200"/>
      </w:pPr>
      <w:r>
        <w:rPr>
          <w:rFonts w:ascii="Times New Roman" w:cs="Times New Roman" w:eastAsia="Times New Roman" w:hAnsi="Times New Roman"/>
          <w:b/>
          <w:bCs/>
          <w:caps/>
          <w:color w:val="6B2D5B"/>
          <w:sz w:val="24"/>
          <w:szCs w:val="24"/>
        </w:rPr>
        <w:t xml:space="preserve">E. OPINIONS</w:t>
      </w:r>
    </w:p>
    <w:p>
      <w:pPr>
        <w:spacing w:before="0" w:after="200"/>
      </w:pPr>
      <w:r>
        <w:rPr>
          <w:rFonts w:ascii="Times New Roman" w:cs="Times New Roman" w:eastAsia="Times New Roman" w:hAnsi="Times New Roman"/>
          <w:color w:val="333333"/>
          <w:sz w:val="22"/>
          <w:szCs w:val="22"/>
        </w:rPr>
        <w:t xml:space="preserve">Based on the foregoing analysis, and subject to the assumptions and qualifications set out in Section C above, we are of the following opinions:</w:t>
      </w:r>
    </w:p>
    <w:p>
      <w:pPr>
        <w:pStyle w:val="ListParagraph"/>
        <w:numPr>
          <w:ilvl w:val="0"/>
          <w:numId w:val="2"/>
        </w:numPr>
        <w:spacing w:after="140"/>
      </w:pPr>
      <w:r>
        <w:rPr>
          <w:rFonts w:ascii="Times New Roman" w:cs="Times New Roman" w:eastAsia="Times New Roman" w:hAnsi="Times New Roman"/>
          <w:color w:val="333333"/>
          <w:sz w:val="22"/>
          <w:szCs w:val="22"/>
        </w:rPr>
        <w:t xml:space="preserve">Carbon credits, including EUAs, CEAs, and voluntary carbon credits (such as VCS VCUs and GS VERs), do not constitute "securities" as defined in Schedule 1 to applicable securities legislation, and accordingly NIHA's trading in such instruments does not constitute "dealing in securities" requiring a Type 1 licence from the applicable regulatory authority.</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NIHA's bilateral OTC carbon credit transactions do not constitute "futures contracts" as defined in applicable securities legislation, and accordingly do not require a Type 2 licence from the applicable regulatory authority.</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NIHA's provision of carbon market information and commentary to its clients does not constitute "advising on securities" or "advising on futures contracts" requiring a Type 4 or Type 5 licence from the applicable regulatory authority.</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NIHA's cross-border CEA/EUA conversion service does not constitute a money service operation, fund management activity, or leveraged foreign exchange transaction under Hong Kong law.</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 is not currently required to hold any licence issued by the applicable regulatory authority or any other Hong Kong regulatory authority in order to conduct its carbon credit trading activities as described in the documents reviewed.</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NIHA's voluntary adoption of AML/CFT policies consistent with applicable anti-money laundering legislation requirements represents sound risk management practice and is recommended to continue.</w:t>
      </w:r>
    </w:p>
    <w:p>
      <w:pPr>
        <w:pStyle w:val="ListParagraph"/>
        <w:numPr>
          <w:ilvl w:val="0"/>
          <w:numId w:val="2"/>
        </w:numPr>
        <w:spacing w:after="140"/>
      </w:pPr>
      <w:r>
        <w:rPr>
          <w:rFonts w:ascii="Times New Roman" w:cs="Times New Roman" w:eastAsia="Times New Roman" w:hAnsi="Times New Roman"/>
          <w:color w:val="333333"/>
          <w:sz w:val="22"/>
          <w:szCs w:val="22"/>
        </w:rPr>
        <w:t xml:space="preserve">NIHA is subject to the general anti-money laundering obligations under OSCO sections 25 and 25A, and we are satisfied, based on our review of the Compliance Policy Manual, that NIHA's policies are adequate to address these obligations.</w:t>
      </w:r>
    </w:p>
    <w:p>
      <w:pPr>
        <w:spacing w:before="400" w:after="200"/>
      </w:pPr>
      <w:r>
        <w:rPr>
          <w:rFonts w:ascii="Times New Roman" w:cs="Times New Roman" w:eastAsia="Times New Roman" w:hAnsi="Times New Roman"/>
          <w:b/>
          <w:bCs/>
          <w:caps/>
          <w:color w:val="6B2D5B"/>
          <w:sz w:val="24"/>
          <w:szCs w:val="24"/>
        </w:rPr>
        <w:t xml:space="preserve">F. REGULATORY OUTLOOK AND RECOMMENDATIONS</w:t>
      </w:r>
    </w:p>
    <w:p>
      <w:pPr>
        <w:pStyle w:val="ListParagraph"/>
        <w:numPr>
          <w:ilvl w:val="0"/>
          <w:numId w:val="2"/>
        </w:numPr>
        <w:spacing w:after="140"/>
      </w:pPr>
      <w:r>
        <w:rPr>
          <w:rFonts w:ascii="Times New Roman" w:cs="Times New Roman" w:eastAsia="Times New Roman" w:hAnsi="Times New Roman"/>
          <w:color w:val="333333"/>
          <w:sz w:val="22"/>
          <w:szCs w:val="22"/>
        </w:rPr>
        <w:t xml:space="preserve">While our current opinion is clear that no the applicable regulatory authority licence is required, we recommend that NIHA monitor the following regulatory developments that could alter this analysis:</w:t>
      </w:r>
    </w:p>
    <w:p>
      <w:pPr>
        <w:pStyle w:val="ListParagraph"/>
        <w:numPr>
          <w:ilvl w:val="0"/>
          <w:numId w:val="3"/>
        </w:numPr>
        <w:spacing w:after="120"/>
      </w:pPr>
      <w:r>
        <w:rPr>
          <w:rFonts w:ascii="Times New Roman" w:cs="Times New Roman" w:eastAsia="Times New Roman" w:hAnsi="Times New Roman"/>
          <w:color w:val="333333"/>
          <w:sz w:val="22"/>
          <w:szCs w:val="22"/>
        </w:rPr>
        <w:t xml:space="preserve">Any the applicable regulatory authority guidance or consultation paper on the regulatory treatment of carbon credits or environmental commodities;</w:t>
      </w:r>
    </w:p>
    <w:p>
      <w:pPr>
        <w:pStyle w:val="ListParagraph"/>
        <w:numPr>
          <w:ilvl w:val="0"/>
          <w:numId w:val="3"/>
        </w:numPr>
        <w:spacing w:after="120"/>
      </w:pPr>
      <w:r>
        <w:rPr>
          <w:rFonts w:ascii="Times New Roman" w:cs="Times New Roman" w:eastAsia="Times New Roman" w:hAnsi="Times New Roman"/>
          <w:color w:val="333333"/>
          <w:sz w:val="22"/>
          <w:szCs w:val="22"/>
        </w:rPr>
        <w:t xml:space="preserve">The potential introduction of a Hong Kong carbon trading regime, possibly linked to the Greater Bay Area Carbon Connect initiative;</w:t>
      </w:r>
    </w:p>
    <w:p>
      <w:pPr>
        <w:pStyle w:val="ListParagraph"/>
        <w:numPr>
          <w:ilvl w:val="0"/>
          <w:numId w:val="3"/>
        </w:numPr>
        <w:spacing w:after="120"/>
      </w:pPr>
      <w:r>
        <w:rPr>
          <w:rFonts w:ascii="Times New Roman" w:cs="Times New Roman" w:eastAsia="Times New Roman" w:hAnsi="Times New Roman"/>
          <w:color w:val="333333"/>
          <w:sz w:val="22"/>
          <w:szCs w:val="22"/>
        </w:rPr>
        <w:t xml:space="preserve">FATF recommendations regarding AML/CFT obligations for carbon market participants;</w:t>
      </w:r>
    </w:p>
    <w:p>
      <w:pPr>
        <w:pStyle w:val="ListParagraph"/>
        <w:numPr>
          <w:ilvl w:val="0"/>
          <w:numId w:val="3"/>
        </w:numPr>
        <w:spacing w:after="120"/>
      </w:pPr>
      <w:r>
        <w:rPr>
          <w:rFonts w:ascii="Times New Roman" w:cs="Times New Roman" w:eastAsia="Times New Roman" w:hAnsi="Times New Roman"/>
          <w:color w:val="333333"/>
          <w:sz w:val="22"/>
          <w:szCs w:val="22"/>
        </w:rPr>
        <w:t xml:space="preserve">Any amendments to applicable anti-money laundering legislation that could designate carbon trading entities as regulated entities;</w:t>
      </w:r>
    </w:p>
    <w:p>
      <w:pPr>
        <w:pStyle w:val="ListParagraph"/>
        <w:numPr>
          <w:ilvl w:val="0"/>
          <w:numId w:val="3"/>
        </w:numPr>
        <w:spacing w:after="120"/>
      </w:pPr>
      <w:r>
        <w:rPr>
          <w:rFonts w:ascii="Times New Roman" w:cs="Times New Roman" w:eastAsia="Times New Roman" w:hAnsi="Times New Roman"/>
          <w:color w:val="333333"/>
          <w:sz w:val="22"/>
          <w:szCs w:val="22"/>
        </w:rPr>
        <w:t xml:space="preserve">The EU Carbon Border Adjustment Mechanism (CBAM) and its potential implications for entities facilitating cross-border carbon transactions.</w:t>
      </w:r>
    </w:p>
    <w:p>
      <w:pPr>
        <w:pStyle w:val="ListParagraph"/>
        <w:numPr>
          <w:ilvl w:val="0"/>
          <w:numId w:val="2"/>
        </w:numPr>
        <w:spacing w:after="140"/>
      </w:pPr>
      <w:r>
        <w:rPr>
          <w:rFonts w:ascii="Times New Roman" w:cs="Times New Roman" w:eastAsia="Times New Roman" w:hAnsi="Times New Roman"/>
          <w:color w:val="333333"/>
          <w:sz w:val="22"/>
          <w:szCs w:val="22"/>
        </w:rPr>
        <w:t xml:space="preserve">We recommend that NIHA engage this firm for an annual update to this Opinion, particularly in light of the evolving nature of carbon market regulation globally.</w:t>
      </w:r>
    </w:p>
    <w:p>
      <w:pPr>
        <w:pBdr>
          <w:top w:val="single" w:color="6B2D5B" w:sz="2" w:space="8"/>
        </w:pBdr>
        <w:spacing w:before="400"/>
      </w:pPr>
    </w:p>
    <w:p>
      <w:pPr>
        <w:spacing w:before="0" w:after="200"/>
      </w:pPr>
      <w:r>
        <w:rPr>
          <w:rFonts w:ascii="Times New Roman" w:cs="Times New Roman" w:eastAsia="Times New Roman" w:hAnsi="Times New Roman"/>
          <w:color w:val="333333"/>
          <w:sz w:val="22"/>
          <w:szCs w:val="22"/>
        </w:rPr>
        <w:t xml:space="preserve">This Opinion is governed by and construed in accordance with the laws of the Hong Kong Special Administrative Region.</w:t>
      </w:r>
    </w:p>
    <w:p>
      <w:pPr>
        <w:spacing w:before="0" w:after="400"/>
      </w:pPr>
      <w:r>
        <w:rPr>
          <w:rFonts w:ascii="Times New Roman" w:cs="Times New Roman" w:eastAsia="Times New Roman" w:hAnsi="Times New Roman"/>
          <w:color w:val="333333"/>
          <w:sz w:val="22"/>
          <w:szCs w:val="22"/>
        </w:rPr>
        <w:t xml:space="preserve">Yours faithfully,</w:t>
      </w:r>
    </w:p>
    <w:p>
      <w:pPr>
        <w:spacing w:before="0" w:after="60"/>
      </w:pPr>
      <w:r>
        <w:rPr>
          <w:rFonts w:ascii="Times New Roman" w:cs="Times New Roman" w:eastAsia="Times New Roman" w:hAnsi="Times New Roman"/>
          <w:color w:val="333333"/>
          <w:sz w:val="22"/>
          <w:szCs w:val="22"/>
        </w:rPr>
        <w:t xml:space="preserve">____________________________</w:t>
      </w:r>
    </w:p>
    <w:p>
      <w:pPr>
        <w:spacing w:before="0" w:after="60"/>
      </w:pPr>
      <w:r>
        <w:rPr>
          <w:rFonts w:ascii="Times New Roman" w:cs="Times New Roman" w:eastAsia="Times New Roman" w:hAnsi="Times New Roman"/>
          <w:b/>
          <w:bCs/>
          <w:color w:val="6B2D5B"/>
          <w:sz w:val="22"/>
          <w:szCs w:val="22"/>
        </w:rPr>
        <w:t xml:space="preserve">CHAN, WONG &amp; PARTNERS</w:t>
      </w:r>
    </w:p>
    <w:p>
      <w:pPr>
        <w:spacing w:before="0" w:after="60"/>
      </w:pPr>
      <w:r>
        <w:rPr>
          <w:rFonts w:ascii="Times New Roman" w:cs="Times New Roman" w:eastAsia="Times New Roman" w:hAnsi="Times New Roman"/>
          <w:b/>
          <w:bCs/>
          <w:color w:val="333333"/>
          <w:sz w:val="22"/>
          <w:szCs w:val="22"/>
        </w:rPr>
        <w:t xml:space="preserve">Per: Timothy K.W. Chan</w:t>
      </w:r>
    </w:p>
    <w:p>
      <w:pPr>
        <w:spacing w:before="0" w:after="60"/>
      </w:pPr>
      <w:r>
        <w:rPr>
          <w:rFonts w:ascii="Times New Roman" w:cs="Times New Roman" w:eastAsia="Times New Roman" w:hAnsi="Times New Roman"/>
          <w:color w:val="666666"/>
          <w:sz w:val="22"/>
          <w:szCs w:val="22"/>
        </w:rPr>
        <w:t xml:space="preserve">Senior Partner — Financial Regulation &amp; Compliance</w:t>
      </w:r>
    </w:p>
    <w:p>
      <w:pPr>
        <w:spacing w:before="0" w:after="60"/>
      </w:pPr>
      <w:r>
        <w:rPr>
          <w:rFonts w:ascii="Times New Roman" w:cs="Times New Roman" w:eastAsia="Times New Roman" w:hAnsi="Times New Roman"/>
          <w:color w:val="666666"/>
          <w:sz w:val="22"/>
          <w:szCs w:val="22"/>
        </w:rPr>
        <w:t xml:space="preserve">Admitted as Solicitor of the High Court of Hong Kong (1997)</w:t>
      </w:r>
    </w:p>
    <w:p>
      <w:pPr>
        <w:spacing w:before="0" w:after="200"/>
      </w:pPr>
      <w:r>
        <w:rPr>
          <w:rFonts w:ascii="Times New Roman" w:cs="Times New Roman" w:eastAsia="Times New Roman" w:hAnsi="Times New Roman"/>
          <w:color w:val="666666"/>
          <w:sz w:val="22"/>
          <w:szCs w:val="22"/>
        </w:rPr>
        <w:t xml:space="preserve">LLB (HKU), LLM (London), FCIArb</w:t>
      </w:r>
    </w:p>
    <w:p>
      <w:pPr>
        <w:spacing w:before="0" w:after="60"/>
      </w:pPr>
      <w:r>
        <w:rPr>
          <w:rFonts w:ascii="Times New Roman" w:cs="Times New Roman" w:eastAsia="Times New Roman" w:hAnsi="Times New Roman"/>
          <w:color w:val="333333"/>
          <w:sz w:val="22"/>
          <w:szCs w:val="22"/>
        </w:rPr>
        <w:t xml:space="preserve">____________________________</w:t>
      </w:r>
    </w:p>
    <w:p>
      <w:pPr>
        <w:spacing w:before="0" w:after="60"/>
      </w:pPr>
      <w:r>
        <w:rPr>
          <w:rFonts w:ascii="Times New Roman" w:cs="Times New Roman" w:eastAsia="Times New Roman" w:hAnsi="Times New Roman"/>
          <w:color w:val="666666"/>
          <w:sz w:val="22"/>
          <w:szCs w:val="22"/>
        </w:rPr>
        <w:t xml:space="preserve">Reviewed by:</w:t>
      </w:r>
    </w:p>
    <w:p>
      <w:pPr>
        <w:spacing w:before="0" w:after="60"/>
      </w:pPr>
      <w:r>
        <w:rPr>
          <w:rFonts w:ascii="Times New Roman" w:cs="Times New Roman" w:eastAsia="Times New Roman" w:hAnsi="Times New Roman"/>
          <w:b/>
          <w:bCs/>
          <w:color w:val="333333"/>
          <w:sz w:val="22"/>
          <w:szCs w:val="22"/>
        </w:rPr>
        <w:t xml:space="preserve">Jennifer S.Y. Wong</w:t>
      </w:r>
    </w:p>
    <w:p>
      <w:pPr>
        <w:spacing w:before="0" w:after="60"/>
      </w:pPr>
      <w:r>
        <w:rPr>
          <w:rFonts w:ascii="Times New Roman" w:cs="Times New Roman" w:eastAsia="Times New Roman" w:hAnsi="Times New Roman"/>
          <w:color w:val="666666"/>
          <w:sz w:val="22"/>
          <w:szCs w:val="22"/>
        </w:rPr>
        <w:t xml:space="preserve">Managing Partner</w:t>
      </w:r>
    </w:p>
    <w:p>
      <w:pPr>
        <w:spacing w:before="0" w:after="200"/>
      </w:pPr>
      <w:r>
        <w:rPr>
          <w:rFonts w:ascii="Times New Roman" w:cs="Times New Roman" w:eastAsia="Times New Roman" w:hAnsi="Times New Roman"/>
          <w:color w:val="666666"/>
          <w:sz w:val="22"/>
          <w:szCs w:val="22"/>
        </w:rPr>
        <w:t xml:space="preserve">Admitted as Solicitor of the High Court of Hong Kong (2001)</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color w:val="666666"/>
        <w:sz w:val="14"/>
        <w:szCs w:val="14"/>
      </w:rPr>
      <w:t xml:space="preserve">Chan, Wong &amp; Partners | Suite 3801, Two Exchange Square, 8 Connaught Place, Central, Hong Kong</w:t>
    </w:r>
  </w:p>
  <w:p>
    <w:pPr>
      <w:jc w:val="center"/>
    </w:pPr>
    <w:r>
      <w:rPr>
        <w:rFonts w:ascii="Times New Roman" w:cs="Times New Roman" w:eastAsia="Times New Roman" w:hAnsi="Times New Roman"/>
        <w:color w:val="666666"/>
        <w:sz w:val="14"/>
        <w:szCs w:val="14"/>
      </w:rPr>
      <w:t xml:space="preserve">Tel: +852 2523 XXXX | Fax: +852 2523 XXXX | Page </w:t>
    </w:r>
    <w:r>
      <w:rPr>
        <w:rFonts w:ascii="Times New Roman" w:cs="Times New Roman" w:eastAsia="Times New Roman" w:hAnsi="Times New Roman"/>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5B" w:sz="2" w:space="4"/>
      </w:pBdr>
      <w:spacing w:after="80"/>
      <w:jc w:val="left"/>
    </w:pPr>
    <w:r>
      <w:rPr>
        <w:rFonts w:ascii="Times New Roman" w:cs="Times New Roman" w:eastAsia="Times New Roman" w:hAnsi="Times New Roman"/>
        <w:b/>
        <w:bCs/>
        <w:color w:val="6B2D5B"/>
        <w:sz w:val="20"/>
        <w:szCs w:val="20"/>
      </w:rPr>
      <w:t xml:space="preserve">CHAN, WONG &amp; PARTNERS</w:t>
    </w:r>
    <w:r>
      <w:rPr>
        <w:rFonts w:ascii="Times New Roman" w:cs="Times New Roman" w:eastAsia="Times New Roman" w:hAnsi="Times New Roman"/>
        <w:color w:val="666666"/>
        <w:sz w:val="16"/>
        <w:szCs w:val="16"/>
      </w:rPr>
      <w:t xml:space="preserve"> | Solicitors &amp; Notaries | Hong Kong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2026-02-20T12:17:58.508Z</dcterms:created>
  <dcterms:modified xsi:type="dcterms:W3CDTF">2026-02-20T12:17:58.508Z</dcterms:modified>
</cp:coreProperties>
</file>

<file path=docProps/custom.xml><?xml version="1.0" encoding="utf-8"?>
<Properties xmlns="http://schemas.openxmlformats.org/officeDocument/2006/custom-properties" xmlns:vt="http://schemas.openxmlformats.org/officeDocument/2006/docPropsVTypes"/>
</file>