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4"/>
          <w:szCs w:val="44"/>
        </w:rPr>
        <w:t xml:space="preserve">NIHA CARBON PLATFORM</w:t>
      </w:r>
    </w:p>
    <w:p>
      <w:pPr>
        <w:spacing w:after="100"/>
        <w:jc w:val="center"/>
      </w:pPr>
      <w:r>
        <w:rPr>
          <w:rFonts w:ascii="Arial" w:cs="Arial" w:eastAsia="Arial" w:hAnsi="Arial"/>
          <w:color w:val="10B981"/>
          <w:sz w:val="32"/>
          <w:szCs w:val="32"/>
        </w:rPr>
        <w:t xml:space="preserve">Legal &amp; Regulatory Framework</w:t>
      </w:r>
    </w:p>
    <w:p>
      <w:pPr>
        <w:spacing w:after="400"/>
        <w:jc w:val="center"/>
      </w:pPr>
      <w:r>
        <w:rPr>
          <w:rFonts w:ascii="Arial" w:cs="Arial" w:eastAsia="Arial" w:hAnsi="Arial"/>
          <w:color w:val="333333"/>
          <w:sz w:val="22"/>
          <w:szCs w:val="22"/>
        </w:rPr>
        <w:t xml:space="preserve">Contractual Structures, Custody Model &amp; Market Access</w:t>
      </w:r>
    </w:p>
    <w:p>
      <w:pPr>
        <w:pBdr>
          <w:top w:val="single" w:color="10B981" w:sz="2" w:space="8"/>
        </w:pBdr>
        <w:spacing w:before="1000"/>
        <w:jc w:val="center"/>
      </w:pPr>
      <w:r>
        <w:rPr>
          <w:rFonts w:ascii="Arial" w:cs="Arial" w:eastAsia="Arial" w:hAnsi="Arial"/>
          <w:b/>
          <w:bCs/>
          <w:color w:val="1B2A4A"/>
          <w:sz w:val="20"/>
          <w:szCs w:val="20"/>
        </w:rPr>
        <w:t xml:space="preserve">CONFIDENTIAL</w:t>
      </w:r>
    </w:p>
    <w:p>
      <w:pPr>
        <w:spacing w:after="100"/>
        <w:jc w:val="center"/>
      </w:pPr>
      <w:r>
        <w:rPr>
          <w:rFonts w:ascii="Arial" w:cs="Arial" w:eastAsia="Arial" w:hAnsi="Arial"/>
          <w:color w:val="333333"/>
          <w:sz w:val="20"/>
          <w:szCs w:val="20"/>
        </w:rPr>
        <w:t xml:space="preserve">Italy Nihao Group Limited | Hong Kong SAR</w:t>
      </w:r>
    </w:p>
    <w:p>
      <w:pPr>
        <w:jc w:val="center"/>
      </w:pPr>
      <w:r>
        <w:rPr>
          <w:rFonts w:ascii="Arial" w:cs="Arial" w:eastAsia="Arial" w:hAnsi="Arial"/>
          <w:color w:val="333333"/>
          <w:sz w:val="20"/>
          <w:szCs w:val="20"/>
        </w:rPr>
        <w:t xml:space="preserve">February 2026</w:t>
      </w:r>
    </w:p>
    <w:p>
      <w:r>
        <w:br w:type="page"/>
      </w:r>
    </w:p>
    <w:p>
      <w:pPr>
        <w:pStyle w:val="Heading1"/>
        <w:spacing w:before="360" w:after="200"/>
      </w:pPr>
      <w:r>
        <w:rPr>
          <w:rFonts w:ascii="Arial" w:cs="Arial" w:eastAsia="Arial" w:hAnsi="Arial"/>
          <w:b/>
          <w:bCs/>
          <w:color w:val="1B2A4A"/>
          <w:sz w:val="32"/>
          <w:szCs w:val="32"/>
        </w:rPr>
        <w:t xml:space="preserve">PART I: Hong Kong Regulatory Advantage</w:t>
      </w:r>
    </w:p>
    <w:p>
      <w:pPr>
        <w:spacing w:after="120"/>
      </w:pPr>
      <w:r>
        <w:rPr>
          <w:rFonts w:ascii="Arial" w:cs="Arial" w:eastAsia="Arial" w:hAnsi="Arial"/>
          <w:color w:val="333333"/>
          <w:sz w:val="20"/>
          <w:szCs w:val="20"/>
        </w:rPr>
        <w:t xml:space="preserve">This section documents why Hong Kong’s current regulatory framework creates a structural advantage for cross-border carbon credit trading, and specifically why NIHA’s principal counterparty model operates lawfully without requiring a dedicated carbon trading license.</w:t>
      </w:r>
    </w:p>
    <w:p>
      <w:pPr>
        <w:pStyle w:val="Heading2"/>
        <w:spacing w:before="280" w:after="160"/>
      </w:pPr>
      <w:r>
        <w:rPr>
          <w:rFonts w:ascii="Arial" w:cs="Arial" w:eastAsia="Arial" w:hAnsi="Arial"/>
          <w:b/>
          <w:bCs/>
          <w:color w:val="1B2A4A"/>
          <w:sz w:val="26"/>
          <w:szCs w:val="26"/>
        </w:rPr>
        <w:t xml:space="preserve">1.1 No Dedicated Carbon Trading License in Hong Kong</w:t>
      </w:r>
    </w:p>
    <w:p>
      <w:pPr>
        <w:spacing w:after="120"/>
      </w:pPr>
      <w:r>
        <w:rPr>
          <w:rFonts w:ascii="Arial" w:cs="Arial" w:eastAsia="Arial" w:hAnsi="Arial"/>
          <w:color w:val="333333"/>
          <w:sz w:val="20"/>
          <w:szCs w:val="20"/>
        </w:rPr>
        <w:t xml:space="preserve">As of February 2026, Hong Kong does not have a mandatory emissions trading system (ETS), carbon border adjustment mechanism (CBAM), or carbon tax. Critically, there is no dedicated license regime for the trading of carbon credits or carbon allowances.</w:t>
      </w:r>
    </w:p>
    <w:p>
      <w:pPr>
        <w:spacing w:after="120"/>
      </w:pPr>
      <w:r>
        <w:rPr>
          <w:rFonts w:ascii="Arial" w:cs="Arial" w:eastAsia="Arial" w:hAnsi="Arial"/>
          <w:color w:val="333333"/>
          <w:sz w:val="20"/>
          <w:szCs w:val="20"/>
        </w:rPr>
        <w:t xml:space="preserve">This regulatory environment is confirmed by the following authoritative sources:</w:t>
      </w:r>
    </w:p>
    <w:p>
      <w:pPr>
        <w:pStyle w:val="ListParagraph"/>
        <w:numPr>
          <w:ilvl w:val="0"/>
          <w:numId w:val="2"/>
        </w:numPr>
        <w:spacing w:after="80"/>
      </w:pPr>
      <w:r>
        <w:rPr>
          <w:rFonts w:ascii="Arial" w:cs="Arial" w:eastAsia="Arial" w:hAnsi="Arial"/>
          <w:color w:val="333333"/>
          <w:sz w:val="20"/>
          <w:szCs w:val="20"/>
        </w:rPr>
        <w:t xml:space="preserve">the applicable regulatory authority Regulatory Framework for Carbon Markets: Carbon credits are not classified as “securities” under the Securities and Futures Ordinance (applicable securities legislation), applicable securities legislation.</w:t>
      </w:r>
    </w:p>
    <w:p>
      <w:pPr>
        <w:pStyle w:val="ListParagraph"/>
        <w:numPr>
          <w:ilvl w:val="0"/>
          <w:numId w:val="2"/>
        </w:numPr>
        <w:spacing w:after="80"/>
      </w:pPr>
      <w:r>
        <w:rPr>
          <w:rFonts w:ascii="Arial" w:cs="Arial" w:eastAsia="Arial" w:hAnsi="Arial"/>
          <w:color w:val="333333"/>
          <w:sz w:val="20"/>
          <w:szCs w:val="20"/>
        </w:rPr>
        <w:t xml:space="preserve">OTC derivative licensing regimes (Type 11 and Type 12 under applicable securities legislation) are not yet in operation. The effective date has not been confirmed by the applicable regulatory authority.</w:t>
      </w:r>
    </w:p>
    <w:p>
      <w:pPr>
        <w:pStyle w:val="ListParagraph"/>
        <w:numPr>
          <w:ilvl w:val="0"/>
          <w:numId w:val="2"/>
        </w:numPr>
        <w:spacing w:after="80"/>
      </w:pPr>
      <w:r>
        <w:rPr>
          <w:rFonts w:ascii="Arial" w:cs="Arial" w:eastAsia="Arial" w:hAnsi="Arial"/>
          <w:color w:val="333333"/>
          <w:sz w:val="20"/>
          <w:szCs w:val="20"/>
        </w:rPr>
        <w:t xml:space="preserve">Voluntary carbon credits can be traded freely on OTC bilateral basis between institutional counterparties.</w:t>
      </w:r>
    </w:p>
    <w:p>
      <w:pPr>
        <w:pStyle w:val="ListParagraph"/>
        <w:numPr>
          <w:ilvl w:val="0"/>
          <w:numId w:val="2"/>
        </w:numPr>
        <w:spacing w:after="80"/>
      </w:pPr>
      <w:r>
        <w:rPr>
          <w:rFonts w:ascii="Arial" w:cs="Arial" w:eastAsia="Arial" w:hAnsi="Arial"/>
          <w:color w:val="333333"/>
          <w:sz w:val="20"/>
          <w:szCs w:val="20"/>
        </w:rPr>
        <w:t xml:space="preserve">HKEX Core Climate, the region’s primary voluntary carbon marketplace, operates as a platform for institutional participants with HKD and RMB settlement.</w:t>
      </w:r>
    </w:p>
    <w:p>
      <w:pPr>
        <w:pStyle w:val="Heading2"/>
        <w:spacing w:before="280" w:after="160"/>
      </w:pPr>
      <w:r>
        <w:rPr>
          <w:rFonts w:ascii="Arial" w:cs="Arial" w:eastAsia="Arial" w:hAnsi="Arial"/>
          <w:b/>
          <w:bCs/>
          <w:color w:val="1B2A4A"/>
          <w:sz w:val="26"/>
          <w:szCs w:val="26"/>
        </w:rPr>
        <w:t xml:space="preserve">1.2 Why This Is an Advantage</w:t>
      </w:r>
    </w:p>
    <w:p>
      <w:pPr>
        <w:spacing w:after="120"/>
      </w:pPr>
      <w:r>
        <w:rPr>
          <w:rFonts w:ascii="Arial" w:cs="Arial" w:eastAsia="Arial" w:hAnsi="Arial"/>
          <w:color w:val="333333"/>
          <w:sz w:val="20"/>
          <w:szCs w:val="20"/>
        </w:rPr>
        <w:t xml:space="preserve">Hong Kong’s regulatory posture creates a unique structural advantage for NIHA’s cross-border carbon trading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Advantage for NIHA</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No carbon license required</w:t>
            </w:r>
          </w:p>
        </w:tc>
        <w:tc>
          <w:tcPr>
            <w:tcW w:type="dxa" w:w="656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Operations can commence immediately. No 6-12 month licensing waiting period.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OTC Type 11/12 not active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Bilateral carbon credit transactions between institutional parties do not require OTC derivative dealer registration.</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Multi-currency settlement</w:t>
            </w:r>
          </w:p>
        </w:tc>
        <w:tc>
          <w:tcPr>
            <w:tcW w:type="dxa" w:w="656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Hong Kong is the only jurisdiction globally where carbon trades can settle in USD, HKD, and RMB — essential for EU-China cross-border flows.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GBA proximity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Direct access to Greater Bay Area pilot carbon markets (Shenzhen, Guangdong). GBA Carbon Connect initiative in development.</w:t>
            </w:r>
          </w:p>
        </w:tc>
      </w:tr>
      <w:tr>
        <w:tc>
          <w:tcPr>
            <w:tcW w:type="dxa" w:w="28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Common law jurisdiction</w:t>
            </w:r>
          </w:p>
        </w:tc>
        <w:tc>
          <w:tcPr>
            <w:tcW w:type="dxa" w:w="656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Contracts governed by HK law are enforceable internationally. HKIAC arbitration recognized globally.</w:t>
            </w:r>
          </w:p>
        </w:tc>
      </w:tr>
    </w:tbl>
    <w:p>
      <w:pPr>
        <w:spacing w:after="200"/>
      </w:pPr>
    </w:p>
    <w:p>
      <w:pPr>
        <w:pStyle w:val="Heading2"/>
        <w:spacing w:before="280" w:after="160"/>
      </w:pPr>
      <w:r>
        <w:rPr>
          <w:rFonts w:ascii="Arial" w:cs="Arial" w:eastAsia="Arial" w:hAnsi="Arial"/>
          <w:b/>
          <w:bCs/>
          <w:color w:val="1B2A4A"/>
          <w:sz w:val="26"/>
          <w:szCs w:val="26"/>
        </w:rPr>
        <w:t xml:space="preserve">1.3 Regulatory References</w:t>
      </w:r>
    </w:p>
    <w:p>
      <w:pPr>
        <w:spacing w:after="120"/>
      </w:pPr>
      <w:r>
        <w:rPr>
          <w:rFonts w:ascii="Arial" w:cs="Arial" w:eastAsia="Arial" w:hAnsi="Arial"/>
          <w:color w:val="333333"/>
          <w:sz w:val="20"/>
          <w:szCs w:val="20"/>
        </w:rPr>
        <w:t xml:space="preserve">The following regulatory sources support NIHA’s operating framework:</w:t>
      </w:r>
    </w:p>
    <w:p>
      <w:pPr>
        <w:pStyle w:val="ListParagraph"/>
        <w:numPr>
          <w:ilvl w:val="0"/>
          <w:numId w:val="3"/>
        </w:numPr>
        <w:spacing w:after="80"/>
      </w:pPr>
      <w:r>
        <w:rPr>
          <w:rFonts w:ascii="Arial" w:cs="Arial" w:eastAsia="Arial" w:hAnsi="Arial"/>
          <w:color w:val="333333"/>
          <w:sz w:val="20"/>
          <w:szCs w:val="20"/>
        </w:rPr>
        <w:t xml:space="preserve">the applicable regulatory authority — Regulatory Framework for Carbon Markets (sfc.hk)</w:t>
      </w:r>
    </w:p>
    <w:p>
      <w:pPr>
        <w:pStyle w:val="ListParagraph"/>
        <w:numPr>
          <w:ilvl w:val="0"/>
          <w:numId w:val="3"/>
        </w:numPr>
        <w:spacing w:after="80"/>
      </w:pPr>
      <w:r>
        <w:rPr>
          <w:rFonts w:ascii="Arial" w:cs="Arial" w:eastAsia="Arial" w:hAnsi="Arial"/>
          <w:color w:val="333333"/>
          <w:sz w:val="20"/>
          <w:szCs w:val="20"/>
        </w:rPr>
        <w:t xml:space="preserve">Securities and Futures Ordinance (applicable securities legislation), applicable securities legislation — definition of “securities” excludes carbon credits</w:t>
      </w:r>
    </w:p>
    <w:p>
      <w:pPr>
        <w:pStyle w:val="ListParagraph"/>
        <w:numPr>
          <w:ilvl w:val="0"/>
          <w:numId w:val="3"/>
        </w:numPr>
        <w:spacing w:after="80"/>
      </w:pPr>
      <w:r>
        <w:rPr>
          <w:rFonts w:ascii="Arial" w:cs="Arial" w:eastAsia="Arial" w:hAnsi="Arial"/>
          <w:color w:val="333333"/>
          <w:sz w:val="20"/>
          <w:szCs w:val="20"/>
        </w:rPr>
        <w:t xml:space="preserve">OTC Derivative Regime (Part V, Division 7A of applicable securities legislation) — Type 11/12 licensing not yet commenced</w:t>
      </w:r>
    </w:p>
    <w:p>
      <w:pPr>
        <w:pStyle w:val="ListParagraph"/>
        <w:numPr>
          <w:ilvl w:val="0"/>
          <w:numId w:val="3"/>
        </w:numPr>
        <w:spacing w:after="80"/>
      </w:pPr>
      <w:r>
        <w:rPr>
          <w:rFonts w:ascii="Arial" w:cs="Arial" w:eastAsia="Arial" w:hAnsi="Arial"/>
          <w:color w:val="333333"/>
          <w:sz w:val="20"/>
          <w:szCs w:val="20"/>
        </w:rPr>
        <w:t xml:space="preserve">Anti-Money Laundering and Counter-Terrorist Financing Ordinance (applicable anti-money laundering legislation), applicable anti-money laundering legislation — applicable to all financial activities</w:t>
      </w:r>
    </w:p>
    <w:p>
      <w:pPr>
        <w:pStyle w:val="ListParagraph"/>
        <w:numPr>
          <w:ilvl w:val="0"/>
          <w:numId w:val="3"/>
        </w:numPr>
        <w:spacing w:after="80"/>
      </w:pPr>
      <w:r>
        <w:rPr>
          <w:rFonts w:ascii="Arial" w:cs="Arial" w:eastAsia="Arial" w:hAnsi="Arial"/>
          <w:color w:val="333333"/>
          <w:sz w:val="20"/>
          <w:szCs w:val="20"/>
        </w:rPr>
        <w:t xml:space="preserve">Companies Ordinance (CO), applicable companies legislation — corporate governance requirements</w:t>
      </w:r>
    </w:p>
    <w:p>
      <w:pPr>
        <w:pStyle w:val="ListParagraph"/>
        <w:numPr>
          <w:ilvl w:val="0"/>
          <w:numId w:val="3"/>
        </w:numPr>
        <w:spacing w:after="80"/>
      </w:pPr>
      <w:r>
        <w:rPr>
          <w:rFonts w:ascii="Arial" w:cs="Arial" w:eastAsia="Arial" w:hAnsi="Arial"/>
          <w:color w:val="333333"/>
          <w:sz w:val="20"/>
          <w:szCs w:val="20"/>
        </w:rPr>
        <w:t xml:space="preserve">HKEX Core Climate — voluntary carbon marketplace, institutional membership</w:t>
      </w:r>
    </w:p>
    <w:p>
      <w:pPr>
        <w:pStyle w:val="Heading2"/>
        <w:spacing w:before="280" w:after="160"/>
      </w:pPr>
      <w:r>
        <w:rPr>
          <w:rFonts w:ascii="Arial" w:cs="Arial" w:eastAsia="Arial" w:hAnsi="Arial"/>
          <w:b/>
          <w:bCs/>
          <w:color w:val="1B2A4A"/>
          <w:sz w:val="26"/>
          <w:szCs w:val="26"/>
        </w:rPr>
        <w:t xml:space="preserve">1.4 Compliance Measures Despite No License Requirement</w:t>
      </w:r>
    </w:p>
    <w:p>
      <w:pPr>
        <w:spacing w:after="120"/>
      </w:pPr>
      <w:r>
        <w:rPr>
          <w:rFonts w:ascii="Arial" w:cs="Arial" w:eastAsia="Arial" w:hAnsi="Arial"/>
          <w:color w:val="333333"/>
          <w:sz w:val="20"/>
          <w:szCs w:val="20"/>
        </w:rPr>
        <w:t xml:space="preserve">Although no dedicated license is required, NIHA voluntarily implements the following compliance infrastructure to establish trust and operational integrity:</w:t>
      </w:r>
    </w:p>
    <w:p>
      <w:pPr>
        <w:pStyle w:val="ListParagraph"/>
        <w:numPr>
          <w:ilvl w:val="0"/>
          <w:numId w:val="2"/>
        </w:numPr>
        <w:spacing w:after="80"/>
      </w:pPr>
      <w:r>
        <w:rPr>
          <w:rFonts w:ascii="Arial" w:cs="Arial" w:eastAsia="Arial" w:hAnsi="Arial"/>
          <w:color w:val="333333"/>
          <w:sz w:val="20"/>
          <w:szCs w:val="20"/>
        </w:rPr>
        <w:t xml:space="preserve">AML/KYC procedures aligned with applicable anti-money laundering legislation requirements</w:t>
      </w:r>
    </w:p>
    <w:p>
      <w:pPr>
        <w:pStyle w:val="ListParagraph"/>
        <w:numPr>
          <w:ilvl w:val="0"/>
          <w:numId w:val="2"/>
        </w:numPr>
        <w:spacing w:after="80"/>
      </w:pPr>
      <w:r>
        <w:rPr>
          <w:rFonts w:ascii="Arial" w:cs="Arial" w:eastAsia="Arial" w:hAnsi="Arial"/>
          <w:color w:val="333333"/>
          <w:sz w:val="20"/>
          <w:szCs w:val="20"/>
        </w:rPr>
        <w:t xml:space="preserve">Client onboarding with NDA, KYC verification, and risk profiling</w:t>
      </w:r>
    </w:p>
    <w:p>
      <w:pPr>
        <w:pStyle w:val="ListParagraph"/>
        <w:numPr>
          <w:ilvl w:val="0"/>
          <w:numId w:val="2"/>
        </w:numPr>
        <w:spacing w:after="80"/>
      </w:pPr>
      <w:r>
        <w:rPr>
          <w:rFonts w:ascii="Arial" w:cs="Arial" w:eastAsia="Arial" w:hAnsi="Arial"/>
          <w:color w:val="333333"/>
          <w:sz w:val="20"/>
          <w:szCs w:val="20"/>
        </w:rPr>
        <w:t xml:space="preserve">Segregated client accounts for funds and carbon credit custody</w:t>
      </w:r>
    </w:p>
    <w:p>
      <w:pPr>
        <w:pStyle w:val="ListParagraph"/>
        <w:numPr>
          <w:ilvl w:val="0"/>
          <w:numId w:val="2"/>
        </w:numPr>
        <w:spacing w:after="80"/>
      </w:pPr>
      <w:r>
        <w:rPr>
          <w:rFonts w:ascii="Arial" w:cs="Arial" w:eastAsia="Arial" w:hAnsi="Arial"/>
          <w:color w:val="333333"/>
          <w:sz w:val="20"/>
          <w:szCs w:val="20"/>
        </w:rPr>
        <w:t xml:space="preserve">Annual independent audit by a recognized audit firm</w:t>
      </w:r>
    </w:p>
    <w:p>
      <w:pPr>
        <w:pStyle w:val="ListParagraph"/>
        <w:numPr>
          <w:ilvl w:val="0"/>
          <w:numId w:val="2"/>
        </w:numPr>
        <w:spacing w:after="80"/>
      </w:pPr>
      <w:r>
        <w:rPr>
          <w:rFonts w:ascii="Arial" w:cs="Arial" w:eastAsia="Arial" w:hAnsi="Arial"/>
          <w:color w:val="333333"/>
          <w:sz w:val="20"/>
          <w:szCs w:val="20"/>
        </w:rPr>
        <w:t xml:space="preserve">Internal compliance officer with documented reporting procedures</w:t>
      </w:r>
    </w:p>
    <w:p>
      <w:pPr>
        <w:pStyle w:val="ListParagraph"/>
        <w:numPr>
          <w:ilvl w:val="0"/>
          <w:numId w:val="2"/>
        </w:numPr>
        <w:spacing w:after="80"/>
      </w:pPr>
      <w:r>
        <w:rPr>
          <w:rFonts w:ascii="Arial" w:cs="Arial" w:eastAsia="Arial" w:hAnsi="Arial"/>
          <w:color w:val="333333"/>
          <w:sz w:val="20"/>
          <w:szCs w:val="20"/>
        </w:rPr>
        <w:t xml:space="preserve">Transaction monitoring and suspicious activity reporting</w:t>
      </w:r>
    </w:p>
    <w:p>
      <w:r>
        <w:br w:type="page"/>
      </w:r>
    </w:p>
    <w:p>
      <w:pPr>
        <w:pStyle w:val="Heading1"/>
        <w:spacing w:before="360" w:after="200"/>
      </w:pPr>
      <w:r>
        <w:rPr>
          <w:rFonts w:ascii="Arial" w:cs="Arial" w:eastAsia="Arial" w:hAnsi="Arial"/>
          <w:b/>
          <w:bCs/>
          <w:color w:val="1B2A4A"/>
          <w:sz w:val="32"/>
          <w:szCs w:val="32"/>
        </w:rPr>
        <w:t xml:space="preserve">PART II: Contractual Framework</w:t>
      </w:r>
    </w:p>
    <w:p>
      <w:pPr>
        <w:spacing w:after="120"/>
      </w:pPr>
      <w:r>
        <w:rPr>
          <w:rFonts w:ascii="Arial" w:cs="Arial" w:eastAsia="Arial" w:hAnsi="Arial"/>
          <w:color w:val="333333"/>
          <w:sz w:val="20"/>
          <w:szCs w:val="20"/>
        </w:rPr>
        <w:t xml:space="preserve">This section outlines the recommended contractual structures for NIHA’s operations as a principal counterparty in cross-border carbon credit trading.</w:t>
      </w:r>
    </w:p>
    <w:p>
      <w:pPr>
        <w:pStyle w:val="Heading2"/>
        <w:spacing w:before="280" w:after="160"/>
      </w:pPr>
      <w:r>
        <w:rPr>
          <w:rFonts w:ascii="Arial" w:cs="Arial" w:eastAsia="Arial" w:hAnsi="Arial"/>
          <w:b/>
          <w:bCs/>
          <w:color w:val="1B2A4A"/>
          <w:sz w:val="26"/>
          <w:szCs w:val="26"/>
        </w:rPr>
        <w:t xml:space="preserve">2.1 Overview of Required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Agreement</w:t>
            </w:r>
          </w:p>
        </w:tc>
        <w:tc>
          <w:tcPr>
            <w:tcW w:type="dxa" w:w="33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Industry Standard</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Master Service Agreement (MSA)</w:t>
            </w:r>
          </w:p>
        </w:tc>
        <w:tc>
          <w:tcPr>
            <w:tcW w:type="dxa" w:w="33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Governs the overall client-NIHA relationship, defines roles, obligations, fees</w:t>
            </w:r>
          </w:p>
        </w:tc>
        <w:tc>
          <w:tcPr>
            <w:tcW w:type="dxa" w:w="33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Custom (NIHA-specific)</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Carbon Credit Custody Agreement</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Defines custody of carbon credits: legal title vs. beneficial ownership</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Based on ISDA CSA + VCC Definitions</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Client Money Agreement</w:t>
            </w:r>
          </w:p>
        </w:tc>
        <w:tc>
          <w:tcPr>
            <w:tcW w:type="dxa" w:w="33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Governs handling, segregation, and return of client funds</w:t>
            </w:r>
          </w:p>
        </w:tc>
        <w:tc>
          <w:tcPr>
            <w:tcW w:type="dxa" w:w="33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Aligned with the applicable regulatory authority Client Money Rules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Purchase/Sale Confirmation</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Individual trade confirmations for each transaction</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IETA ERPA / industry-standard carbon credit definitions Confirmation</w:t>
            </w:r>
          </w:p>
        </w:tc>
      </w:tr>
      <w:tr>
        <w:tc>
          <w:tcPr>
            <w:tcW w:type="dxa" w:w="26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Non-Disclosure Agreement</w:t>
            </w:r>
          </w:p>
        </w:tc>
        <w:tc>
          <w:tcPr>
            <w:tcW w:type="dxa" w:w="33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Protects confidential commercial and pricing information</w:t>
            </w:r>
          </w:p>
        </w:tc>
        <w:tc>
          <w:tcPr>
            <w:tcW w:type="dxa" w:w="33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Standard bilateral NDA</w:t>
            </w:r>
          </w:p>
        </w:tc>
      </w:tr>
    </w:tbl>
    <w:p>
      <w:pPr>
        <w:spacing w:after="200"/>
      </w:pPr>
    </w:p>
    <w:p>
      <w:pPr>
        <w:pStyle w:val="Heading2"/>
        <w:spacing w:before="280" w:after="160"/>
      </w:pPr>
      <w:r>
        <w:rPr>
          <w:rFonts w:ascii="Arial" w:cs="Arial" w:eastAsia="Arial" w:hAnsi="Arial"/>
          <w:b/>
          <w:bCs/>
          <w:color w:val="1B2A4A"/>
          <w:sz w:val="26"/>
          <w:szCs w:val="26"/>
        </w:rPr>
        <w:t xml:space="preserve">2.2 Carbon Credit Custody Agreement — Key Clauses</w:t>
      </w:r>
    </w:p>
    <w:p>
      <w:pPr>
        <w:spacing w:after="120"/>
      </w:pPr>
      <w:r>
        <w:rPr>
          <w:rFonts w:ascii="Arial" w:cs="Arial" w:eastAsia="Arial" w:hAnsi="Arial"/>
          <w:color w:val="333333"/>
          <w:sz w:val="20"/>
          <w:szCs w:val="20"/>
        </w:rPr>
        <w:t xml:space="preserve">The Custody Agreement is the central document defining how NIHA holds carbon credits as principal counterparty while preserving the client’s beneficial interest.</w:t>
      </w:r>
    </w:p>
    <w:p>
      <w:pPr>
        <w:spacing w:before="200" w:after="120"/>
      </w:pPr>
      <w:r>
        <w:rPr>
          <w:rFonts w:ascii="Arial" w:cs="Arial" w:eastAsia="Arial" w:hAnsi="Arial"/>
          <w:b/>
          <w:bCs/>
          <w:color w:val="1B2A4A"/>
          <w:sz w:val="22"/>
          <w:szCs w:val="22"/>
        </w:rPr>
        <w:t xml:space="preserve">A. Definitions &amp; Interpretation</w:t>
      </w:r>
    </w:p>
    <w:p>
      <w:pPr>
        <w:pStyle w:val="ListParagraph"/>
        <w:numPr>
          <w:ilvl w:val="0"/>
          <w:numId w:val="2"/>
        </w:numPr>
        <w:spacing w:after="80"/>
      </w:pPr>
      <w:r>
        <w:rPr>
          <w:rFonts w:ascii="Arial" w:cs="Arial" w:eastAsia="Arial" w:hAnsi="Arial"/>
          <w:color w:val="333333"/>
          <w:sz w:val="20"/>
          <w:szCs w:val="20"/>
        </w:rPr>
        <w:t xml:space="preserve">“Carbon Credits”: CEA (China Emission Allowances) and/or EUA (EU Allowances) held in registry accounts</w:t>
      </w:r>
    </w:p>
    <w:p>
      <w:pPr>
        <w:pStyle w:val="ListParagraph"/>
        <w:numPr>
          <w:ilvl w:val="0"/>
          <w:numId w:val="2"/>
        </w:numPr>
        <w:spacing w:after="80"/>
      </w:pPr>
      <w:r>
        <w:rPr>
          <w:rFonts w:ascii="Arial" w:cs="Arial" w:eastAsia="Arial" w:hAnsi="Arial"/>
          <w:color w:val="333333"/>
          <w:sz w:val="20"/>
          <w:szCs w:val="20"/>
        </w:rPr>
        <w:t xml:space="preserve">“Custodian”: NIHA, acting as principal counterparty and holder of legal title</w:t>
      </w:r>
    </w:p>
    <w:p>
      <w:pPr>
        <w:pStyle w:val="ListParagraph"/>
        <w:numPr>
          <w:ilvl w:val="0"/>
          <w:numId w:val="2"/>
        </w:numPr>
        <w:spacing w:after="80"/>
      </w:pPr>
      <w:r>
        <w:rPr>
          <w:rFonts w:ascii="Arial" w:cs="Arial" w:eastAsia="Arial" w:hAnsi="Arial"/>
          <w:color w:val="333333"/>
          <w:sz w:val="20"/>
          <w:szCs w:val="20"/>
        </w:rPr>
        <w:t xml:space="preserve">“Beneficial Owner”: The Client, retaining economic interest in the carbon credits</w:t>
      </w:r>
    </w:p>
    <w:p>
      <w:pPr>
        <w:pStyle w:val="ListParagraph"/>
        <w:numPr>
          <w:ilvl w:val="0"/>
          <w:numId w:val="2"/>
        </w:numPr>
        <w:spacing w:after="80"/>
      </w:pPr>
      <w:r>
        <w:rPr>
          <w:rFonts w:ascii="Arial" w:cs="Arial" w:eastAsia="Arial" w:hAnsi="Arial"/>
          <w:color w:val="333333"/>
          <w:sz w:val="20"/>
          <w:szCs w:val="20"/>
        </w:rPr>
        <w:t xml:space="preserve">“Registry Account”: Account at the relevant emissions registry (EU Registry, China pilot ETS registry, or voluntary standard registry)</w:t>
      </w:r>
    </w:p>
    <w:p>
      <w:pPr>
        <w:spacing w:before="200" w:after="120"/>
      </w:pPr>
      <w:r>
        <w:rPr>
          <w:rFonts w:ascii="Arial" w:cs="Arial" w:eastAsia="Arial" w:hAnsi="Arial"/>
          <w:b/>
          <w:bCs/>
          <w:color w:val="1B2A4A"/>
          <w:sz w:val="22"/>
          <w:szCs w:val="22"/>
        </w:rPr>
        <w:t xml:space="preserve">B. Custody &amp; Title Structure</w:t>
      </w:r>
    </w:p>
    <w:p>
      <w:pPr>
        <w:pStyle w:val="ListParagraph"/>
        <w:numPr>
          <w:ilvl w:val="0"/>
          <w:numId w:val="2"/>
        </w:numPr>
        <w:spacing w:after="80"/>
      </w:pPr>
      <w:r>
        <w:rPr>
          <w:rFonts w:ascii="Arial" w:cs="Arial" w:eastAsia="Arial" w:hAnsi="Arial"/>
          <w:color w:val="333333"/>
          <w:sz w:val="20"/>
          <w:szCs w:val="20"/>
        </w:rPr>
        <w:t xml:space="preserve">NIHA acquires carbon credits as principal — legal title vests in NIHA upon acquisition</w:t>
      </w:r>
    </w:p>
    <w:p>
      <w:pPr>
        <w:pStyle w:val="ListParagraph"/>
        <w:numPr>
          <w:ilvl w:val="0"/>
          <w:numId w:val="2"/>
        </w:numPr>
        <w:spacing w:after="80"/>
      </w:pPr>
      <w:r>
        <w:rPr>
          <w:rFonts w:ascii="Arial" w:cs="Arial" w:eastAsia="Arial" w:hAnsi="Arial"/>
          <w:color w:val="333333"/>
          <w:sz w:val="20"/>
          <w:szCs w:val="20"/>
        </w:rPr>
        <w:t xml:space="preserve">Client holds beneficial ownership through the Custody Agreement</w:t>
      </w:r>
    </w:p>
    <w:p>
      <w:pPr>
        <w:pStyle w:val="ListParagraph"/>
        <w:numPr>
          <w:ilvl w:val="0"/>
          <w:numId w:val="2"/>
        </w:numPr>
        <w:spacing w:after="80"/>
      </w:pPr>
      <w:r>
        <w:rPr>
          <w:rFonts w:ascii="Arial" w:cs="Arial" w:eastAsia="Arial" w:hAnsi="Arial"/>
          <w:color w:val="333333"/>
          <w:sz w:val="20"/>
          <w:szCs w:val="20"/>
        </w:rPr>
        <w:t xml:space="preserve">NIHA maintains a client ledger recording each Client’s beneficial interest, volumes, acquisition price, and date</w:t>
      </w:r>
    </w:p>
    <w:p>
      <w:pPr>
        <w:pStyle w:val="ListParagraph"/>
        <w:numPr>
          <w:ilvl w:val="0"/>
          <w:numId w:val="2"/>
        </w:numPr>
        <w:spacing w:after="80"/>
      </w:pPr>
      <w:r>
        <w:rPr>
          <w:rFonts w:ascii="Arial" w:cs="Arial" w:eastAsia="Arial" w:hAnsi="Arial"/>
          <w:color w:val="333333"/>
          <w:sz w:val="20"/>
          <w:szCs w:val="20"/>
        </w:rPr>
        <w:t xml:space="preserve">Carbon credits are segregated per client in NIHA’s internal books (not commingled for trading purposes)</w:t>
      </w:r>
    </w:p>
    <w:p>
      <w:pPr>
        <w:pStyle w:val="ListParagraph"/>
        <w:numPr>
          <w:ilvl w:val="0"/>
          <w:numId w:val="2"/>
        </w:numPr>
        <w:spacing w:after="80"/>
      </w:pPr>
      <w:r>
        <w:rPr>
          <w:rFonts w:ascii="Arial" w:cs="Arial" w:eastAsia="Arial" w:hAnsi="Arial"/>
          <w:color w:val="333333"/>
          <w:sz w:val="20"/>
          <w:szCs w:val="20"/>
        </w:rPr>
        <w:t xml:space="preserve">NIHA may hold credits in omnibus registry accounts but must maintain sub-account records per client</w:t>
      </w:r>
    </w:p>
    <w:p>
      <w:pPr>
        <w:spacing w:before="200" w:after="120"/>
      </w:pPr>
      <w:r>
        <w:rPr>
          <w:rFonts w:ascii="Arial" w:cs="Arial" w:eastAsia="Arial" w:hAnsi="Arial"/>
          <w:b/>
          <w:bCs/>
          <w:color w:val="1B2A4A"/>
          <w:sz w:val="22"/>
          <w:szCs w:val="22"/>
        </w:rPr>
        <w:t xml:space="preserve">C. Client’s Rights</w:t>
      </w:r>
    </w:p>
    <w:p>
      <w:pPr>
        <w:pStyle w:val="ListParagraph"/>
        <w:numPr>
          <w:ilvl w:val="0"/>
          <w:numId w:val="2"/>
        </w:numPr>
        <w:spacing w:after="80"/>
      </w:pPr>
      <w:r>
        <w:rPr>
          <w:rFonts w:ascii="Arial" w:cs="Arial" w:eastAsia="Arial" w:hAnsi="Arial"/>
          <w:color w:val="333333"/>
          <w:sz w:val="20"/>
          <w:szCs w:val="20"/>
        </w:rPr>
        <w:t xml:space="preserve">Right to instruct delivery, transfer, or retirement of credits at any time</w:t>
      </w:r>
    </w:p>
    <w:p>
      <w:pPr>
        <w:pStyle w:val="ListParagraph"/>
        <w:numPr>
          <w:ilvl w:val="0"/>
          <w:numId w:val="2"/>
        </w:numPr>
        <w:spacing w:after="80"/>
      </w:pPr>
      <w:r>
        <w:rPr>
          <w:rFonts w:ascii="Arial" w:cs="Arial" w:eastAsia="Arial" w:hAnsi="Arial"/>
          <w:color w:val="333333"/>
          <w:sz w:val="20"/>
          <w:szCs w:val="20"/>
        </w:rPr>
        <w:t xml:space="preserve">Right to receive periodic statements showing holdings, transactions, and valuations</w:t>
      </w:r>
    </w:p>
    <w:p>
      <w:pPr>
        <w:pStyle w:val="ListParagraph"/>
        <w:numPr>
          <w:ilvl w:val="0"/>
          <w:numId w:val="2"/>
        </w:numPr>
        <w:spacing w:after="80"/>
      </w:pPr>
      <w:r>
        <w:rPr>
          <w:rFonts w:ascii="Arial" w:cs="Arial" w:eastAsia="Arial" w:hAnsi="Arial"/>
          <w:color w:val="333333"/>
          <w:sz w:val="20"/>
          <w:szCs w:val="20"/>
        </w:rPr>
        <w:t xml:space="preserve">Right to request conversion from CEA to EUA (or vice versa) via NIHA’s principal counterparty mechanism</w:t>
      </w:r>
    </w:p>
    <w:p>
      <w:pPr>
        <w:pStyle w:val="ListParagraph"/>
        <w:numPr>
          <w:ilvl w:val="0"/>
          <w:numId w:val="2"/>
        </w:numPr>
        <w:spacing w:after="80"/>
      </w:pPr>
      <w:r>
        <w:rPr>
          <w:rFonts w:ascii="Arial" w:cs="Arial" w:eastAsia="Arial" w:hAnsi="Arial"/>
          <w:color w:val="333333"/>
          <w:sz w:val="20"/>
          <w:szCs w:val="20"/>
        </w:rPr>
        <w:t xml:space="preserve">Beneficial ownership is not affected by NIHA’s insolvency — credits held on trust basis are ring-fenced</w:t>
      </w:r>
    </w:p>
    <w:p>
      <w:pPr>
        <w:spacing w:before="200" w:after="120"/>
      </w:pPr>
      <w:r>
        <w:rPr>
          <w:rFonts w:ascii="Arial" w:cs="Arial" w:eastAsia="Arial" w:hAnsi="Arial"/>
          <w:b/>
          <w:bCs/>
          <w:color w:val="1B2A4A"/>
          <w:sz w:val="22"/>
          <w:szCs w:val="22"/>
        </w:rPr>
        <w:t xml:space="preserve">D. NIHA’s Obligations</w:t>
      </w:r>
    </w:p>
    <w:p>
      <w:pPr>
        <w:pStyle w:val="ListParagraph"/>
        <w:numPr>
          <w:ilvl w:val="0"/>
          <w:numId w:val="2"/>
        </w:numPr>
        <w:spacing w:after="80"/>
      </w:pPr>
      <w:r>
        <w:rPr>
          <w:rFonts w:ascii="Arial" w:cs="Arial" w:eastAsia="Arial" w:hAnsi="Arial"/>
          <w:color w:val="333333"/>
          <w:sz w:val="20"/>
          <w:szCs w:val="20"/>
        </w:rPr>
        <w:t xml:space="preserve">Maintain accurate and auditable records of all client holdings</w:t>
      </w:r>
    </w:p>
    <w:p>
      <w:pPr>
        <w:pStyle w:val="ListParagraph"/>
        <w:numPr>
          <w:ilvl w:val="0"/>
          <w:numId w:val="2"/>
        </w:numPr>
        <w:spacing w:after="80"/>
      </w:pPr>
      <w:r>
        <w:rPr>
          <w:rFonts w:ascii="Arial" w:cs="Arial" w:eastAsia="Arial" w:hAnsi="Arial"/>
          <w:color w:val="333333"/>
          <w:sz w:val="20"/>
          <w:szCs w:val="20"/>
        </w:rPr>
        <w:t xml:space="preserve">Safeguard registry account credentials and maintain operational security</w:t>
      </w:r>
    </w:p>
    <w:p>
      <w:pPr>
        <w:pStyle w:val="ListParagraph"/>
        <w:numPr>
          <w:ilvl w:val="0"/>
          <w:numId w:val="2"/>
        </w:numPr>
        <w:spacing w:after="80"/>
      </w:pPr>
      <w:r>
        <w:rPr>
          <w:rFonts w:ascii="Arial" w:cs="Arial" w:eastAsia="Arial" w:hAnsi="Arial"/>
          <w:color w:val="333333"/>
          <w:sz w:val="20"/>
          <w:szCs w:val="20"/>
        </w:rPr>
        <w:t xml:space="preserve">Not pledge, lend, or encumber client credits without prior written consent</w:t>
      </w:r>
    </w:p>
    <w:p>
      <w:pPr>
        <w:pStyle w:val="ListParagraph"/>
        <w:numPr>
          <w:ilvl w:val="0"/>
          <w:numId w:val="2"/>
        </w:numPr>
        <w:spacing w:after="80"/>
      </w:pPr>
      <w:r>
        <w:rPr>
          <w:rFonts w:ascii="Arial" w:cs="Arial" w:eastAsia="Arial" w:hAnsi="Arial"/>
          <w:color w:val="333333"/>
          <w:sz w:val="20"/>
          <w:szCs w:val="20"/>
        </w:rPr>
        <w:t xml:space="preserve">Execute client instructions within T+2 to T+5 settlement window</w:t>
      </w:r>
    </w:p>
    <w:p>
      <w:pPr>
        <w:pStyle w:val="ListParagraph"/>
        <w:numPr>
          <w:ilvl w:val="0"/>
          <w:numId w:val="2"/>
        </w:numPr>
        <w:spacing w:after="80"/>
      </w:pPr>
      <w:r>
        <w:rPr>
          <w:rFonts w:ascii="Arial" w:cs="Arial" w:eastAsia="Arial" w:hAnsi="Arial"/>
          <w:color w:val="333333"/>
          <w:sz w:val="20"/>
          <w:szCs w:val="20"/>
        </w:rPr>
        <w:t xml:space="preserve">Provide quarterly custody reports and annual audit confirmation</w:t>
      </w:r>
    </w:p>
    <w:p>
      <w:pPr>
        <w:spacing w:before="200" w:after="120"/>
      </w:pPr>
      <w:r>
        <w:rPr>
          <w:rFonts w:ascii="Arial" w:cs="Arial" w:eastAsia="Arial" w:hAnsi="Arial"/>
          <w:b/>
          <w:bCs/>
          <w:color w:val="1B2A4A"/>
          <w:sz w:val="22"/>
          <w:szCs w:val="22"/>
        </w:rPr>
        <w:t xml:space="preserve">E. Fees &amp; Charges</w:t>
      </w:r>
    </w:p>
    <w:p>
      <w:pPr>
        <w:pStyle w:val="ListParagraph"/>
        <w:numPr>
          <w:ilvl w:val="0"/>
          <w:numId w:val="2"/>
        </w:numPr>
        <w:spacing w:after="80"/>
      </w:pPr>
      <w:r>
        <w:rPr>
          <w:rFonts w:ascii="Arial" w:cs="Arial" w:eastAsia="Arial" w:hAnsi="Arial"/>
          <w:color w:val="333333"/>
          <w:sz w:val="20"/>
          <w:szCs w:val="20"/>
        </w:rPr>
        <w:t xml:space="preserve">Custody fee: [X]% per annum on the value of credits held, calculated quarterly</w:t>
      </w:r>
    </w:p>
    <w:p>
      <w:pPr>
        <w:pStyle w:val="ListParagraph"/>
        <w:numPr>
          <w:ilvl w:val="0"/>
          <w:numId w:val="2"/>
        </w:numPr>
        <w:spacing w:after="80"/>
      </w:pPr>
      <w:r>
        <w:rPr>
          <w:rFonts w:ascii="Arial" w:cs="Arial" w:eastAsia="Arial" w:hAnsi="Arial"/>
          <w:color w:val="333333"/>
          <w:sz w:val="20"/>
          <w:szCs w:val="20"/>
        </w:rPr>
        <w:t xml:space="preserve">Transaction fee: [X]% per transaction for acquisition, conversion, or delivery</w:t>
      </w:r>
    </w:p>
    <w:p>
      <w:pPr>
        <w:pStyle w:val="ListParagraph"/>
        <w:numPr>
          <w:ilvl w:val="0"/>
          <w:numId w:val="2"/>
        </w:numPr>
        <w:spacing w:after="80"/>
      </w:pPr>
      <w:r>
        <w:rPr>
          <w:rFonts w:ascii="Arial" w:cs="Arial" w:eastAsia="Arial" w:hAnsi="Arial"/>
          <w:color w:val="333333"/>
          <w:sz w:val="20"/>
          <w:szCs w:val="20"/>
        </w:rPr>
        <w:t xml:space="preserve">Registry fees: passed through at cost</w:t>
      </w:r>
    </w:p>
    <w:p>
      <w:pPr>
        <w:spacing w:before="200" w:after="120"/>
      </w:pPr>
      <w:r>
        <w:rPr>
          <w:rFonts w:ascii="Arial" w:cs="Arial" w:eastAsia="Arial" w:hAnsi="Arial"/>
          <w:b/>
          <w:bCs/>
          <w:color w:val="1B2A4A"/>
          <w:sz w:val="22"/>
          <w:szCs w:val="22"/>
        </w:rPr>
        <w:t xml:space="preserve">F. Risk Disclosures</w:t>
      </w:r>
    </w:p>
    <w:p>
      <w:pPr>
        <w:pStyle w:val="ListParagraph"/>
        <w:numPr>
          <w:ilvl w:val="0"/>
          <w:numId w:val="2"/>
        </w:numPr>
        <w:spacing w:after="80"/>
      </w:pPr>
      <w:r>
        <w:rPr>
          <w:rFonts w:ascii="Arial" w:cs="Arial" w:eastAsia="Arial" w:hAnsi="Arial"/>
          <w:color w:val="333333"/>
          <w:sz w:val="20"/>
          <w:szCs w:val="20"/>
        </w:rPr>
        <w:t xml:space="preserve">Registry risk: credits exist only as digital entries in government or standard registries</w:t>
      </w:r>
    </w:p>
    <w:p>
      <w:pPr>
        <w:pStyle w:val="ListParagraph"/>
        <w:numPr>
          <w:ilvl w:val="0"/>
          <w:numId w:val="2"/>
        </w:numPr>
        <w:spacing w:after="80"/>
      </w:pPr>
      <w:r>
        <w:rPr>
          <w:rFonts w:ascii="Arial" w:cs="Arial" w:eastAsia="Arial" w:hAnsi="Arial"/>
          <w:color w:val="333333"/>
          <w:sz w:val="20"/>
          <w:szCs w:val="20"/>
        </w:rPr>
        <w:t xml:space="preserve">Counterparty risk: NIHA’s ability to fulfill obligations depends on its solvency</w:t>
      </w:r>
    </w:p>
    <w:p>
      <w:pPr>
        <w:pStyle w:val="ListParagraph"/>
        <w:numPr>
          <w:ilvl w:val="0"/>
          <w:numId w:val="2"/>
        </w:numPr>
        <w:spacing w:after="80"/>
      </w:pPr>
      <w:r>
        <w:rPr>
          <w:rFonts w:ascii="Arial" w:cs="Arial" w:eastAsia="Arial" w:hAnsi="Arial"/>
          <w:color w:val="333333"/>
          <w:sz w:val="20"/>
          <w:szCs w:val="20"/>
        </w:rPr>
        <w:t xml:space="preserve">Market risk: carbon credit prices fluctuate based on supply, regulation, and policy</w:t>
      </w:r>
    </w:p>
    <w:p>
      <w:pPr>
        <w:pStyle w:val="ListParagraph"/>
        <w:numPr>
          <w:ilvl w:val="0"/>
          <w:numId w:val="2"/>
        </w:numPr>
        <w:spacing w:after="80"/>
      </w:pPr>
      <w:r>
        <w:rPr>
          <w:rFonts w:ascii="Arial" w:cs="Arial" w:eastAsia="Arial" w:hAnsi="Arial"/>
          <w:color w:val="333333"/>
          <w:sz w:val="20"/>
          <w:szCs w:val="20"/>
        </w:rPr>
        <w:t xml:space="preserve">Regulatory risk: changes in ETS rules may affect credit validity or transferability</w:t>
      </w:r>
    </w:p>
    <w:p>
      <w:pPr>
        <w:pStyle w:val="ListParagraph"/>
        <w:numPr>
          <w:ilvl w:val="0"/>
          <w:numId w:val="2"/>
        </w:numPr>
        <w:spacing w:after="80"/>
      </w:pPr>
      <w:r>
        <w:rPr>
          <w:rFonts w:ascii="Arial" w:cs="Arial" w:eastAsia="Arial" w:hAnsi="Arial"/>
          <w:color w:val="333333"/>
          <w:sz w:val="20"/>
          <w:szCs w:val="20"/>
        </w:rPr>
        <w:t xml:space="preserve">Cross-border risk: currency fluctuations between EUR, CNY, and HKD</w:t>
      </w:r>
    </w:p>
    <w:p>
      <w:pPr>
        <w:spacing w:before="200" w:after="120"/>
      </w:pPr>
      <w:r>
        <w:rPr>
          <w:rFonts w:ascii="Arial" w:cs="Arial" w:eastAsia="Arial" w:hAnsi="Arial"/>
          <w:b/>
          <w:bCs/>
          <w:color w:val="1B2A4A"/>
          <w:sz w:val="22"/>
          <w:szCs w:val="22"/>
        </w:rPr>
        <w:t xml:space="preserve">G. Governing Law &amp; Dispute Resolution</w:t>
      </w:r>
    </w:p>
    <w:p>
      <w:pPr>
        <w:pStyle w:val="ListParagraph"/>
        <w:numPr>
          <w:ilvl w:val="0"/>
          <w:numId w:val="2"/>
        </w:numPr>
        <w:spacing w:after="80"/>
      </w:pPr>
      <w:r>
        <w:rPr>
          <w:rFonts w:ascii="Arial" w:cs="Arial" w:eastAsia="Arial" w:hAnsi="Arial"/>
          <w:color w:val="333333"/>
          <w:sz w:val="20"/>
          <w:szCs w:val="20"/>
        </w:rPr>
        <w:t xml:space="preserve">Governing law: Laws of Hong Kong SAR</w:t>
      </w:r>
    </w:p>
    <w:p>
      <w:pPr>
        <w:pStyle w:val="ListParagraph"/>
        <w:numPr>
          <w:ilvl w:val="0"/>
          <w:numId w:val="2"/>
        </w:numPr>
        <w:spacing w:after="80"/>
      </w:pPr>
      <w:r>
        <w:rPr>
          <w:rFonts w:ascii="Arial" w:cs="Arial" w:eastAsia="Arial" w:hAnsi="Arial"/>
          <w:color w:val="333333"/>
          <w:sz w:val="20"/>
          <w:szCs w:val="20"/>
        </w:rPr>
        <w:t xml:space="preserve">Dispute resolution: HKIAC arbitration under UNCITRAL rules</w:t>
      </w:r>
    </w:p>
    <w:p>
      <w:pPr>
        <w:pStyle w:val="ListParagraph"/>
        <w:numPr>
          <w:ilvl w:val="0"/>
          <w:numId w:val="2"/>
        </w:numPr>
        <w:spacing w:after="80"/>
      </w:pPr>
      <w:r>
        <w:rPr>
          <w:rFonts w:ascii="Arial" w:cs="Arial" w:eastAsia="Arial" w:hAnsi="Arial"/>
          <w:color w:val="333333"/>
          <w:sz w:val="20"/>
          <w:szCs w:val="20"/>
        </w:rPr>
        <w:t xml:space="preserve">Seat of arbitration: Hong Kong</w:t>
      </w:r>
    </w:p>
    <w:p>
      <w:pPr>
        <w:pStyle w:val="ListParagraph"/>
        <w:numPr>
          <w:ilvl w:val="0"/>
          <w:numId w:val="2"/>
        </w:numPr>
        <w:spacing w:after="80"/>
      </w:pPr>
      <w:r>
        <w:rPr>
          <w:rFonts w:ascii="Arial" w:cs="Arial" w:eastAsia="Arial" w:hAnsi="Arial"/>
          <w:color w:val="333333"/>
          <w:sz w:val="20"/>
          <w:szCs w:val="20"/>
        </w:rPr>
        <w:t xml:space="preserve">Language: English</w:t>
      </w:r>
    </w:p>
    <w:p>
      <w:r>
        <w:br w:type="page"/>
      </w:r>
    </w:p>
    <w:p>
      <w:pPr>
        <w:pStyle w:val="Heading2"/>
        <w:spacing w:before="280" w:after="160"/>
      </w:pPr>
      <w:r>
        <w:rPr>
          <w:rFonts w:ascii="Arial" w:cs="Arial" w:eastAsia="Arial" w:hAnsi="Arial"/>
          <w:b/>
          <w:bCs/>
          <w:color w:val="1B2A4A"/>
          <w:sz w:val="26"/>
          <w:szCs w:val="26"/>
        </w:rPr>
        <w:t xml:space="preserve">2.3 Client Money Agreement — Key Clauses</w:t>
      </w:r>
    </w:p>
    <w:p>
      <w:pPr>
        <w:spacing w:after="120"/>
      </w:pPr>
      <w:r>
        <w:rPr>
          <w:rFonts w:ascii="Arial" w:cs="Arial" w:eastAsia="Arial" w:hAnsi="Arial"/>
          <w:color w:val="333333"/>
          <w:sz w:val="20"/>
          <w:szCs w:val="20"/>
        </w:rPr>
        <w:t xml:space="preserve">Governs how NIHA handles client funds deposited for carbon credit transactions.</w:t>
      </w:r>
    </w:p>
    <w:p>
      <w:pPr>
        <w:spacing w:before="200" w:after="120"/>
      </w:pPr>
      <w:r>
        <w:rPr>
          <w:rFonts w:ascii="Arial" w:cs="Arial" w:eastAsia="Arial" w:hAnsi="Arial"/>
          <w:b/>
          <w:bCs/>
          <w:color w:val="1B2A4A"/>
          <w:sz w:val="22"/>
          <w:szCs w:val="22"/>
        </w:rPr>
        <w:t xml:space="preserve">A. Segregation of Funds</w:t>
      </w:r>
    </w:p>
    <w:p>
      <w:pPr>
        <w:pStyle w:val="ListParagraph"/>
        <w:numPr>
          <w:ilvl w:val="0"/>
          <w:numId w:val="2"/>
        </w:numPr>
        <w:spacing w:after="80"/>
      </w:pPr>
      <w:r>
        <w:rPr>
          <w:rFonts w:ascii="Arial" w:cs="Arial" w:eastAsia="Arial" w:hAnsi="Arial"/>
          <w:color w:val="333333"/>
          <w:sz w:val="20"/>
          <w:szCs w:val="20"/>
        </w:rPr>
        <w:t xml:space="preserve">Client money held in segregated bank accounts, separate from NIHA’s operational accounts</w:t>
      </w:r>
    </w:p>
    <w:p>
      <w:pPr>
        <w:pStyle w:val="ListParagraph"/>
        <w:numPr>
          <w:ilvl w:val="0"/>
          <w:numId w:val="2"/>
        </w:numPr>
        <w:spacing w:after="80"/>
      </w:pPr>
      <w:r>
        <w:rPr>
          <w:rFonts w:ascii="Arial" w:cs="Arial" w:eastAsia="Arial" w:hAnsi="Arial"/>
          <w:color w:val="333333"/>
          <w:sz w:val="20"/>
          <w:szCs w:val="20"/>
        </w:rPr>
        <w:t xml:space="preserve">Designated accounts at a licensed Hong Kong bank</w:t>
      </w:r>
    </w:p>
    <w:p>
      <w:pPr>
        <w:pStyle w:val="ListParagraph"/>
        <w:numPr>
          <w:ilvl w:val="0"/>
          <w:numId w:val="2"/>
        </w:numPr>
        <w:spacing w:after="80"/>
      </w:pPr>
      <w:r>
        <w:rPr>
          <w:rFonts w:ascii="Arial" w:cs="Arial" w:eastAsia="Arial" w:hAnsi="Arial"/>
          <w:color w:val="333333"/>
          <w:sz w:val="20"/>
          <w:szCs w:val="20"/>
        </w:rPr>
        <w:t xml:space="preserve">NIHA cannot use client money for its own business operations</w:t>
      </w:r>
    </w:p>
    <w:p>
      <w:pPr>
        <w:spacing w:before="200" w:after="120"/>
      </w:pPr>
      <w:r>
        <w:rPr>
          <w:rFonts w:ascii="Arial" w:cs="Arial" w:eastAsia="Arial" w:hAnsi="Arial"/>
          <w:b/>
          <w:bCs/>
          <w:color w:val="1B2A4A"/>
          <w:sz w:val="22"/>
          <w:szCs w:val="22"/>
        </w:rPr>
        <w:t xml:space="preserve">B. Use of Client Money</w:t>
      </w:r>
    </w:p>
    <w:p>
      <w:pPr>
        <w:pStyle w:val="ListParagraph"/>
        <w:numPr>
          <w:ilvl w:val="0"/>
          <w:numId w:val="2"/>
        </w:numPr>
        <w:spacing w:after="80"/>
      </w:pPr>
      <w:r>
        <w:rPr>
          <w:rFonts w:ascii="Arial" w:cs="Arial" w:eastAsia="Arial" w:hAnsi="Arial"/>
          <w:color w:val="333333"/>
          <w:sz w:val="20"/>
          <w:szCs w:val="20"/>
        </w:rPr>
        <w:t xml:space="preserve">Funds may only be used to: (i) execute carbon credit transactions as instructed by Client; (ii) pay fees due to NIHA; (iii) settle obligations arising from Client’s transactions</w:t>
      </w:r>
    </w:p>
    <w:p>
      <w:pPr>
        <w:pStyle w:val="ListParagraph"/>
        <w:numPr>
          <w:ilvl w:val="0"/>
          <w:numId w:val="2"/>
        </w:numPr>
        <w:spacing w:after="80"/>
      </w:pPr>
      <w:r>
        <w:rPr>
          <w:rFonts w:ascii="Arial" w:cs="Arial" w:eastAsia="Arial" w:hAnsi="Arial"/>
          <w:color w:val="333333"/>
          <w:sz w:val="20"/>
          <w:szCs w:val="20"/>
        </w:rPr>
        <w:t xml:space="preserve">Any withdrawal requires documented Client instruction or contractual basis</w:t>
      </w:r>
    </w:p>
    <w:p>
      <w:pPr>
        <w:spacing w:before="200" w:after="120"/>
      </w:pPr>
      <w:r>
        <w:rPr>
          <w:rFonts w:ascii="Arial" w:cs="Arial" w:eastAsia="Arial" w:hAnsi="Arial"/>
          <w:b/>
          <w:bCs/>
          <w:color w:val="1B2A4A"/>
          <w:sz w:val="22"/>
          <w:szCs w:val="22"/>
        </w:rPr>
        <w:t xml:space="preserve">C. Interest &amp; Returns</w:t>
      </w:r>
    </w:p>
    <w:p>
      <w:pPr>
        <w:pStyle w:val="ListParagraph"/>
        <w:numPr>
          <w:ilvl w:val="0"/>
          <w:numId w:val="2"/>
        </w:numPr>
        <w:spacing w:after="80"/>
      </w:pPr>
      <w:r>
        <w:rPr>
          <w:rFonts w:ascii="Arial" w:cs="Arial" w:eastAsia="Arial" w:hAnsi="Arial"/>
          <w:color w:val="333333"/>
          <w:sz w:val="20"/>
          <w:szCs w:val="20"/>
        </w:rPr>
        <w:t xml:space="preserve">Interest earned on segregated accounts accrues to the Client unless otherwise agreed</w:t>
      </w:r>
    </w:p>
    <w:p>
      <w:pPr>
        <w:pStyle w:val="ListParagraph"/>
        <w:numPr>
          <w:ilvl w:val="0"/>
          <w:numId w:val="2"/>
        </w:numPr>
        <w:spacing w:after="80"/>
      </w:pPr>
      <w:r>
        <w:rPr>
          <w:rFonts w:ascii="Arial" w:cs="Arial" w:eastAsia="Arial" w:hAnsi="Arial"/>
          <w:color w:val="333333"/>
          <w:sz w:val="20"/>
          <w:szCs w:val="20"/>
        </w:rPr>
        <w:t xml:space="preserve">Unused balances returned to Client within [X] business days of written request</w:t>
      </w:r>
    </w:p>
    <w:p>
      <w:pPr>
        <w:spacing w:before="200" w:after="120"/>
      </w:pPr>
      <w:r>
        <w:rPr>
          <w:rFonts w:ascii="Arial" w:cs="Arial" w:eastAsia="Arial" w:hAnsi="Arial"/>
          <w:b/>
          <w:bCs/>
          <w:color w:val="1B2A4A"/>
          <w:sz w:val="22"/>
          <w:szCs w:val="22"/>
        </w:rPr>
        <w:t xml:space="preserve">D. Reporting</w:t>
      </w:r>
    </w:p>
    <w:p>
      <w:pPr>
        <w:pStyle w:val="ListParagraph"/>
        <w:numPr>
          <w:ilvl w:val="0"/>
          <w:numId w:val="2"/>
        </w:numPr>
        <w:spacing w:after="80"/>
      </w:pPr>
      <w:r>
        <w:rPr>
          <w:rFonts w:ascii="Arial" w:cs="Arial" w:eastAsia="Arial" w:hAnsi="Arial"/>
          <w:color w:val="333333"/>
          <w:sz w:val="20"/>
          <w:szCs w:val="20"/>
        </w:rPr>
        <w:t xml:space="preserve">Monthly account statements showing deposits, withdrawals, fees, and balance</w:t>
      </w:r>
    </w:p>
    <w:p>
      <w:pPr>
        <w:pStyle w:val="ListParagraph"/>
        <w:numPr>
          <w:ilvl w:val="0"/>
          <w:numId w:val="2"/>
        </w:numPr>
        <w:spacing w:after="80"/>
      </w:pPr>
      <w:r>
        <w:rPr>
          <w:rFonts w:ascii="Arial" w:cs="Arial" w:eastAsia="Arial" w:hAnsi="Arial"/>
          <w:color w:val="333333"/>
          <w:sz w:val="20"/>
          <w:szCs w:val="20"/>
        </w:rPr>
        <w:t xml:space="preserve">Annual reconciliation confirmed by independent auditor</w:t>
      </w:r>
    </w:p>
    <w:p>
      <w:r>
        <w:br w:type="page"/>
      </w:r>
    </w:p>
    <w:p>
      <w:pPr>
        <w:pStyle w:val="Heading2"/>
        <w:spacing w:before="280" w:after="160"/>
      </w:pPr>
      <w:r>
        <w:rPr>
          <w:rFonts w:ascii="Arial" w:cs="Arial" w:eastAsia="Arial" w:hAnsi="Arial"/>
          <w:b/>
          <w:bCs/>
          <w:color w:val="1B2A4A"/>
          <w:sz w:val="26"/>
          <w:szCs w:val="26"/>
        </w:rPr>
        <w:t xml:space="preserve">2.4 Master Service Agreement (MSA) — Key Structure</w:t>
      </w:r>
    </w:p>
    <w:p>
      <w:pPr>
        <w:spacing w:after="120"/>
      </w:pPr>
      <w:r>
        <w:rPr>
          <w:rFonts w:ascii="Arial" w:cs="Arial" w:eastAsia="Arial" w:hAnsi="Arial"/>
          <w:color w:val="333333"/>
          <w:sz w:val="20"/>
          <w:szCs w:val="20"/>
        </w:rPr>
        <w:t xml:space="preserve">The MSA establishes the overarching relationship between NIHA and the Client for carbon credit trading services.</w:t>
      </w:r>
    </w:p>
    <w:p>
      <w:pPr>
        <w:spacing w:before="200" w:after="120"/>
      </w:pPr>
      <w:r>
        <w:rPr>
          <w:rFonts w:ascii="Arial" w:cs="Arial" w:eastAsia="Arial" w:hAnsi="Arial"/>
          <w:b/>
          <w:bCs/>
          <w:color w:val="1B2A4A"/>
          <w:sz w:val="22"/>
          <w:szCs w:val="22"/>
        </w:rPr>
        <w:t xml:space="preserve">Core Sections</w:t>
      </w:r>
    </w:p>
    <w:p>
      <w:pPr>
        <w:pStyle w:val="ListParagraph"/>
        <w:numPr>
          <w:ilvl w:val="0"/>
          <w:numId w:val="3"/>
        </w:numPr>
        <w:spacing w:after="80"/>
      </w:pPr>
      <w:r>
        <w:rPr>
          <w:rFonts w:ascii="Arial" w:cs="Arial" w:eastAsia="Arial" w:hAnsi="Arial"/>
          <w:color w:val="333333"/>
          <w:sz w:val="20"/>
          <w:szCs w:val="20"/>
        </w:rPr>
        <w:t xml:space="preserve">Parties &amp; Recitals — identifying NIHA as principal counterparty, Client as beneficial owner</w:t>
      </w:r>
    </w:p>
    <w:p>
      <w:pPr>
        <w:pStyle w:val="ListParagraph"/>
        <w:numPr>
          <w:ilvl w:val="0"/>
          <w:numId w:val="3"/>
        </w:numPr>
        <w:spacing w:after="80"/>
      </w:pPr>
      <w:r>
        <w:rPr>
          <w:rFonts w:ascii="Arial" w:cs="Arial" w:eastAsia="Arial" w:hAnsi="Arial"/>
          <w:color w:val="333333"/>
          <w:sz w:val="20"/>
          <w:szCs w:val="20"/>
        </w:rPr>
        <w:t xml:space="preserve">Definitions — aligned with applicable industry-standard carbon credit definitions and IETA ERPA terminology</w:t>
      </w:r>
    </w:p>
    <w:p>
      <w:pPr>
        <w:pStyle w:val="ListParagraph"/>
        <w:numPr>
          <w:ilvl w:val="0"/>
          <w:numId w:val="3"/>
        </w:numPr>
        <w:spacing w:after="80"/>
      </w:pPr>
      <w:r>
        <w:rPr>
          <w:rFonts w:ascii="Arial" w:cs="Arial" w:eastAsia="Arial" w:hAnsi="Arial"/>
          <w:color w:val="333333"/>
          <w:sz w:val="20"/>
          <w:szCs w:val="20"/>
        </w:rPr>
        <w:t xml:space="preserve">Scope of Services — acquisition, custody, conversion (CEA↔EUA), delivery, retirement</w:t>
      </w:r>
    </w:p>
    <w:p>
      <w:pPr>
        <w:pStyle w:val="ListParagraph"/>
        <w:numPr>
          <w:ilvl w:val="0"/>
          <w:numId w:val="3"/>
        </w:numPr>
        <w:spacing w:after="80"/>
      </w:pPr>
      <w:r>
        <w:rPr>
          <w:rFonts w:ascii="Arial" w:cs="Arial" w:eastAsia="Arial" w:hAnsi="Arial"/>
          <w:color w:val="333333"/>
          <w:sz w:val="20"/>
          <w:szCs w:val="20"/>
        </w:rPr>
        <w:t xml:space="preserve">Principal Counterparty Disclosure — clear statement that NIHA acts as principal, not broker/agent</w:t>
      </w:r>
    </w:p>
    <w:p>
      <w:pPr>
        <w:pStyle w:val="ListParagraph"/>
        <w:numPr>
          <w:ilvl w:val="0"/>
          <w:numId w:val="3"/>
        </w:numPr>
        <w:spacing w:after="80"/>
      </w:pPr>
      <w:r>
        <w:rPr>
          <w:rFonts w:ascii="Arial" w:cs="Arial" w:eastAsia="Arial" w:hAnsi="Arial"/>
          <w:color w:val="333333"/>
          <w:sz w:val="20"/>
          <w:szCs w:val="20"/>
        </w:rPr>
        <w:t xml:space="preserve">Pricing &amp; Fees — spread-based model with transparent benchmark references (ICE EUA, pilot ETS prices)</w:t>
      </w:r>
    </w:p>
    <w:p>
      <w:pPr>
        <w:pStyle w:val="ListParagraph"/>
        <w:numPr>
          <w:ilvl w:val="0"/>
          <w:numId w:val="3"/>
        </w:numPr>
        <w:spacing w:after="80"/>
      </w:pPr>
      <w:r>
        <w:rPr>
          <w:rFonts w:ascii="Arial" w:cs="Arial" w:eastAsia="Arial" w:hAnsi="Arial"/>
          <w:color w:val="333333"/>
          <w:sz w:val="20"/>
          <w:szCs w:val="20"/>
        </w:rPr>
        <w:t xml:space="preserve">Settlement Terms — T+2 to T+5 delivery, DVP (Delivery vs. Payment) mechanism</w:t>
      </w:r>
    </w:p>
    <w:p>
      <w:pPr>
        <w:pStyle w:val="ListParagraph"/>
        <w:numPr>
          <w:ilvl w:val="0"/>
          <w:numId w:val="3"/>
        </w:numPr>
        <w:spacing w:after="80"/>
      </w:pPr>
      <w:r>
        <w:rPr>
          <w:rFonts w:ascii="Arial" w:cs="Arial" w:eastAsia="Arial" w:hAnsi="Arial"/>
          <w:color w:val="333333"/>
          <w:sz w:val="20"/>
          <w:szCs w:val="20"/>
        </w:rPr>
        <w:t xml:space="preserve">Representations &amp; Warranties — capacity, authority, no insolvency, regulatory compliance</w:t>
      </w:r>
    </w:p>
    <w:p>
      <w:pPr>
        <w:pStyle w:val="ListParagraph"/>
        <w:numPr>
          <w:ilvl w:val="0"/>
          <w:numId w:val="3"/>
        </w:numPr>
        <w:spacing w:after="80"/>
      </w:pPr>
      <w:r>
        <w:rPr>
          <w:rFonts w:ascii="Arial" w:cs="Arial" w:eastAsia="Arial" w:hAnsi="Arial"/>
          <w:color w:val="333333"/>
          <w:sz w:val="20"/>
          <w:szCs w:val="20"/>
        </w:rPr>
        <w:t xml:space="preserve">Confidentiality — mutual obligations, exceptions for regulatory disclosure</w:t>
      </w:r>
    </w:p>
    <w:p>
      <w:pPr>
        <w:pStyle w:val="ListParagraph"/>
        <w:numPr>
          <w:ilvl w:val="0"/>
          <w:numId w:val="3"/>
        </w:numPr>
        <w:spacing w:after="80"/>
      </w:pPr>
      <w:r>
        <w:rPr>
          <w:rFonts w:ascii="Arial" w:cs="Arial" w:eastAsia="Arial" w:hAnsi="Arial"/>
          <w:color w:val="333333"/>
          <w:sz w:val="20"/>
          <w:szCs w:val="20"/>
        </w:rPr>
        <w:t xml:space="preserve">Termination — notice period, unwinding procedures, return of credits and funds</w:t>
      </w:r>
    </w:p>
    <w:p>
      <w:pPr>
        <w:pStyle w:val="ListParagraph"/>
        <w:numPr>
          <w:ilvl w:val="0"/>
          <w:numId w:val="3"/>
        </w:numPr>
        <w:spacing w:after="80"/>
      </w:pPr>
      <w:r>
        <w:rPr>
          <w:rFonts w:ascii="Arial" w:cs="Arial" w:eastAsia="Arial" w:hAnsi="Arial"/>
          <w:color w:val="333333"/>
          <w:sz w:val="20"/>
          <w:szCs w:val="20"/>
        </w:rPr>
        <w:t xml:space="preserve">Indemnification — mutual indemnification for breach, negligence, regulatory change</w:t>
      </w:r>
    </w:p>
    <w:p>
      <w:pPr>
        <w:pStyle w:val="ListParagraph"/>
        <w:numPr>
          <w:ilvl w:val="0"/>
          <w:numId w:val="3"/>
        </w:numPr>
        <w:spacing w:after="80"/>
      </w:pPr>
      <w:r>
        <w:rPr>
          <w:rFonts w:ascii="Arial" w:cs="Arial" w:eastAsia="Arial" w:hAnsi="Arial"/>
          <w:color w:val="333333"/>
          <w:sz w:val="20"/>
          <w:szCs w:val="20"/>
        </w:rPr>
        <w:t xml:space="preserve">Force Majeure — including regulatory changes, registry outages, sanctions, natural disaster</w:t>
      </w:r>
    </w:p>
    <w:p>
      <w:pPr>
        <w:pStyle w:val="ListParagraph"/>
        <w:numPr>
          <w:ilvl w:val="0"/>
          <w:numId w:val="3"/>
        </w:numPr>
        <w:spacing w:after="80"/>
      </w:pPr>
      <w:r>
        <w:rPr>
          <w:rFonts w:ascii="Arial" w:cs="Arial" w:eastAsia="Arial" w:hAnsi="Arial"/>
          <w:color w:val="333333"/>
          <w:sz w:val="20"/>
          <w:szCs w:val="20"/>
        </w:rPr>
        <w:t xml:space="preserve">Governing Law &amp; Arbitration — HK law, HKIAC arbitration</w:t>
      </w:r>
    </w:p>
    <w:p>
      <w:pPr>
        <w:spacing w:before="200" w:after="120"/>
      </w:pPr>
      <w:r>
        <w:rPr>
          <w:rFonts w:ascii="Arial" w:cs="Arial" w:eastAsia="Arial" w:hAnsi="Arial"/>
          <w:b/>
          <w:bCs/>
          <w:color w:val="1B2A4A"/>
          <w:sz w:val="22"/>
          <w:szCs w:val="22"/>
        </w:rPr>
        <w:t xml:space="preserve">Schedule A: Fee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Fee Type</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Indicative Rate</w:t>
            </w:r>
          </w:p>
        </w:tc>
      </w:tr>
      <w:tr>
        <w:tc>
          <w:tcPr>
            <w:tcW w:type="dxa" w:w="312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CEA Acquisition</w:t>
            </w:r>
          </w:p>
        </w:tc>
        <w:tc>
          <w:tcPr>
            <w:tcW w:type="dxa" w:w="312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Spread over market price</w:t>
            </w:r>
          </w:p>
        </w:tc>
        <w:tc>
          <w:tcPr>
            <w:tcW w:type="dxa" w:w="312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5-8% above pilot ETS spot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CEA → EUA Conversion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Conversion fee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2-4% of converted value</w:t>
            </w:r>
          </w:p>
        </w:tc>
      </w:tr>
      <w:tr>
        <w:tc>
          <w:tcPr>
            <w:tcW w:type="dxa" w:w="312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EUA Delivery</w:t>
            </w:r>
          </w:p>
        </w:tc>
        <w:tc>
          <w:tcPr>
            <w:tcW w:type="dxa" w:w="312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Delivery/transfer fee</w:t>
            </w:r>
          </w:p>
        </w:tc>
        <w:tc>
          <w:tcPr>
            <w:tcW w:type="dxa" w:w="312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0.5-1% per delivery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Custody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Annual custody fee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0.25-0.5% p.a. on AUC</w:t>
            </w:r>
          </w:p>
        </w:tc>
      </w:tr>
      <w:tr>
        <w:tc>
          <w:tcPr>
            <w:tcW w:type="dxa" w:w="312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Retirement</w:t>
            </w:r>
          </w:p>
        </w:tc>
        <w:tc>
          <w:tcPr>
            <w:tcW w:type="dxa" w:w="312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Registry/admin fee</w:t>
            </w:r>
          </w:p>
        </w:tc>
        <w:tc>
          <w:tcPr>
            <w:tcW w:type="dxa" w:w="312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Fixed fee per retirement</w:t>
            </w:r>
          </w:p>
        </w:tc>
      </w:tr>
    </w:tbl>
    <w:p>
      <w:pPr>
        <w:spacing w:after="200"/>
      </w:pPr>
    </w:p>
    <w:p>
      <w:r>
        <w:br w:type="page"/>
      </w:r>
    </w:p>
    <w:p>
      <w:pPr>
        <w:pStyle w:val="Heading1"/>
        <w:spacing w:before="360" w:after="200"/>
      </w:pPr>
      <w:r>
        <w:rPr>
          <w:rFonts w:ascii="Arial" w:cs="Arial" w:eastAsia="Arial" w:hAnsi="Arial"/>
          <w:b/>
          <w:bCs/>
          <w:color w:val="1B2A4A"/>
          <w:sz w:val="32"/>
          <w:szCs w:val="32"/>
        </w:rPr>
        <w:t xml:space="preserve">PART III: Pilot Market Participation &amp; Access</w:t>
      </w:r>
    </w:p>
    <w:p>
      <w:pPr>
        <w:pStyle w:val="Heading2"/>
        <w:spacing w:before="280" w:after="160"/>
      </w:pPr>
      <w:r>
        <w:rPr>
          <w:rFonts w:ascii="Arial" w:cs="Arial" w:eastAsia="Arial" w:hAnsi="Arial"/>
          <w:b/>
          <w:bCs/>
          <w:color w:val="1B2A4A"/>
          <w:sz w:val="26"/>
          <w:szCs w:val="26"/>
        </w:rPr>
        <w:t xml:space="preserve">3.1 Shenzhen Pilot ETS — Foreign Participant Access</w:t>
      </w:r>
    </w:p>
    <w:p>
      <w:pPr>
        <w:spacing w:after="120"/>
      </w:pPr>
      <w:r>
        <w:rPr>
          <w:rFonts w:ascii="Arial" w:cs="Arial" w:eastAsia="Arial" w:hAnsi="Arial"/>
          <w:color w:val="333333"/>
          <w:sz w:val="20"/>
          <w:szCs w:val="20"/>
        </w:rPr>
        <w:t xml:space="preserve">Shenzhen was the first Chinese carbon market to open to foreign investors, approved by SAFE (State Administration of Foreign Exchange) in August 2014. This makes it the primary entry point for NIHA’s China-side operations.</w:t>
      </w:r>
    </w:p>
    <w:p>
      <w:pPr>
        <w:spacing w:before="200" w:after="120"/>
      </w:pPr>
      <w:r>
        <w:rPr>
          <w:rFonts w:ascii="Arial" w:cs="Arial" w:eastAsia="Arial" w:hAnsi="Arial"/>
          <w:b/>
          <w:bCs/>
          <w:color w:val="1B2A4A"/>
          <w:sz w:val="22"/>
          <w:szCs w:val="22"/>
        </w:rPr>
        <w:t xml:space="preserve">Registration Process</w:t>
      </w:r>
    </w:p>
    <w:p>
      <w:pPr>
        <w:pStyle w:val="ListParagraph"/>
        <w:numPr>
          <w:ilvl w:val="0"/>
          <w:numId w:val="3"/>
        </w:numPr>
        <w:spacing w:after="80"/>
      </w:pPr>
      <w:r>
        <w:rPr>
          <w:rFonts w:ascii="Arial" w:cs="Arial" w:eastAsia="Arial" w:hAnsi="Arial"/>
          <w:color w:val="333333"/>
          <w:sz w:val="20"/>
          <w:szCs w:val="20"/>
        </w:rPr>
        <w:t xml:space="preserve">Apply for membership at China Emissions Exchange (Shenzhen) as a non-compliance institutional investor</w:t>
      </w:r>
    </w:p>
    <w:p>
      <w:pPr>
        <w:pStyle w:val="ListParagraph"/>
        <w:numPr>
          <w:ilvl w:val="0"/>
          <w:numId w:val="3"/>
        </w:numPr>
        <w:spacing w:after="80"/>
      </w:pPr>
      <w:r>
        <w:rPr>
          <w:rFonts w:ascii="Arial" w:cs="Arial" w:eastAsia="Arial" w:hAnsi="Arial"/>
          <w:color w:val="333333"/>
          <w:sz w:val="20"/>
          <w:szCs w:val="20"/>
        </w:rPr>
        <w:t xml:space="preserve">Open a “capital account — foreign exchange account for transactions in environmental rights and interests” via SAFE-approved bank</w:t>
      </w:r>
    </w:p>
    <w:p>
      <w:pPr>
        <w:pStyle w:val="ListParagraph"/>
        <w:numPr>
          <w:ilvl w:val="0"/>
          <w:numId w:val="3"/>
        </w:numPr>
        <w:spacing w:after="80"/>
      </w:pPr>
      <w:r>
        <w:rPr>
          <w:rFonts w:ascii="Arial" w:cs="Arial" w:eastAsia="Arial" w:hAnsi="Arial"/>
          <w:color w:val="333333"/>
          <w:sz w:val="20"/>
          <w:szCs w:val="20"/>
        </w:rPr>
        <w:t xml:space="preserve">Complete the exchange’s membership approval process (due diligence, AML/KYC)</w:t>
      </w:r>
    </w:p>
    <w:p>
      <w:pPr>
        <w:pStyle w:val="ListParagraph"/>
        <w:numPr>
          <w:ilvl w:val="0"/>
          <w:numId w:val="3"/>
        </w:numPr>
        <w:spacing w:after="80"/>
      </w:pPr>
      <w:r>
        <w:rPr>
          <w:rFonts w:ascii="Arial" w:cs="Arial" w:eastAsia="Arial" w:hAnsi="Arial"/>
          <w:color w:val="333333"/>
          <w:sz w:val="20"/>
          <w:szCs w:val="20"/>
        </w:rPr>
        <w:t xml:space="preserve">Receive trading credentials and registry account access</w:t>
      </w:r>
    </w:p>
    <w:p>
      <w:pPr>
        <w:pStyle w:val="ListParagraph"/>
        <w:numPr>
          <w:ilvl w:val="0"/>
          <w:numId w:val="3"/>
        </w:numPr>
        <w:spacing w:after="80"/>
      </w:pPr>
      <w:r>
        <w:rPr>
          <w:rFonts w:ascii="Arial" w:cs="Arial" w:eastAsia="Arial" w:hAnsi="Arial"/>
          <w:color w:val="333333"/>
          <w:sz w:val="20"/>
          <w:szCs w:val="20"/>
        </w:rPr>
        <w:t xml:space="preserve">Deposit funds into the designated foreign exchange transaction account</w:t>
      </w:r>
    </w:p>
    <w:p>
      <w:pPr>
        <w:spacing w:before="200" w:after="120"/>
      </w:pPr>
      <w:r>
        <w:rPr>
          <w:rFonts w:ascii="Arial" w:cs="Arial" w:eastAsia="Arial" w:hAnsi="Arial"/>
          <w:b/>
          <w:bCs/>
          <w:color w:val="1B2A4A"/>
          <w:sz w:val="22"/>
          <w:szCs w:val="22"/>
        </w:rPr>
        <w:t xml:space="preserve">Eligible Products</w:t>
      </w:r>
    </w:p>
    <w:p>
      <w:pPr>
        <w:pStyle w:val="ListParagraph"/>
        <w:numPr>
          <w:ilvl w:val="0"/>
          <w:numId w:val="2"/>
        </w:numPr>
        <w:spacing w:after="80"/>
      </w:pPr>
      <w:r>
        <w:rPr>
          <w:rFonts w:ascii="Arial" w:cs="Arial" w:eastAsia="Arial" w:hAnsi="Arial"/>
          <w:color w:val="333333"/>
          <w:sz w:val="20"/>
          <w:szCs w:val="20"/>
        </w:rPr>
        <w:t xml:space="preserve">Shenzhen Allowances (SZAs) — spot trading only</w:t>
      </w:r>
    </w:p>
    <w:p>
      <w:pPr>
        <w:pStyle w:val="ListParagraph"/>
        <w:numPr>
          <w:ilvl w:val="0"/>
          <w:numId w:val="2"/>
        </w:numPr>
        <w:spacing w:after="80"/>
      </w:pPr>
      <w:r>
        <w:rPr>
          <w:rFonts w:ascii="Arial" w:cs="Arial" w:eastAsia="Arial" w:hAnsi="Arial"/>
          <w:color w:val="333333"/>
          <w:sz w:val="20"/>
          <w:szCs w:val="20"/>
        </w:rPr>
        <w:t xml:space="preserve">CCERs (China Certified Emission Reductions) — when available</w:t>
      </w:r>
    </w:p>
    <w:p>
      <w:pPr>
        <w:pStyle w:val="ListParagraph"/>
        <w:numPr>
          <w:ilvl w:val="0"/>
          <w:numId w:val="2"/>
        </w:numPr>
        <w:spacing w:after="80"/>
      </w:pPr>
      <w:r>
        <w:rPr>
          <w:rFonts w:ascii="Arial" w:cs="Arial" w:eastAsia="Arial" w:hAnsi="Arial"/>
          <w:color w:val="333333"/>
          <w:sz w:val="20"/>
          <w:szCs w:val="20"/>
        </w:rPr>
        <w:t xml:space="preserve">Tan Pu Hui offset credits — local Shenzhen offsets</w:t>
      </w:r>
    </w:p>
    <w:p>
      <w:pPr>
        <w:spacing w:after="120"/>
      </w:pPr>
      <w:r>
        <w:rPr>
          <w:rFonts w:ascii="Arial" w:cs="Arial" w:eastAsia="Arial" w:hAnsi="Arial"/>
          <w:color w:val="333333"/>
          <w:sz w:val="20"/>
          <w:szCs w:val="20"/>
        </w:rPr>
        <w:t xml:space="preserve">Note: Forward and derivative products are NOT permitted under Chinese financial regulations. All trades are spot.</w:t>
      </w:r>
    </w:p>
    <w:p>
      <w:pPr>
        <w:spacing w:before="200" w:after="120"/>
      </w:pPr>
      <w:r>
        <w:rPr>
          <w:rFonts w:ascii="Arial" w:cs="Arial" w:eastAsia="Arial" w:hAnsi="Arial"/>
          <w:b/>
          <w:bCs/>
          <w:color w:val="1B2A4A"/>
          <w:sz w:val="22"/>
          <w:szCs w:val="22"/>
        </w:rPr>
        <w:t xml:space="preserve">Documents to Maintain for Proof of Participation</w:t>
      </w:r>
    </w:p>
    <w:p>
      <w:pPr>
        <w:pStyle w:val="ListParagraph"/>
        <w:numPr>
          <w:ilvl w:val="0"/>
          <w:numId w:val="2"/>
        </w:numPr>
        <w:spacing w:after="80"/>
      </w:pPr>
      <w:r>
        <w:rPr>
          <w:rFonts w:ascii="Arial" w:cs="Arial" w:eastAsia="Arial" w:hAnsi="Arial"/>
          <w:color w:val="333333"/>
          <w:sz w:val="20"/>
          <w:szCs w:val="20"/>
        </w:rPr>
        <w:t xml:space="preserve">Membership certificate from China Emissions Exchange (Shenzhen)</w:t>
      </w:r>
    </w:p>
    <w:p>
      <w:pPr>
        <w:pStyle w:val="ListParagraph"/>
        <w:numPr>
          <w:ilvl w:val="0"/>
          <w:numId w:val="2"/>
        </w:numPr>
        <w:spacing w:after="80"/>
      </w:pPr>
      <w:r>
        <w:rPr>
          <w:rFonts w:ascii="Arial" w:cs="Arial" w:eastAsia="Arial" w:hAnsi="Arial"/>
          <w:color w:val="333333"/>
          <w:sz w:val="20"/>
          <w:szCs w:val="20"/>
        </w:rPr>
        <w:t xml:space="preserve">SAFE-approved foreign exchange account documentation</w:t>
      </w:r>
    </w:p>
    <w:p>
      <w:pPr>
        <w:pStyle w:val="ListParagraph"/>
        <w:numPr>
          <w:ilvl w:val="0"/>
          <w:numId w:val="2"/>
        </w:numPr>
        <w:spacing w:after="80"/>
      </w:pPr>
      <w:r>
        <w:rPr>
          <w:rFonts w:ascii="Arial" w:cs="Arial" w:eastAsia="Arial" w:hAnsi="Arial"/>
          <w:color w:val="333333"/>
          <w:sz w:val="20"/>
          <w:szCs w:val="20"/>
        </w:rPr>
        <w:t xml:space="preserve">Transaction history / trade confirmations</w:t>
      </w:r>
    </w:p>
    <w:p>
      <w:pPr>
        <w:pStyle w:val="ListParagraph"/>
        <w:numPr>
          <w:ilvl w:val="0"/>
          <w:numId w:val="2"/>
        </w:numPr>
        <w:spacing w:after="80"/>
      </w:pPr>
      <w:r>
        <w:rPr>
          <w:rFonts w:ascii="Arial" w:cs="Arial" w:eastAsia="Arial" w:hAnsi="Arial"/>
          <w:color w:val="333333"/>
          <w:sz w:val="20"/>
          <w:szCs w:val="20"/>
        </w:rPr>
        <w:t xml:space="preserve">Annual compliance confirmation from the exchange</w:t>
      </w:r>
    </w:p>
    <w:p>
      <w:pPr>
        <w:pStyle w:val="Heading2"/>
        <w:spacing w:before="280" w:after="160"/>
      </w:pPr>
      <w:r>
        <w:rPr>
          <w:rFonts w:ascii="Arial" w:cs="Arial" w:eastAsia="Arial" w:hAnsi="Arial"/>
          <w:b/>
          <w:bCs/>
          <w:color w:val="1B2A4A"/>
          <w:sz w:val="26"/>
          <w:szCs w:val="26"/>
        </w:rPr>
        <w:t xml:space="preserve">3.2 HKEX Core Climate Membership</w:t>
      </w:r>
    </w:p>
    <w:p>
      <w:pPr>
        <w:spacing w:after="120"/>
      </w:pPr>
      <w:r>
        <w:rPr>
          <w:rFonts w:ascii="Arial" w:cs="Arial" w:eastAsia="Arial" w:hAnsi="Arial"/>
          <w:color w:val="333333"/>
          <w:sz w:val="20"/>
          <w:szCs w:val="20"/>
        </w:rPr>
        <w:t xml:space="preserve">Core Climate is HKEX’s voluntary carbon marketplace, launched in 2022. Membership provides credibility and access to institutional carbon trading infrastructure.</w:t>
      </w:r>
    </w:p>
    <w:p>
      <w:pPr>
        <w:spacing w:before="200" w:after="120"/>
      </w:pPr>
      <w:r>
        <w:rPr>
          <w:rFonts w:ascii="Arial" w:cs="Arial" w:eastAsia="Arial" w:hAnsi="Arial"/>
          <w:b/>
          <w:bCs/>
          <w:color w:val="1B2A4A"/>
          <w:sz w:val="22"/>
          <w:szCs w:val="22"/>
        </w:rPr>
        <w:t xml:space="preserve">Benefits of Membership</w:t>
      </w:r>
    </w:p>
    <w:p>
      <w:pPr>
        <w:pStyle w:val="ListParagraph"/>
        <w:numPr>
          <w:ilvl w:val="0"/>
          <w:numId w:val="2"/>
        </w:numPr>
        <w:spacing w:after="80"/>
      </w:pPr>
      <w:r>
        <w:rPr>
          <w:rFonts w:ascii="Arial" w:cs="Arial" w:eastAsia="Arial" w:hAnsi="Arial"/>
          <w:color w:val="333333"/>
          <w:sz w:val="20"/>
          <w:szCs w:val="20"/>
        </w:rPr>
        <w:t xml:space="preserve">Association with Hong Kong Exchanges and Clearing (HKEX) — one of the world’s largest exchange groups</w:t>
      </w:r>
    </w:p>
    <w:p>
      <w:pPr>
        <w:pStyle w:val="ListParagraph"/>
        <w:numPr>
          <w:ilvl w:val="0"/>
          <w:numId w:val="2"/>
        </w:numPr>
        <w:spacing w:after="80"/>
      </w:pPr>
      <w:r>
        <w:rPr>
          <w:rFonts w:ascii="Arial" w:cs="Arial" w:eastAsia="Arial" w:hAnsi="Arial"/>
          <w:color w:val="333333"/>
          <w:sz w:val="20"/>
          <w:szCs w:val="20"/>
        </w:rPr>
        <w:t xml:space="preserve">Access to 100+ institutional participants</w:t>
      </w:r>
    </w:p>
    <w:p>
      <w:pPr>
        <w:pStyle w:val="ListParagraph"/>
        <w:numPr>
          <w:ilvl w:val="0"/>
          <w:numId w:val="2"/>
        </w:numPr>
        <w:spacing w:after="80"/>
      </w:pPr>
      <w:r>
        <w:rPr>
          <w:rFonts w:ascii="Arial" w:cs="Arial" w:eastAsia="Arial" w:hAnsi="Arial"/>
          <w:color w:val="333333"/>
          <w:sz w:val="20"/>
          <w:szCs w:val="20"/>
        </w:rPr>
        <w:t xml:space="preserve">Multi-currency settlement (HKD, RMB) — critical for cross-border flows</w:t>
      </w:r>
    </w:p>
    <w:p>
      <w:pPr>
        <w:pStyle w:val="ListParagraph"/>
        <w:numPr>
          <w:ilvl w:val="0"/>
          <w:numId w:val="2"/>
        </w:numPr>
        <w:spacing w:after="80"/>
      </w:pPr>
      <w:r>
        <w:rPr>
          <w:rFonts w:ascii="Arial" w:cs="Arial" w:eastAsia="Arial" w:hAnsi="Arial"/>
          <w:color w:val="333333"/>
          <w:sz w:val="20"/>
          <w:szCs w:val="20"/>
        </w:rPr>
        <w:t xml:space="preserve">Standardised trade confirmations and settlement procedures</w:t>
      </w:r>
    </w:p>
    <w:p>
      <w:pPr>
        <w:pStyle w:val="ListParagraph"/>
        <w:numPr>
          <w:ilvl w:val="0"/>
          <w:numId w:val="2"/>
        </w:numPr>
        <w:spacing w:after="80"/>
      </w:pPr>
      <w:r>
        <w:rPr>
          <w:rFonts w:ascii="Arial" w:cs="Arial" w:eastAsia="Arial" w:hAnsi="Arial"/>
          <w:color w:val="333333"/>
          <w:sz w:val="20"/>
          <w:szCs w:val="20"/>
        </w:rPr>
        <w:t xml:space="preserve">Credibility signal for clients and partners</w:t>
      </w:r>
    </w:p>
    <w:p>
      <w:pPr>
        <w:spacing w:before="200" w:after="120"/>
      </w:pPr>
      <w:r>
        <w:rPr>
          <w:rFonts w:ascii="Arial" w:cs="Arial" w:eastAsia="Arial" w:hAnsi="Arial"/>
          <w:b/>
          <w:bCs/>
          <w:color w:val="1B2A4A"/>
          <w:sz w:val="22"/>
          <w:szCs w:val="22"/>
        </w:rPr>
        <w:t xml:space="preserve">Application Requirements</w:t>
      </w:r>
    </w:p>
    <w:p>
      <w:pPr>
        <w:pStyle w:val="ListParagraph"/>
        <w:numPr>
          <w:ilvl w:val="0"/>
          <w:numId w:val="3"/>
        </w:numPr>
        <w:spacing w:after="80"/>
      </w:pPr>
      <w:r>
        <w:rPr>
          <w:rFonts w:ascii="Arial" w:cs="Arial" w:eastAsia="Arial" w:hAnsi="Arial"/>
          <w:color w:val="333333"/>
          <w:sz w:val="20"/>
          <w:szCs w:val="20"/>
        </w:rPr>
        <w:t xml:space="preserve">Be a corporate entity (not individual)</w:t>
      </w:r>
    </w:p>
    <w:p>
      <w:pPr>
        <w:pStyle w:val="ListParagraph"/>
        <w:numPr>
          <w:ilvl w:val="0"/>
          <w:numId w:val="3"/>
        </w:numPr>
        <w:spacing w:after="80"/>
      </w:pPr>
      <w:r>
        <w:rPr>
          <w:rFonts w:ascii="Arial" w:cs="Arial" w:eastAsia="Arial" w:hAnsi="Arial"/>
          <w:color w:val="333333"/>
          <w:sz w:val="20"/>
          <w:szCs w:val="20"/>
        </w:rPr>
        <w:t xml:space="preserve">Demonstrate institutional investment capability</w:t>
      </w:r>
    </w:p>
    <w:p>
      <w:pPr>
        <w:pStyle w:val="ListParagraph"/>
        <w:numPr>
          <w:ilvl w:val="0"/>
          <w:numId w:val="3"/>
        </w:numPr>
        <w:spacing w:after="80"/>
      </w:pPr>
      <w:r>
        <w:rPr>
          <w:rFonts w:ascii="Arial" w:cs="Arial" w:eastAsia="Arial" w:hAnsi="Arial"/>
          <w:color w:val="333333"/>
          <w:sz w:val="20"/>
          <w:szCs w:val="20"/>
        </w:rPr>
        <w:t xml:space="preserve">Complete HKEX’s onboarding and due diligence process</w:t>
      </w:r>
    </w:p>
    <w:p>
      <w:pPr>
        <w:pStyle w:val="ListParagraph"/>
        <w:numPr>
          <w:ilvl w:val="0"/>
          <w:numId w:val="3"/>
        </w:numPr>
        <w:spacing w:after="80"/>
      </w:pPr>
      <w:r>
        <w:rPr>
          <w:rFonts w:ascii="Arial" w:cs="Arial" w:eastAsia="Arial" w:hAnsi="Arial"/>
          <w:color w:val="333333"/>
          <w:sz w:val="20"/>
          <w:szCs w:val="20"/>
        </w:rPr>
        <w:t xml:space="preserve">Accept Core Climate’s terms of participation</w:t>
      </w:r>
    </w:p>
    <w:p>
      <w:pPr>
        <w:pStyle w:val="Heading2"/>
        <w:spacing w:before="280" w:after="160"/>
      </w:pPr>
      <w:r>
        <w:rPr>
          <w:rFonts w:ascii="Arial" w:cs="Arial" w:eastAsia="Arial" w:hAnsi="Arial"/>
          <w:b/>
          <w:bCs/>
          <w:color w:val="1B2A4A"/>
          <w:sz w:val="26"/>
          <w:szCs w:val="26"/>
        </w:rPr>
        <w:t xml:space="preserve">3.3 GBA Carbon Connect</w:t>
      </w:r>
    </w:p>
    <w:p>
      <w:pPr>
        <w:spacing w:after="120"/>
      </w:pPr>
      <w:r>
        <w:rPr>
          <w:rFonts w:ascii="Arial" w:cs="Arial" w:eastAsia="Arial" w:hAnsi="Arial"/>
          <w:color w:val="333333"/>
          <w:sz w:val="20"/>
          <w:szCs w:val="20"/>
        </w:rPr>
        <w:t xml:space="preserve">The Greater Bay Area Carbon Connect initiative aims to create a cross-border carbon trading mechanism between Hong Kong and mainland pilot markets. Status as of February 2026:</w:t>
      </w:r>
    </w:p>
    <w:p>
      <w:pPr>
        <w:pStyle w:val="ListParagraph"/>
        <w:numPr>
          <w:ilvl w:val="0"/>
          <w:numId w:val="2"/>
        </w:numPr>
        <w:spacing w:after="80"/>
      </w:pPr>
      <w:r>
        <w:rPr>
          <w:rFonts w:ascii="Arial" w:cs="Arial" w:eastAsia="Arial" w:hAnsi="Arial"/>
          <w:color w:val="333333"/>
          <w:sz w:val="20"/>
          <w:szCs w:val="20"/>
        </w:rPr>
        <w:t xml:space="preserve">Initiative announced by the Green and Sustainable Finance Cross-Agency Steering Group</w:t>
      </w:r>
    </w:p>
    <w:p>
      <w:pPr>
        <w:pStyle w:val="ListParagraph"/>
        <w:numPr>
          <w:ilvl w:val="0"/>
          <w:numId w:val="2"/>
        </w:numPr>
        <w:spacing w:after="80"/>
      </w:pPr>
      <w:r>
        <w:rPr>
          <w:rFonts w:ascii="Arial" w:cs="Arial" w:eastAsia="Arial" w:hAnsi="Arial"/>
          <w:color w:val="333333"/>
          <w:sz w:val="20"/>
          <w:szCs w:val="20"/>
        </w:rPr>
        <w:t xml:space="preserve">HKEX and Guangzhou Futures Exchange exploring cooperation mechanisms</w:t>
      </w:r>
    </w:p>
    <w:p>
      <w:pPr>
        <w:pStyle w:val="ListParagraph"/>
        <w:numPr>
          <w:ilvl w:val="0"/>
          <w:numId w:val="2"/>
        </w:numPr>
        <w:spacing w:after="80"/>
      </w:pPr>
      <w:r>
        <w:rPr>
          <w:rFonts w:ascii="Arial" w:cs="Arial" w:eastAsia="Arial" w:hAnsi="Arial"/>
          <w:color w:val="333333"/>
          <w:sz w:val="20"/>
          <w:szCs w:val="20"/>
        </w:rPr>
        <w:t xml:space="preserve">Currently in development/consultation phase — not yet operational</w:t>
      </w:r>
    </w:p>
    <w:p>
      <w:pPr>
        <w:pStyle w:val="ListParagraph"/>
        <w:numPr>
          <w:ilvl w:val="0"/>
          <w:numId w:val="2"/>
        </w:numPr>
        <w:spacing w:after="80"/>
      </w:pPr>
      <w:r>
        <w:rPr>
          <w:rFonts w:ascii="Arial" w:cs="Arial" w:eastAsia="Arial" w:hAnsi="Arial"/>
          <w:color w:val="333333"/>
          <w:sz w:val="20"/>
          <w:szCs w:val="20"/>
        </w:rPr>
        <w:t xml:space="preserve">NIHA should participate in all consultation rounds and working groups to document involvement</w:t>
      </w:r>
    </w:p>
    <w:p>
      <w:pPr>
        <w:pStyle w:val="ListParagraph"/>
        <w:numPr>
          <w:ilvl w:val="0"/>
          <w:numId w:val="2"/>
        </w:numPr>
        <w:spacing w:after="80"/>
      </w:pPr>
      <w:r>
        <w:rPr>
          <w:rFonts w:ascii="Arial" w:cs="Arial" w:eastAsia="Arial" w:hAnsi="Arial"/>
          <w:color w:val="333333"/>
          <w:sz w:val="20"/>
          <w:szCs w:val="20"/>
        </w:rPr>
        <w:t xml:space="preserve">Early participation positions NIHA as a founding participant when the mechanism launches</w:t>
      </w:r>
    </w:p>
    <w:p>
      <w:pPr>
        <w:pStyle w:val="Heading2"/>
        <w:spacing w:before="280" w:after="160"/>
      </w:pPr>
      <w:r>
        <w:rPr>
          <w:rFonts w:ascii="Arial" w:cs="Arial" w:eastAsia="Arial" w:hAnsi="Arial"/>
          <w:b/>
          <w:bCs/>
          <w:color w:val="1B2A4A"/>
          <w:sz w:val="26"/>
          <w:szCs w:val="26"/>
        </w:rPr>
        <w:t xml:space="preserve">3.4 Evidence Portfolio for Market Access</w:t>
      </w:r>
    </w:p>
    <w:p>
      <w:pPr>
        <w:spacing w:after="120"/>
      </w:pPr>
      <w:r>
        <w:rPr>
          <w:rFonts w:ascii="Arial" w:cs="Arial" w:eastAsia="Arial" w:hAnsi="Arial"/>
          <w:color w:val="333333"/>
          <w:sz w:val="20"/>
          <w:szCs w:val="20"/>
        </w:rPr>
        <w:t xml:space="preserve">NIHA should compile and maintain the following evidence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Source/Authority</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Registration</w:t>
            </w:r>
          </w:p>
        </w:tc>
        <w:tc>
          <w:tcPr>
            <w:tcW w:type="dxa" w:w="35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Membership certificate — China Emissions Exchange (Shenzhen)</w:t>
            </w:r>
          </w:p>
        </w:tc>
        <w:tc>
          <w:tcPr>
            <w:tcW w:type="dxa" w:w="35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CEEX Shenzhen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Registration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Core Climate membership confirmation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HKEX</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Banking</w:t>
            </w:r>
          </w:p>
        </w:tc>
        <w:tc>
          <w:tcPr>
            <w:tcW w:type="dxa" w:w="35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SAFE-approved FX account for environmental rights trading</w:t>
            </w:r>
          </w:p>
        </w:tc>
        <w:tc>
          <w:tcPr>
            <w:tcW w:type="dxa" w:w="35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SAFE / Licensed bank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Trading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Transaction confirmations, trade history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CEEX Shenzhen / OTC counterparties</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Participation</w:t>
            </w:r>
          </w:p>
        </w:tc>
        <w:tc>
          <w:tcPr>
            <w:tcW w:type="dxa" w:w="35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GBA Carbon Connect consultation participation records</w:t>
            </w:r>
          </w:p>
        </w:tc>
        <w:tc>
          <w:tcPr>
            <w:tcW w:type="dxa" w:w="35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HK Green Finance bodies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Legal</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Independent legal opinion confirming lawfulness of operations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Top-tier HK law firm</w:t>
            </w:r>
          </w:p>
        </w:tc>
      </w:tr>
      <w:tr>
        <w:tc>
          <w:tcPr>
            <w:tcW w:type="dxa" w:w="220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Audit</w:t>
            </w:r>
          </w:p>
        </w:tc>
        <w:tc>
          <w:tcPr>
            <w:tcW w:type="dxa" w:w="35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Annual audit report covering carbon trading operations</w:t>
            </w:r>
          </w:p>
        </w:tc>
        <w:tc>
          <w:tcPr>
            <w:tcW w:type="dxa" w:w="3580"/>
            <w:tcBorders>
              <w:top w:val="single" w:color="D1D5DB" w:sz="1"/>
              <w:left w:val="single" w:color="D1D5DB" w:sz="1"/>
              <w:bottom w:val="single" w:color="D1D5DB" w:sz="1"/>
              <w:right w:val="single" w:color="D1D5DB" w:sz="1"/>
            </w:tcBorders>
            <w:shd w:fill="F0F7F4" w:val="clear"/>
            <w:tcMar>
              <w:top w:type="dxa" w:w="80"/>
              <w:left w:type="dxa" w:w="120"/>
              <w:bottom w:type="dxa" w:w="80"/>
              <w:right w:type="dxa" w:w="120"/>
            </w:tcMar>
          </w:tcPr>
          <w:p>
            <w:r>
              <w:rPr>
                <w:rFonts w:ascii="Arial" w:cs="Arial" w:eastAsia="Arial" w:hAnsi="Arial"/>
                <w:color w:val="333333"/>
                <w:sz w:val="20"/>
                <w:szCs w:val="20"/>
                <w:shd/>
              </w:rPr>
              <w:t xml:space="preserve">Independent auditor (Big 4 preferred)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Industry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IETA membership certificate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IETA</w:t>
            </w:r>
          </w:p>
        </w:tc>
      </w:tr>
    </w:tbl>
    <w:p>
      <w:pPr>
        <w:spacing w:after="200"/>
      </w:pPr>
    </w:p>
    <w:p>
      <w:r>
        <w:br w:type="page"/>
      </w:r>
    </w:p>
    <w:p>
      <w:pPr>
        <w:pStyle w:val="Heading1"/>
        <w:spacing w:before="360" w:after="200"/>
      </w:pPr>
      <w:r>
        <w:rPr>
          <w:rFonts w:ascii="Arial" w:cs="Arial" w:eastAsia="Arial" w:hAnsi="Arial"/>
          <w:b/>
          <w:bCs/>
          <w:color w:val="1B2A4A"/>
          <w:sz w:val="32"/>
          <w:szCs w:val="32"/>
        </w:rPr>
        <w:t xml:space="preserve">PART IV: Industry Standard References</w:t>
      </w:r>
    </w:p>
    <w:p>
      <w:pPr>
        <w:spacing w:after="120"/>
      </w:pPr>
      <w:r>
        <w:rPr>
          <w:rFonts w:ascii="Arial" w:cs="Arial" w:eastAsia="Arial" w:hAnsi="Arial"/>
          <w:color w:val="333333"/>
          <w:sz w:val="20"/>
          <w:szCs w:val="20"/>
        </w:rPr>
        <w:t xml:space="preserve">The following industry-standard frameworks should inform NIHA’s contract documentation:</w:t>
      </w:r>
    </w:p>
    <w:p>
      <w:pPr>
        <w:pStyle w:val="Heading2"/>
        <w:spacing w:before="280" w:after="160"/>
      </w:pPr>
      <w:r>
        <w:rPr>
          <w:rFonts w:ascii="Arial" w:cs="Arial" w:eastAsia="Arial" w:hAnsi="Arial"/>
          <w:b/>
          <w:bCs/>
          <w:color w:val="1B2A4A"/>
          <w:sz w:val="26"/>
          <w:szCs w:val="26"/>
        </w:rPr>
        <w:t xml:space="preserve">4.1 applicable industry-standard carbon credit definitions (2022)</w:t>
      </w:r>
    </w:p>
    <w:p>
      <w:pPr>
        <w:spacing w:after="120"/>
      </w:pPr>
      <w:r>
        <w:rPr>
          <w:rFonts w:ascii="Arial" w:cs="Arial" w:eastAsia="Arial" w:hAnsi="Arial"/>
          <w:color w:val="333333"/>
          <w:sz w:val="20"/>
          <w:szCs w:val="20"/>
        </w:rPr>
        <w:t xml:space="preserve">The 2022 ISDA Verified Carbon Credit Transactions Definitions provide the standard framework for OTC carbon credit trading. Key features:</w:t>
      </w:r>
    </w:p>
    <w:p>
      <w:pPr>
        <w:pStyle w:val="ListParagraph"/>
        <w:numPr>
          <w:ilvl w:val="0"/>
          <w:numId w:val="2"/>
        </w:numPr>
        <w:spacing w:after="80"/>
      </w:pPr>
      <w:r>
        <w:rPr>
          <w:rFonts w:ascii="Arial" w:cs="Arial" w:eastAsia="Arial" w:hAnsi="Arial"/>
          <w:color w:val="333333"/>
          <w:sz w:val="20"/>
          <w:szCs w:val="20"/>
        </w:rPr>
        <w:t xml:space="preserve">Standalone definitions booklet (not a schedule to ISDA MA) — simplifies adoption</w:t>
      </w:r>
    </w:p>
    <w:p>
      <w:pPr>
        <w:pStyle w:val="ListParagraph"/>
        <w:numPr>
          <w:ilvl w:val="0"/>
          <w:numId w:val="2"/>
        </w:numPr>
        <w:spacing w:after="80"/>
      </w:pPr>
      <w:r>
        <w:rPr>
          <w:rFonts w:ascii="Arial" w:cs="Arial" w:eastAsia="Arial" w:hAnsi="Arial"/>
          <w:color w:val="333333"/>
          <w:sz w:val="20"/>
          <w:szCs w:val="20"/>
        </w:rPr>
        <w:t xml:space="preserve">Template confirmations for spot, forward, and option trades</w:t>
      </w:r>
    </w:p>
    <w:p>
      <w:pPr>
        <w:pStyle w:val="ListParagraph"/>
        <w:numPr>
          <w:ilvl w:val="0"/>
          <w:numId w:val="2"/>
        </w:numPr>
        <w:spacing w:after="80"/>
      </w:pPr>
      <w:r>
        <w:rPr>
          <w:rFonts w:ascii="Arial" w:cs="Arial" w:eastAsia="Arial" w:hAnsi="Arial"/>
          <w:color w:val="333333"/>
          <w:sz w:val="20"/>
          <w:szCs w:val="20"/>
        </w:rPr>
        <w:t xml:space="preserve">Carbon Standard and Registry agnostic — works with Verra, Gold Standard, and compliance registries</w:t>
      </w:r>
    </w:p>
    <w:p>
      <w:pPr>
        <w:pStyle w:val="ListParagraph"/>
        <w:numPr>
          <w:ilvl w:val="0"/>
          <w:numId w:val="2"/>
        </w:numPr>
        <w:spacing w:after="80"/>
      </w:pPr>
      <w:r>
        <w:rPr>
          <w:rFonts w:ascii="Arial" w:cs="Arial" w:eastAsia="Arial" w:hAnsi="Arial"/>
          <w:color w:val="333333"/>
          <w:sz w:val="20"/>
          <w:szCs w:val="20"/>
        </w:rPr>
        <w:t xml:space="preserve">VCC Netting provisions for offsetting deliveries between same counterparties</w:t>
      </w:r>
    </w:p>
    <w:p>
      <w:pPr>
        <w:pStyle w:val="ListParagraph"/>
        <w:numPr>
          <w:ilvl w:val="0"/>
          <w:numId w:val="2"/>
        </w:numPr>
        <w:spacing w:after="80"/>
      </w:pPr>
      <w:r>
        <w:rPr>
          <w:rFonts w:ascii="Arial" w:cs="Arial" w:eastAsia="Arial" w:hAnsi="Arial"/>
          <w:color w:val="333333"/>
          <w:sz w:val="20"/>
          <w:szCs w:val="20"/>
        </w:rPr>
        <w:t xml:space="preserve">Settlement disruption events defined (analogous to Force Majeure under ISDA 2002)</w:t>
      </w:r>
    </w:p>
    <w:p>
      <w:pPr>
        <w:pStyle w:val="ListParagraph"/>
        <w:numPr>
          <w:ilvl w:val="0"/>
          <w:numId w:val="2"/>
        </w:numPr>
        <w:spacing w:after="80"/>
      </w:pPr>
      <w:r>
        <w:rPr>
          <w:rFonts w:ascii="Arial" w:cs="Arial" w:eastAsia="Arial" w:hAnsi="Arial"/>
          <w:color w:val="333333"/>
          <w:sz w:val="20"/>
          <w:szCs w:val="20"/>
        </w:rPr>
        <w:t xml:space="preserve">Available digitally via ISDA MyLibrary (mylibrary.isda.org)</w:t>
      </w:r>
    </w:p>
    <w:p>
      <w:pPr>
        <w:pStyle w:val="Heading2"/>
        <w:spacing w:before="280" w:after="160"/>
      </w:pPr>
      <w:r>
        <w:rPr>
          <w:rFonts w:ascii="Arial" w:cs="Arial" w:eastAsia="Arial" w:hAnsi="Arial"/>
          <w:b/>
          <w:bCs/>
          <w:color w:val="1B2A4A"/>
          <w:sz w:val="26"/>
          <w:szCs w:val="26"/>
        </w:rPr>
        <w:t xml:space="preserve">4.2 IETA ERPA Templates</w:t>
      </w:r>
    </w:p>
    <w:p>
      <w:pPr>
        <w:spacing w:after="120"/>
      </w:pPr>
      <w:r>
        <w:rPr>
          <w:rFonts w:ascii="Arial" w:cs="Arial" w:eastAsia="Arial" w:hAnsi="Arial"/>
          <w:color w:val="333333"/>
          <w:sz w:val="20"/>
          <w:szCs w:val="20"/>
        </w:rPr>
        <w:t xml:space="preserve">The International Emissions Trading Association maintains standardised Emission Reduction Purchase Agreements:</w:t>
      </w:r>
    </w:p>
    <w:p>
      <w:pPr>
        <w:pStyle w:val="ListParagraph"/>
        <w:numPr>
          <w:ilvl w:val="0"/>
          <w:numId w:val="2"/>
        </w:numPr>
        <w:spacing w:after="80"/>
      </w:pPr>
      <w:r>
        <w:rPr>
          <w:rFonts w:ascii="Arial" w:cs="Arial" w:eastAsia="Arial" w:hAnsi="Arial"/>
          <w:color w:val="333333"/>
          <w:sz w:val="20"/>
          <w:szCs w:val="20"/>
        </w:rPr>
        <w:t xml:space="preserve">Primary ERPA: for purchasing VCCs directly from project developers</w:t>
      </w:r>
    </w:p>
    <w:p>
      <w:pPr>
        <w:pStyle w:val="ListParagraph"/>
        <w:numPr>
          <w:ilvl w:val="0"/>
          <w:numId w:val="2"/>
        </w:numPr>
        <w:spacing w:after="80"/>
      </w:pPr>
      <w:r>
        <w:rPr>
          <w:rFonts w:ascii="Arial" w:cs="Arial" w:eastAsia="Arial" w:hAnsi="Arial"/>
          <w:color w:val="333333"/>
          <w:sz w:val="20"/>
          <w:szCs w:val="20"/>
        </w:rPr>
        <w:t xml:space="preserve">Secondary ERPA: for trading existing credits in the secondary market</w:t>
      </w:r>
    </w:p>
    <w:p>
      <w:pPr>
        <w:pStyle w:val="ListParagraph"/>
        <w:numPr>
          <w:ilvl w:val="0"/>
          <w:numId w:val="2"/>
        </w:numPr>
        <w:spacing w:after="80"/>
      </w:pPr>
      <w:r>
        <w:rPr>
          <w:rFonts w:ascii="Arial" w:cs="Arial" w:eastAsia="Arial" w:hAnsi="Arial"/>
          <w:color w:val="333333"/>
          <w:sz w:val="20"/>
          <w:szCs w:val="20"/>
        </w:rPr>
        <w:t xml:space="preserve">Emissions Trading Master Agreement (ETMA): umbrella framework for multiple transactions</w:t>
      </w:r>
    </w:p>
    <w:p>
      <w:pPr>
        <w:pStyle w:val="ListParagraph"/>
        <w:numPr>
          <w:ilvl w:val="0"/>
          <w:numId w:val="2"/>
        </w:numPr>
        <w:spacing w:after="80"/>
      </w:pPr>
      <w:r>
        <w:rPr>
          <w:rFonts w:ascii="Arial" w:cs="Arial" w:eastAsia="Arial" w:hAnsi="Arial"/>
          <w:color w:val="333333"/>
          <w:sz w:val="20"/>
          <w:szCs w:val="20"/>
        </w:rPr>
        <w:t xml:space="preserve">Available at ieta.org/Trading-Documents</w:t>
      </w:r>
    </w:p>
    <w:p>
      <w:pPr>
        <w:pStyle w:val="Heading2"/>
        <w:spacing w:before="280" w:after="160"/>
      </w:pPr>
      <w:r>
        <w:rPr>
          <w:rFonts w:ascii="Arial" w:cs="Arial" w:eastAsia="Arial" w:hAnsi="Arial"/>
          <w:b/>
          <w:bCs/>
          <w:color w:val="1B2A4A"/>
          <w:sz w:val="26"/>
          <w:szCs w:val="26"/>
        </w:rPr>
        <w:t xml:space="preserve">4.3 Recommended Approach for NIHA</w:t>
      </w:r>
    </w:p>
    <w:p>
      <w:pPr>
        <w:spacing w:after="120"/>
      </w:pPr>
      <w:r>
        <w:rPr>
          <w:rFonts w:ascii="Arial" w:cs="Arial" w:eastAsia="Arial" w:hAnsi="Arial"/>
          <w:color w:val="333333"/>
          <w:sz w:val="20"/>
          <w:szCs w:val="20"/>
        </w:rPr>
        <w:t xml:space="preserve">Given NIHA’s principal counterparty model, the recommended documentation approach is:</w:t>
      </w:r>
    </w:p>
    <w:p>
      <w:pPr>
        <w:pStyle w:val="ListParagraph"/>
        <w:numPr>
          <w:ilvl w:val="0"/>
          <w:numId w:val="3"/>
        </w:numPr>
        <w:spacing w:after="80"/>
      </w:pPr>
      <w:r>
        <w:rPr>
          <w:rFonts w:ascii="Arial" w:cs="Arial" w:eastAsia="Arial" w:hAnsi="Arial"/>
          <w:color w:val="333333"/>
          <w:sz w:val="20"/>
          <w:szCs w:val="20"/>
        </w:rPr>
        <w:t xml:space="preserve">Use applicable industry-standard carbon credit definitions as the reference framework for carbon credit trading terminology and risk allocation</w:t>
      </w:r>
    </w:p>
    <w:p>
      <w:pPr>
        <w:pStyle w:val="ListParagraph"/>
        <w:numPr>
          <w:ilvl w:val="0"/>
          <w:numId w:val="3"/>
        </w:numPr>
        <w:spacing w:after="80"/>
      </w:pPr>
      <w:r>
        <w:rPr>
          <w:rFonts w:ascii="Arial" w:cs="Arial" w:eastAsia="Arial" w:hAnsi="Arial"/>
          <w:color w:val="333333"/>
          <w:sz w:val="20"/>
          <w:szCs w:val="20"/>
        </w:rPr>
        <w:t xml:space="preserve">Develop a bespoke Master Service Agreement (MSA) that incorporates industry-standard carbon credit definitions concepts but reflects NIHA’s unique principal/custody model</w:t>
      </w:r>
    </w:p>
    <w:p>
      <w:pPr>
        <w:pStyle w:val="ListParagraph"/>
        <w:numPr>
          <w:ilvl w:val="0"/>
          <w:numId w:val="3"/>
        </w:numPr>
        <w:spacing w:after="80"/>
      </w:pPr>
      <w:r>
        <w:rPr>
          <w:rFonts w:ascii="Arial" w:cs="Arial" w:eastAsia="Arial" w:hAnsi="Arial"/>
          <w:color w:val="333333"/>
          <w:sz w:val="20"/>
          <w:szCs w:val="20"/>
        </w:rPr>
        <w:t xml:space="preserve">Use IETA ERPA structures for trade confirmations, adapted for bilateral OTC execution</w:t>
      </w:r>
    </w:p>
    <w:p>
      <w:pPr>
        <w:pStyle w:val="ListParagraph"/>
        <w:numPr>
          <w:ilvl w:val="0"/>
          <w:numId w:val="3"/>
        </w:numPr>
        <w:spacing w:after="80"/>
      </w:pPr>
      <w:r>
        <w:rPr>
          <w:rFonts w:ascii="Arial" w:cs="Arial" w:eastAsia="Arial" w:hAnsi="Arial"/>
          <w:color w:val="333333"/>
          <w:sz w:val="20"/>
          <w:szCs w:val="20"/>
        </w:rPr>
        <w:t xml:space="preserve">Create a standalone Custody Agreement modeled on ISDA Credit Support Annex (CSA) principles but adapted for carbon credit custody</w:t>
      </w:r>
    </w:p>
    <w:p>
      <w:pPr>
        <w:pStyle w:val="ListParagraph"/>
        <w:numPr>
          <w:ilvl w:val="0"/>
          <w:numId w:val="3"/>
        </w:numPr>
        <w:spacing w:after="80"/>
      </w:pPr>
      <w:r>
        <w:rPr>
          <w:rFonts w:ascii="Arial" w:cs="Arial" w:eastAsia="Arial" w:hAnsi="Arial"/>
          <w:color w:val="333333"/>
          <w:sz w:val="20"/>
          <w:szCs w:val="20"/>
        </w:rPr>
        <w:t xml:space="preserve">Develop Client Money Agreement aligned with the applicable regulatory authority Client Money Rules (even though not technically required) for best-practice credibility</w:t>
      </w:r>
    </w:p>
    <w:p>
      <w:pPr>
        <w:pStyle w:val="ListParagraph"/>
        <w:numPr>
          <w:ilvl w:val="0"/>
          <w:numId w:val="3"/>
        </w:numPr>
        <w:spacing w:after="80"/>
      </w:pPr>
      <w:r>
        <w:rPr>
          <w:rFonts w:ascii="Arial" w:cs="Arial" w:eastAsia="Arial" w:hAnsi="Arial"/>
          <w:color w:val="333333"/>
          <w:sz w:val="20"/>
          <w:szCs w:val="20"/>
        </w:rPr>
        <w:t xml:space="preserve">Engage a top-tier Hong Kong law firm (King &amp; Wood Mallesons, Herbert Smith Freehills, or Linklaters) to finalize documentation</w:t>
      </w:r>
    </w:p>
    <w:p>
      <w:pPr>
        <w:spacing w:after="400"/>
      </w:pPr>
    </w:p>
    <w:p>
      <w:pPr>
        <w:pBdr>
          <w:top w:val="single" w:color="10B981" w:sz="2" w:space="8"/>
        </w:pBdr>
        <w:spacing w:before="200"/>
      </w:pPr>
      <w:r>
        <w:rPr>
          <w:rFonts w:ascii="Arial" w:cs="Arial" w:eastAsia="Arial" w:hAnsi="Arial"/>
          <w:b/>
          <w:bCs/>
          <w:color w:val="1B2A4A"/>
          <w:sz w:val="18"/>
          <w:szCs w:val="18"/>
        </w:rPr>
        <w:t xml:space="preserve">END OF DOCUMENT</w:t>
      </w:r>
    </w:p>
    <w:p>
      <w:pPr>
        <w:spacing w:after="120"/>
      </w:pPr>
      <w:r>
        <w:rPr>
          <w:rFonts w:ascii="Arial" w:cs="Arial" w:eastAsia="Arial" w:hAnsi="Arial"/>
          <w:color w:val="333333"/>
          <w:sz w:val="20"/>
          <w:szCs w:val="20"/>
        </w:rPr>
        <w:t xml:space="preserve">This document is for internal planning purposes and does not constitute legal advice. All contractual structures should be reviewed and finalized by qualified legal counsel in Hong Kong.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1B2A4A"/>
        <w:sz w:val="14"/>
        <w:szCs w:val="14"/>
      </w:rPr>
      <w:t xml:space="preserve">CONFIDENTIAL</w:t>
    </w:r>
    <w:r>
      <w:rPr>
        <w:rFonts w:ascii="Arial" w:cs="Arial" w:eastAsia="Arial" w:hAnsi="Arial"/>
        <w:color w:val="333333"/>
        <w:sz w:val="14"/>
        <w:szCs w:val="14"/>
      </w:rPr>
      <w:t xml:space="preserve">	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1B2A4A"/>
        <w:sz w:val="16"/>
        <w:szCs w:val="16"/>
      </w:rPr>
      <w:t xml:space="preserve">NIHA Carbon Platform</w:t>
    </w:r>
    <w:r>
      <w:rPr>
        <w:rFonts w:ascii="Arial" w:cs="Arial" w:eastAsia="Arial" w:hAnsi="Arial"/>
        <w:color w:val="333333"/>
        <w:sz w:val="16"/>
        <w:szCs w:val="16"/>
      </w:rPr>
      <w:t xml:space="preserve">	Legal &amp; Regulatory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2026-02-20T10:40:47.573Z</dcterms:created>
  <dcterms:modified xsi:type="dcterms:W3CDTF">2026-02-20T10:40:47.573Z</dcterms:modified>
</cp:coreProperties>
</file>

<file path=docProps/custom.xml><?xml version="1.0" encoding="utf-8"?>
<Properties xmlns="http://schemas.openxmlformats.org/officeDocument/2006/custom-properties" xmlns:vt="http://schemas.openxmlformats.org/officeDocument/2006/docPropsVTypes"/>
</file>