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color w:val="1B2A4A"/>
          <w:sz w:val="36"/>
          <w:szCs w:val="36"/>
        </w:rPr>
        <w:t xml:space="preserve">ITALY NIHAO GROUP LIMITED</w:t>
      </w:r>
    </w:p>
    <w:p>
      <w:pPr>
        <w:spacing w:after="200"/>
        <w:jc w:val="center"/>
      </w:pPr>
      <w:r>
        <w:rPr>
          <w:rFonts w:ascii="Times New Roman" w:cs="Times New Roman" w:eastAsia="Times New Roman" w:hAnsi="Times New Roman"/>
          <w:color w:val="2E75B6"/>
          <w:sz w:val="24"/>
          <w:szCs w:val="24"/>
        </w:rPr>
        <w:t xml:space="preserve">CARBON TRADING INFRASTRUCTURE</w:t>
      </w:r>
    </w:p>
    <w:p>
      <w:pPr>
        <w:pBdr>
          <w:bottom w:val="single" w:color="1B2A4A" w:sz="3" w:space="10"/>
        </w:pBdr>
        <w:spacing w:after="600"/>
        <w:jc w:val="center"/>
      </w:pPr>
      <w:r>
        <w:rPr>
          <w:rFonts w:ascii="Times New Roman" w:cs="Times New Roman" w:eastAsia="Times New Roman" w:hAnsi="Times New Roman"/>
          <w:b/>
          <w:bCs/>
          <w:color w:val="1B2A4A"/>
          <w:sz w:val="32"/>
          <w:szCs w:val="32"/>
        </w:rPr>
        <w:t xml:space="preserve">REGISTRY ACCOUNT OVERVIEW</w:t>
      </w:r>
    </w:p>
    <w:p>
      <w:pPr>
        <w:spacing w:after="100"/>
        <w:jc w:val="center"/>
      </w:pPr>
      <w:r>
        <w:rPr>
          <w:rFonts w:ascii="Times New Roman" w:cs="Times New Roman" w:eastAsia="Times New Roman" w:hAnsi="Times New Roman"/>
          <w:color w:val="333333"/>
          <w:sz w:val="24"/>
          <w:szCs w:val="24"/>
        </w:rPr>
        <w:t xml:space="preserve">As at 31 January 2026</w:t>
      </w:r>
    </w:p>
    <w:p>
      <w:pPr>
        <w:spacing w:after="400"/>
        <w:jc w:val="center"/>
      </w:pPr>
      <w:r>
        <w:rPr>
          <w:rFonts w:ascii="Times New Roman" w:cs="Times New Roman" w:eastAsia="Times New Roman" w:hAnsi="Times New Roman"/>
          <w:color w:val="666666"/>
          <w:sz w:val="20"/>
          <w:szCs w:val="20"/>
        </w:rPr>
        <w:t xml:space="preserve">Document Reference: NIHA-RAO-2026-001</w:t>
      </w:r>
    </w:p>
    <w:p>
      <w:pPr>
        <w:spacing w:before="0" w:after="200"/>
      </w:pPr>
      <w:r>
        <w:rPr>
          <w:rFonts w:ascii="Times New Roman" w:cs="Times New Roman" w:eastAsia="Times New Roman" w:hAnsi="Times New Roman"/>
          <w:color w:val="333333"/>
          <w:sz w:val="22"/>
          <w:szCs w:val="22"/>
        </w:rPr>
        <w:t xml:space="preserve">This document provides a summary of Italy Nihao Group Limited's carbon registry accounts, banking infrastructure, and operational connectivity supporting cross-border carbon credit trading operations.</w:t>
      </w:r>
    </w:p>
    <w:p>
      <w:pPr>
        <w:spacing w:before="200" w:after="400"/>
      </w:pPr>
      <w:r>
        <w:rPr>
          <w:rFonts w:ascii="Times New Roman" w:cs="Times New Roman" w:eastAsia="Times New Roman" w:hAnsi="Times New Roman"/>
          <w:b/>
          <w:bCs/>
          <w:color w:val="C0392B"/>
          <w:sz w:val="22"/>
          <w:szCs w:val="22"/>
        </w:rPr>
        <w:t xml:space="preserve">CLASSIFICATION: STRICTLY CONFIDENTIAL</w:t>
      </w:r>
      <w:r>
        <w:rPr>
          <w:rFonts w:ascii="Times New Roman" w:cs="Times New Roman" w:eastAsia="Times New Roman" w:hAnsi="Times New Roman"/>
          <w:color w:val="666666"/>
          <w:sz w:val="20"/>
          <w:szCs w:val="20"/>
        </w:rPr>
        <w:t xml:space="preserve"> — Contains registry account identifiers and banking details. Distribution restricted to authorised personnel and regulatory authorities only.</w:t>
      </w:r>
    </w:p>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1. CARBON REGISTRY ACCOUNTS</w:t>
      </w:r>
    </w:p>
    <w:p>
      <w:pPr>
        <w:spacing w:before="0" w:after="300"/>
      </w:pPr>
      <w:r>
        <w:rPr>
          <w:rFonts w:ascii="Times New Roman" w:cs="Times New Roman" w:eastAsia="Times New Roman" w:hAnsi="Times New Roman"/>
          <w:color w:val="333333"/>
          <w:sz w:val="22"/>
          <w:szCs w:val="22"/>
        </w:rPr>
        <w:t xml:space="preserve">NIHA maintains active accounts across three (3) carbon registry systems to support its cross-border trading operations:</w:t>
      </w:r>
    </w:p>
    <w:p>
      <w:pPr>
        <w:spacing w:before="0" w:after="200"/>
      </w:pPr>
      <w:r>
        <w:rPr>
          <w:rFonts w:ascii="Times New Roman" w:cs="Times New Roman" w:eastAsia="Times New Roman" w:hAnsi="Times New Roman"/>
          <w:b/>
          <w:bCs/>
          <w:color w:val="1B2A4A"/>
          <w:sz w:val="24"/>
          <w:szCs w:val="24"/>
        </w:rPr>
        <w:t xml:space="preserve">1.1 EU UNION REGISTRY (EUTL)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Registry: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European Union Transaction Log (EUTL)</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Administered by: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European Commission — DG Climate Action</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National Administrator: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Environment Agency (Ireland) — via HK entity application</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Trading Account (Person Holding Account — Legal Entity)</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Holder: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Number: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EU-100-XXXX-X-XX (redacted for security)</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ACTIVE — Verified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Opening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14 June 2025</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Authorised Representatives: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 (Managing Director + Compliance Officer)</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Trusted Account List: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7 accounts (client delivery accounts)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Current Holdings: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47,200 EUA (Phase IV, various vintages)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24h Transfer Delay: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Active (mandatory for non-TAL transfers)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KYC 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Full KYC completed — last reviewed 12 Jan 2026</w:t>
            </w:r>
          </w:p>
        </w:tc>
      </w:tr>
    </w:tbl>
    <w:p>
      <w:pPr>
        <w:spacing w:before="0" w:after="300"/>
      </w:pPr>
      <w:r>
        <w:rPr>
          <w:rFonts w:ascii="Times New Roman" w:cs="Times New Roman" w:eastAsia="Times New Roman" w:hAnsi="Times New Roman"/>
          <w:i/>
          <w:iCs/>
          <w:color w:val="666666"/>
          <w:sz w:val="22"/>
          <w:szCs w:val="22"/>
        </w:rPr>
        <w:t xml:space="preserve">NIHA's EU Registry account enables direct participation in the EU ETS secondary market. All EUA transfers to clients are initiated from this account following settlement confirmation. The Trusted Account List is maintained with pre-verified client registry accounts to enable expedited T+2 settlement.</w:t>
      </w:r>
    </w:p>
    <w:p>
      <w:pPr>
        <w:spacing w:before="0" w:after="200"/>
      </w:pPr>
      <w:r>
        <w:rPr>
          <w:rFonts w:ascii="Times New Roman" w:cs="Times New Roman" w:eastAsia="Times New Roman" w:hAnsi="Times New Roman"/>
          <w:b/>
          <w:bCs/>
          <w:color w:val="1B2A4A"/>
          <w:sz w:val="24"/>
          <w:szCs w:val="24"/>
        </w:rPr>
        <w:t xml:space="preserve">1.2 SHENZHEN CARBON EXCHANGE (CEEX) — FOREIGN INVESTOR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Exchange: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China Emissions Exchange (Shenzhen) — CEEX</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Qualified Foreign Investor Trading Account</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Holder: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Number: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CEEX-FI-2025-XXXX (redacted)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SAFE Registration: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Approved — Ref: SAFE-GD-2025-XXXX</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ACTIVE — Trading Enabled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Opening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 September 2025</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Settlement Bank:</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Bank of China (Hong Kong) — designated CNY settlement account</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Current CEA Holdings: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385,000 whole units (Shenzhen Pilot Allowances)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Trading Permissions: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Spot buy, Spot sell, Block trade, Auction participation</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Daily Trading Limit: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100,000 whole units (per CEEX foreign investor rules)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SAFE Capital Quota:</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CNY 50,000,000 (approved annual cross-border quota)</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Annual Compliance: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Next filing due: 31 March 2026</w:t>
            </w:r>
          </w:p>
        </w:tc>
      </w:tr>
    </w:tbl>
    <w:p>
      <w:pPr>
        <w:spacing w:before="0" w:after="300"/>
      </w:pPr>
      <w:r>
        <w:rPr>
          <w:rFonts w:ascii="Times New Roman" w:cs="Times New Roman" w:eastAsia="Times New Roman" w:hAnsi="Times New Roman"/>
          <w:i/>
          <w:iCs/>
          <w:color w:val="666666"/>
          <w:sz w:val="22"/>
          <w:szCs w:val="22"/>
        </w:rPr>
        <w:t xml:space="preserve">The CEEX foreign investor account was established under the Shenzhen Pilot ETS's foreign participation framework, which permits non-PRC entities to trade Shenzhen emission allowances subject to SAFE approval for cross-border capital movement. NIHA is one of approximately 30 foreign entities with active CEEX trading accounts.</w:t>
      </w:r>
    </w:p>
    <w:p>
      <w:r>
        <w:br w:type="page"/>
      </w:r>
    </w:p>
    <w:p>
      <w:pPr>
        <w:spacing w:before="0" w:after="200"/>
      </w:pPr>
      <w:r>
        <w:rPr>
          <w:rFonts w:ascii="Times New Roman" w:cs="Times New Roman" w:eastAsia="Times New Roman" w:hAnsi="Times New Roman"/>
          <w:b/>
          <w:bCs/>
          <w:color w:val="1B2A4A"/>
          <w:sz w:val="24"/>
          <w:szCs w:val="24"/>
        </w:rPr>
        <w:t xml:space="preserve">1.3 HKEX CORE CLIMATE — PARTICIPANT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Platform:</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Hong Kong Exchanges and Clearing Ltd — Core Climate</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Participant Account (Trading + Custody)</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Participant ID: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CC-NIHA-2025-003</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Holder: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Account 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ACTIVE — Full Trading Privileges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Onboarding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22 July 2025</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Eligible Products: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VCS (Verra), GS (Gold Standard), ACR, CDM CERs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Current Inventory: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52,000 VCC (various standards and vintages)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Settlement: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T+2 via Core Climate platform</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Retirement Capability: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Enabled (for client offset mandates)</w:t>
            </w:r>
          </w:p>
        </w:tc>
      </w:tr>
      <w:tr>
        <w:tc>
          <w:tcPr>
            <w:tcW w:type="pct" w:w="35%"/>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AML/KYC 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Full verification — HKEX onboarding complete</w:t>
            </w:r>
          </w:p>
        </w:tc>
      </w:tr>
    </w:tbl>
    <w:p>
      <w:pPr>
        <w:spacing w:before="0" w:after="300"/>
      </w:pPr>
      <w:r>
        <w:rPr>
          <w:rFonts w:ascii="Times New Roman" w:cs="Times New Roman" w:eastAsia="Times New Roman" w:hAnsi="Times New Roman"/>
          <w:i/>
          <w:iCs/>
          <w:color w:val="666666"/>
          <w:sz w:val="22"/>
          <w:szCs w:val="22"/>
        </w:rPr>
        <w:t xml:space="preserve">HKEX Core Climate provides NIHA's voluntary carbon credit trading capability. As a registered participant, NIHA can source, custody, and deliver voluntary credits to clients across Gold Standard, Verra, ACR, and CDM programmes.</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2. BANKING INFRASTRUCTURE</w:t>
      </w:r>
    </w:p>
    <w:p>
      <w:pPr>
        <w:spacing w:before="0" w:after="200"/>
      </w:pPr>
      <w:r>
        <w:rPr>
          <w:rFonts w:ascii="Times New Roman" w:cs="Times New Roman" w:eastAsia="Times New Roman" w:hAnsi="Times New Roman"/>
          <w:color w:val="333333"/>
          <w:sz w:val="22"/>
          <w:szCs w:val="22"/>
        </w:rPr>
        <w:t xml:space="preserve">NIHA maintains segregated banking arrangements to ensure client funds are held separately from operational funds at all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Account Purpose</w:t>
            </w:r>
          </w:p>
        </w:tc>
        <w:tc>
          <w:tcPr>
            <w:tcW w:type="pct" w:w="22%"/>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Bank</w:t>
            </w:r>
          </w:p>
        </w:tc>
        <w:tc>
          <w:tcPr>
            <w:tcW w:type="pct" w:w="1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Currency</w:t>
            </w:r>
          </w:p>
        </w:tc>
        <w:tc>
          <w:tcPr>
            <w:tcW w:type="pct" w:w="18%"/>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Account Ref.</w:t>
            </w:r>
          </w:p>
        </w:tc>
        <w:tc>
          <w:tcPr>
            <w:tcW w:type="pct" w:w="12%"/>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Status</w:t>
            </w:r>
          </w:p>
        </w:tc>
        <w:tc>
          <w:tcPr>
            <w:tcW w:type="pct" w:w="13%"/>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Segregated</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Client Funds — EUA Operations</w:t>
            </w:r>
          </w:p>
        </w:tc>
        <w:tc>
          <w:tcPr>
            <w:tcW w:type="pct" w:w="2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HSBC Hong Kong</w:t>
            </w:r>
          </w:p>
        </w:tc>
        <w:tc>
          <w:tcPr>
            <w:tcW w:type="pct" w:w="1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EUR</w:t>
            </w:r>
          </w:p>
        </w:tc>
        <w:tc>
          <w:tcPr>
            <w:tcW w:type="pct" w:w="18%"/>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****8847</w:t>
            </w:r>
          </w:p>
        </w:tc>
        <w:tc>
          <w:tcPr>
            <w:tcW w:type="pct" w:w="1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1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b/>
                <w:bCs/>
                <w:color w:val="333333"/>
                <w:sz w:val="18"/>
                <w:szCs w:val="18"/>
              </w:rPr>
              <w:t xml:space="preserve">Yes</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Client Funds — VCC Operations</w:t>
            </w:r>
          </w:p>
        </w:tc>
        <w:tc>
          <w:tcPr>
            <w:tcW w:type="pct" w:w="2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HSBC Hong Kong</w:t>
            </w:r>
          </w:p>
        </w:tc>
        <w:tc>
          <w:tcPr>
            <w:tcW w:type="pct" w:w="1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USD</w:t>
            </w:r>
          </w:p>
        </w:tc>
        <w:tc>
          <w:tcPr>
            <w:tcW w:type="pct" w:w="18%"/>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****8849</w:t>
            </w:r>
          </w:p>
        </w:tc>
        <w:tc>
          <w:tcPr>
            <w:tcW w:type="pct" w:w="1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1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b/>
                <w:bCs/>
                <w:color w:val="333333"/>
                <w:sz w:val="18"/>
                <w:szCs w:val="18"/>
              </w:rPr>
              <w:t xml:space="preserve">Yes</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Client Funds — CEA Operations</w:t>
            </w:r>
          </w:p>
        </w:tc>
        <w:tc>
          <w:tcPr>
            <w:tcW w:type="pct" w:w="2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Bank of China HK</w:t>
            </w:r>
          </w:p>
        </w:tc>
        <w:tc>
          <w:tcPr>
            <w:tcW w:type="pct" w:w="1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CNY</w:t>
            </w:r>
          </w:p>
        </w:tc>
        <w:tc>
          <w:tcPr>
            <w:tcW w:type="pct" w:w="18%"/>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****6621</w:t>
            </w:r>
          </w:p>
        </w:tc>
        <w:tc>
          <w:tcPr>
            <w:tcW w:type="pct" w:w="1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1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b/>
                <w:bCs/>
                <w:color w:val="333333"/>
                <w:sz w:val="18"/>
                <w:szCs w:val="18"/>
              </w:rPr>
              <w:t xml:space="preserve">Yes</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NIHA Operational</w:t>
            </w:r>
          </w:p>
        </w:tc>
        <w:tc>
          <w:tcPr>
            <w:tcW w:type="pct" w:w="2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HSBC Hong Kong</w:t>
            </w:r>
          </w:p>
        </w:tc>
        <w:tc>
          <w:tcPr>
            <w:tcW w:type="pct" w:w="1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HKD/EUR</w:t>
            </w:r>
          </w:p>
        </w:tc>
        <w:tc>
          <w:tcPr>
            <w:tcW w:type="pct" w:w="18%"/>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****3301</w:t>
            </w:r>
          </w:p>
        </w:tc>
        <w:tc>
          <w:tcPr>
            <w:tcW w:type="pct" w:w="1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1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N/A</w:t>
            </w:r>
          </w:p>
        </w:tc>
      </w:tr>
      <w:tr>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Fee Collection</w:t>
            </w:r>
          </w:p>
        </w:tc>
        <w:tc>
          <w:tcPr>
            <w:tcW w:type="pct" w:w="2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HSBC Hong Kong</w:t>
            </w:r>
          </w:p>
        </w:tc>
        <w:tc>
          <w:tcPr>
            <w:tcW w:type="pct" w:w="1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Multi-ccy</w:t>
            </w:r>
          </w:p>
        </w:tc>
        <w:tc>
          <w:tcPr>
            <w:tcW w:type="pct" w:w="18%"/>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****3305</w:t>
            </w:r>
          </w:p>
        </w:tc>
        <w:tc>
          <w:tcPr>
            <w:tcW w:type="pct" w:w="12%"/>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13%"/>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N/A</w:t>
            </w:r>
          </w:p>
        </w:tc>
      </w:tr>
    </w:tbl>
    <w:p>
      <w:pPr>
        <w:spacing w:before="0" w:after="300"/>
      </w:pPr>
      <w:r>
        <w:rPr>
          <w:rFonts w:ascii="Times New Roman" w:cs="Times New Roman" w:eastAsia="Times New Roman" w:hAnsi="Times New Roman"/>
          <w:i/>
          <w:iCs/>
          <w:color w:val="666666"/>
          <w:sz w:val="22"/>
          <w:szCs w:val="22"/>
        </w:rPr>
        <w:t xml:space="preserve">All segregated client accounts are subject to third-party reconciliation on a monthly basis. Account statements are available to clients upon request and are included in monthly portfolio statements.</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3. MARKET CONNECTIVITY &amp; DATA FEEDS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Service / Provider</w:t>
            </w:r>
          </w:p>
        </w:tc>
        <w:tc>
          <w:tcPr>
            <w:tcW w:type="pct" w:w="3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Purpose</w:t>
            </w:r>
          </w:p>
        </w:tc>
        <w:tc>
          <w:tcPr>
            <w:tcW w:type="pct" w:w="1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Status</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Since</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ICE Endex (Intercontinental Exchange)</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EUA futures pricing, benchmark data</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May 2025</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CEEX Market Data Feed</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Shenzhen CEA spot prices, auction results</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Sep 2025</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HKEX Core Climate API</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VCC pricing, order execution, settlement</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Jul 2025</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Refinitiv Carbon (LSEG)</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Cross-market analytics, historical data</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Aug 2025</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World-Check (Refinitiv)</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Sanctions screening, PEP checks</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Oct 2025</w:t>
            </w:r>
          </w:p>
        </w:tc>
      </w:tr>
      <w:tr>
        <w:tc>
          <w:tcPr>
            <w:tcW w:type="pct" w:w="3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Bloomberg Carbon Terminal</w:t>
            </w:r>
          </w:p>
        </w:tc>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Market intelligence, pricing verification</w:t>
            </w:r>
          </w:p>
        </w:tc>
        <w:tc>
          <w:tcPr>
            <w:tcW w:type="pct" w:w="1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Nov 2025</w:t>
            </w:r>
          </w:p>
        </w:tc>
      </w:tr>
    </w:tbl>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4. OPERATIONAL STATISTICS (CUMULATIVE)</w:t>
      </w:r>
    </w:p>
    <w:p>
      <w:pPr>
        <w:spacing w:before="0" w:after="200"/>
      </w:pPr>
      <w:r>
        <w:rPr>
          <w:rFonts w:ascii="Times New Roman" w:cs="Times New Roman" w:eastAsia="Times New Roman" w:hAnsi="Times New Roman"/>
          <w:color w:val="333333"/>
          <w:sz w:val="22"/>
          <w:szCs w:val="22"/>
        </w:rPr>
        <w:t xml:space="preserve">Since commencement of carbon trading operations in June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Metric</w:t>
            </w:r>
          </w:p>
        </w:tc>
        <w:tc>
          <w:tcPr>
            <w:tcW w:type="pct" w:w="25%"/>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Value</w:t>
            </w:r>
          </w:p>
        </w:tc>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Period</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Transactions Executed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~450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Jun 2025 —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Volume Traded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~6,200,000 whole units</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Jun 2025 —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Total Transaction Value (EUR equiv.)</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~€38 million</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Jun 2025 —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Active Client Counterparties</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18</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As at 31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Cross-Border Conversions (CEA→EUA)</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~65</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Sep 2025 —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CEA→EUA Volume Converted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~1,580,000 whole units</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Sep 2025 — Jan 2026</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Average Settlement Time (EUA)</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T+1.8 business days</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Rolling 3-month</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Average Settlement Time (CEA→EUA)</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T+5.2 business days</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Rolling 3-month</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Settlement Failure Rate</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0.0%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Lifetime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Compliance Incidents</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Lifetime</w:t>
            </w:r>
          </w:p>
        </w:tc>
      </w:tr>
      <w:tr>
        <w:tc>
          <w:tcPr>
            <w:tcW w:type="pct" w:w="5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STRs Filed</w:t>
            </w:r>
          </w:p>
        </w:tc>
        <w:tc>
          <w:tcPr>
            <w:tcW w:type="pct" w:w="25%"/>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0</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Lifetime</w:t>
            </w:r>
          </w:p>
        </w:tc>
      </w:tr>
    </w:tbl>
    <w:p>
      <w:pPr>
        <w:pBdr>
          <w:bottom w:val="single" w:color="2E75B6" w:sz="2" w:space="4"/>
        </w:pBdr>
        <w:spacing w:before="400" w:after="200"/>
      </w:pPr>
      <w:r>
        <w:rPr>
          <w:rFonts w:ascii="Times New Roman" w:cs="Times New Roman" w:eastAsia="Times New Roman" w:hAnsi="Times New Roman"/>
          <w:b/>
          <w:bCs/>
          <w:color w:val="1B2A4A"/>
          <w:sz w:val="26"/>
          <w:szCs w:val="26"/>
        </w:rPr>
        <w:t xml:space="preserve">5. REGULATORY &amp; COMPLIANCE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Requirement</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Status</w:t>
            </w:r>
          </w:p>
        </w:tc>
        <w:tc>
          <w:tcPr>
            <w:tcW w:type="pct" w:w="25%"/>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Next Review / Renewal</w:t>
            </w:r>
          </w:p>
        </w:tc>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18"/>
                <w:szCs w:val="18"/>
              </w:rPr>
              <w:t xml:space="preserve">Reference</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HK Company Registration</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Annual return: 30 Jun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CR No. 2217469</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Business Registration</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Renewal: 1 Apr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IRD Cert. current</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CEEX Foreign Investor Registration</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Annual compliance: 31 Mar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SAFE-GD-2025-XXXX</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SAFE Cross-Border Quota</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Annual renewal: Sep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CNY 50M approved</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HKEX Core Climate Participant</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Ongoing</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CC-NIHA-2025-003</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EU Registry Account</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KYC review: Jun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EU-100-XXXX</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applicable anti-money laundering legislation Internal Controls</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Implemented</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Annual review: Apr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CPM-2025-001</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PDPO Registration</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Compliant</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Ongoing</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DPP-2025-001</w:t>
            </w:r>
          </w:p>
        </w:tc>
      </w:tr>
      <w:tr>
        <w:tc>
          <w:tcPr>
            <w:tcW w:type="pct" w:w="3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Professional Indemnity Insurance</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1B7A3D"/>
                <w:sz w:val="18"/>
                <w:szCs w:val="18"/>
              </w:rPr>
              <w:t xml:space="preserve">Active</w:t>
            </w:r>
          </w:p>
        </w:tc>
        <w:tc>
          <w:tcPr>
            <w:tcW w:type="pct" w:w="25%"/>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Renewal: 1 Aug 2026</w:t>
            </w:r>
          </w:p>
        </w:tc>
        <w:tc>
          <w:tcPr>
            <w:tcW w:type="pct" w:w="20%"/>
            <w:tcBorders>
              <w:top w:val="single" w:color="CCCCCC" w:sz="1"/>
              <w:left w:val="single" w:color="CCCCCC" w:sz="1"/>
              <w:bottom w:val="single" w:color="CCCCCC" w:sz="1"/>
              <w:right w:val="single" w:color="CCCCCC" w:sz="1"/>
            </w:tcBorders>
          </w:tcPr>
          <w:p>
            <w:pPr>
              <w:spacing w:before="40" w:after="40"/>
            </w:pPr>
            <w:r>
              <w:rPr>
                <w:rFonts w:ascii="Times New Roman" w:cs="Times New Roman" w:eastAsia="Times New Roman" w:hAnsi="Times New Roman"/>
                <w:color w:val="333333"/>
                <w:sz w:val="18"/>
                <w:szCs w:val="18"/>
              </w:rPr>
              <w:t xml:space="preserve">Policy HK-PI-XXX</w:t>
            </w:r>
          </w:p>
        </w:tc>
      </w:tr>
    </w:tbl>
    <w:p>
      <w:pPr>
        <w:spacing w:before="0" w:after="300"/>
      </w:pPr>
      <w:r>
        <w:rPr>
          <w:rFonts w:ascii="Times New Roman" w:cs="Times New Roman" w:eastAsia="Times New Roman" w:hAnsi="Times New Roman"/>
          <w:i/>
          <w:iCs/>
          <w:color w:val="666666"/>
          <w:sz w:val="22"/>
          <w:szCs w:val="22"/>
        </w:rPr>
        <w:t xml:space="preserve">Note: Carbon credits are not classified as securities under the applicable securities and futures legislation in Hong Kong. NIHA's carbon trading activities therefore do not require an the applicable regulatory authority licence. This regulatory position has been confirmed by independent legal counsel (see Regulatory Position Memorandum, Ref: NIHA-RPM-2025-001).</w:t>
      </w:r>
    </w:p>
    <w:p>
      <w:pPr>
        <w:pBdr>
          <w:top w:val="single" w:color="1B2A4A" w:sz="2" w:space="8"/>
        </w:pBdr>
        <w:spacing w:before="400"/>
      </w:pPr>
      <w:r>
        <w:rPr>
          <w:rFonts w:ascii="Times New Roman" w:cs="Times New Roman" w:eastAsia="Times New Roman" w:hAnsi="Times New Roman"/>
          <w:color w:val="666666"/>
          <w:sz w:val="20"/>
          <w:szCs w:val="20"/>
        </w:rPr>
        <w:t xml:space="preserve">Prepared by:</w:t>
      </w:r>
    </w:p>
    <w:p>
      <w:pPr>
        <w:spacing w:before="0" w:after="120"/>
      </w:pPr>
      <w:r>
        <w:rPr>
          <w:rFonts w:ascii="Times New Roman" w:cs="Times New Roman" w:eastAsia="Times New Roman" w:hAnsi="Times New Roman"/>
          <w:b/>
          <w:bCs/>
          <w:color w:val="1B2A4A"/>
          <w:sz w:val="22"/>
          <w:szCs w:val="22"/>
        </w:rPr>
        <w:t xml:space="preserve">Compliance Department — Italy Nihao Group Limited</w:t>
      </w:r>
    </w:p>
    <w:p>
      <w:pPr>
        <w:spacing w:before="0" w:after="200"/>
      </w:pPr>
      <w:r>
        <w:rPr>
          <w:rFonts w:ascii="Times New Roman" w:cs="Times New Roman" w:eastAsia="Times New Roman" w:hAnsi="Times New Roman"/>
          <w:color w:val="333333"/>
          <w:sz w:val="22"/>
          <w:szCs w:val="22"/>
        </w:rPr>
        <w:t xml:space="preserve">Date: 3 February 2026</w:t>
      </w:r>
    </w:p>
    <w:p>
      <w:pPr>
        <w:spacing w:before="0" w:after="120"/>
      </w:pPr>
      <w:r>
        <w:rPr>
          <w:rFonts w:ascii="Times New Roman" w:cs="Times New Roman" w:eastAsia="Times New Roman" w:hAnsi="Times New Roman"/>
          <w:color w:val="666666"/>
          <w:sz w:val="22"/>
          <w:szCs w:val="22"/>
        </w:rPr>
        <w:t xml:space="preserve">Reviewed and approved by:</w:t>
      </w:r>
    </w:p>
    <w:p>
      <w:pPr>
        <w:spacing w:before="0" w:after="60"/>
      </w:pPr>
      <w:r>
        <w:rPr>
          <w:rFonts w:ascii="Times New Roman" w:cs="Times New Roman" w:eastAsia="Times New Roman" w:hAnsi="Times New Roman"/>
          <w:color w:val="333333"/>
          <w:sz w:val="22"/>
          <w:szCs w:val="22"/>
        </w:rPr>
        <w:t xml:space="preserve">____________________________</w:t>
      </w:r>
    </w:p>
    <w:p>
      <w:pPr>
        <w:spacing w:before="0" w:after="120"/>
      </w:pPr>
      <w:r>
        <w:rPr>
          <w:rFonts w:ascii="Times New Roman" w:cs="Times New Roman" w:eastAsia="Times New Roman" w:hAnsi="Times New Roman"/>
          <w:b/>
          <w:bCs/>
          <w:color w:val="1B2A4A"/>
          <w:sz w:val="22"/>
          <w:szCs w:val="22"/>
        </w:rPr>
        <w:t xml:space="preserve">Managing Director</w:t>
      </w:r>
    </w:p>
    <w:sectPr>
      <w:headerReference w:type="default" r:id="rId6"/>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4"/>
        <w:szCs w:val="14"/>
      </w:rPr>
      <w:t xml:space="preserve"> | NIHA-RAO-2026-001 | Strictly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100"/>
      <w:jc w:val="left"/>
    </w:pPr>
    <w:r>
      <w:rPr>
        <w:rFonts w:ascii="Times New Roman" w:cs="Times New Roman" w:eastAsia="Times New Roman" w:hAnsi="Times New Roman"/>
        <w:b/>
        <w:bCs/>
        <w:color w:val="1B2A4A"/>
        <w:sz w:val="18"/>
        <w:szCs w:val="18"/>
      </w:rPr>
      <w:t xml:space="preserve">ITALY NIHAO GROUP LIMITED</w:t>
    </w:r>
    <w:r>
      <w:rPr>
        <w:rFonts w:ascii="Times New Roman" w:cs="Times New Roman" w:eastAsia="Times New Roman" w:hAnsi="Times New Roman"/>
        <w:color w:val="666666"/>
        <w:sz w:val="16"/>
        <w:szCs w:val="16"/>
      </w:rPr>
      <w:t xml:space="preserve"> | REGISTRY ACCOUNT OVERVIEW</w:t>
    </w:r>
    <w:r>
      <w:rPr>
        <w:rFonts w:ascii="Times New Roman" w:cs="Times New Roman" w:eastAsia="Times New Roman" w:hAnsi="Times New Roman"/>
        <w:b/>
        <w:bCs/>
        <w:color w:val="C0392B"/>
        <w:sz w:val="16"/>
        <w:szCs w:val="16"/>
      </w:rPr>
      <w:t xml:space="preserve">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2026-02-20T15:56:14.646Z</dcterms:created>
  <dcterms:modified xsi:type="dcterms:W3CDTF">2026-02-20T15:56:14.646Z</dcterms:modified>
</cp:coreProperties>
</file>

<file path=docProps/custom.xml><?xml version="1.0" encoding="utf-8"?>
<Properties xmlns="http://schemas.openxmlformats.org/officeDocument/2006/custom-properties" xmlns:vt="http://schemas.openxmlformats.org/officeDocument/2006/docPropsVTypes"/>
</file>