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before="0" w:after="130"/>
        <w:jc w:val="center"/>
      </w:pPr>
      <w:r>
        <w:rPr>
          <w:rFonts w:ascii="Times New Roman" w:cs="Times New Roman" w:eastAsia="Times New Roman" w:hAnsi="Times New Roman"/>
          <w:b/>
          <w:bCs/>
          <w:color w:val="1B2A4A"/>
          <w:sz w:val="36"/>
          <w:szCs w:val="36"/>
        </w:rPr>
        <w:t xml:space="preserve">NIHA CARBON CONSULTANCY LIMITED</w:t>
      </w:r>
    </w:p>
    <w:p>
      <w:pPr>
        <w:pBdr>
          <w:bottom w:val="single" w:color="C0392B" w:sz="6" w:space="10"/>
        </w:pBdr>
        <w:spacing w:before="100"/>
        <w:jc w:val="center"/>
      </w:pPr>
      <w:r>
        <w:rPr>
          <w:sz w:val="12"/>
          <w:szCs w:val="12"/>
        </w:rPr>
        <w:t xml:space="preserve"> </w:t>
      </w:r>
    </w:p>
    <w:p>
      <w:pPr>
        <w:spacing w:before="400" w:after="130"/>
        <w:jc w:val="center"/>
      </w:pPr>
      <w:r>
        <w:rPr>
          <w:rFonts w:ascii="Times New Roman" w:cs="Times New Roman" w:eastAsia="Times New Roman" w:hAnsi="Times New Roman"/>
          <w:b/>
          <w:bCs/>
          <w:color w:val="C0392B"/>
          <w:sz w:val="34"/>
          <w:szCs w:val="34"/>
        </w:rPr>
        <w:t xml:space="preserve">SINGLE SOURCE OF TRUTH</w:t>
      </w:r>
    </w:p>
    <w:p>
      <w:pPr>
        <w:spacing w:before="100" w:after="130"/>
        <w:jc w:val="center"/>
      </w:pPr>
      <w:r>
        <w:rPr>
          <w:rFonts w:ascii="Times New Roman" w:cs="Times New Roman" w:eastAsia="Times New Roman" w:hAnsi="Times New Roman"/>
          <w:color w:val="666666"/>
          <w:sz w:val="22"/>
          <w:szCs w:val="22"/>
        </w:rPr>
        <w:t xml:space="preserve">Business Metrics, Volumes &amp; Reference Data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C0392B"/>
          <w:sz w:val="20"/>
          <w:szCs w:val="20"/>
        </w:rPr>
        <w:t xml:space="preserve">THIS DOCUMENT IS THE MASTER REFERENCE FOR ALL NIHA DOCUMENTATION.
All documents, code implementations, reports, and presentations MUST derive their
numerical values, entity names, and business parameters from this document.</w:t>
      </w:r>
    </w:p>
    <w:p>
      <w:pPr>
        <w:spacing w:before="600"/>
      </w:pP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Document Reference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NIHA-SSOT-2026-001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Version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Effective Date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20 February 2026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INTERNAL — MASTER REFERENCE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Last Updated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20 February 2026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Maintained By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Victor Safta — Founder &amp; Principal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6"/>
          <w:szCs w:val="26"/>
        </w:rPr>
        <w:t xml:space="preserve">1. BUSINESS MODEL — FUNDAMENTAL PRINCIPLES</w:t>
      </w:r>
    </w:p>
    <w:p>
      <w:pPr>
        <w:spacing w:before="0" w:after="130"/>
      </w:pPr>
      <w:r>
        <w:rPr>
          <w:rFonts w:ascii="Times New Roman" w:cs="Times New Roman" w:eastAsia="Times New Roman" w:hAnsi="Times New Roman"/>
          <w:b/>
          <w:bCs/>
          <w:color w:val="C0392B"/>
          <w:sz w:val="24"/>
          <w:szCs w:val="24"/>
        </w:rPr>
        <w:t xml:space="preserve">NIHA este un INTERMEDIAR / FACILITATOR, NU un market maker.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Principiu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Descriere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18"/>
                <w:szCs w:val="18"/>
              </w:rPr>
              <w:t xml:space="preserve">Rol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Intermediar / Facilitator — NIHA oferă infrastructura și accesul, NU capitalul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18"/>
                <w:szCs w:val="18"/>
              </w:rPr>
              <w:t xml:space="preserve">Sursă lichiditate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100% de la clienți instituționali. NIHA nu formează piața și nu deține poziții speculative proprii semnificative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18"/>
                <w:szCs w:val="18"/>
              </w:rPr>
              <w:t xml:space="preserve">Model tranzacțional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Principal counterparty — NIHA ia titlul juridic temporar, execută pentru clienți. Clientul deține beneficial ownership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18"/>
                <w:szCs w:val="18"/>
              </w:rPr>
              <w:t xml:space="preserve">Venituri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Comisioane pe tranzacție + spread capture + fee-uri custodie + conversion fees. ZERO risc de piață pe capital propriu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18"/>
                <w:szCs w:val="18"/>
              </w:rPr>
              <w:t xml:space="preserve">Valoare adăugată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Infrastructura: conturi CEEX, SAFE approval, BoC, EUTL, Core Climate + know-how regulamentar + acces bilateral cross-border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18"/>
                <w:szCs w:val="18"/>
              </w:rPr>
              <w:t xml:space="preserve">Jurisdicție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Hong Kong SAR — NU necesită licență specială (applicable securities legislation applicable securities legislation nu acoperă carbon credits). Acesta este un AVANTAJ competitiv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18"/>
                <w:szCs w:val="18"/>
              </w:rPr>
              <w:t xml:space="preserve">Istoric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Grupul activează de mult timp în trading. Serviciul de carbon trading este oferit exclusiv partenerilor de business, datorită rigidității scăzute a pieței chineze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6"/>
          <w:szCs w:val="26"/>
        </w:rPr>
        <w:t xml:space="preserve">2. LICHIDITATE ȘI VOLUME — MASTER REFERENCE</w:t>
      </w:r>
    </w:p>
    <w:p>
      <w:pPr>
        <w:spacing w:before="0" w:after="13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Toate valorile de mai jos sunt DEFINITIVE și trebuie folosite consistent în toate documentele.</w:t>
      </w:r>
    </w:p>
    <w:p>
      <w:pPr>
        <w:spacing w:before="30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3"/>
          <w:szCs w:val="23"/>
        </w:rPr>
        <w:t xml:space="preserve">2.1 Lichiditate Totală Facilitată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Lichiditate totală facilitată (CEA)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3CD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~€30,000,000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Sursă lichiditate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Clienți instituționali (NU capital propriu NIHA)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Natura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Ordine cumulate din order book-ul clienților, facilitate prin infrastructura NIHA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Variație acceptabilă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€25M – €35M (în funcție de condițiile de piață)</w:t>
            </w:r>
          </w:p>
        </w:tc>
      </w:tr>
    </w:tbl>
    <w:p>
      <w:pPr>
        <w:spacing w:before="30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3"/>
          <w:szCs w:val="23"/>
        </w:rPr>
        <w:t xml:space="preserve">2.2 Volum Zilnic CEA Spot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Volum zilnic CEA (interval)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3CD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150,000 – 300,000 CEA/zi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EUR echivalent zilnic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€180,000 – €380,000/zi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Volum lunar CEA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3,200,000 – 6,500,000 CEA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Volum lunar EUR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€3.8M – €7.8M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Turnover ratio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~12 – 18x / lună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Market share CEEX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~20 – 30% din volumul Shenzhen pilot ETS</w:t>
            </w:r>
          </w:p>
        </w:tc>
      </w:tr>
    </w:tbl>
    <w:p>
      <w:pPr>
        <w:spacing w:before="30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3"/>
          <w:szCs w:val="23"/>
        </w:rPr>
        <w:t xml:space="preserve">2.3 Volum Zilnic Swap / Conversie CEA↔EUA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Volum zilnic conversie CEA→EUA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3CD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20,000 – 50,000 CEA/zi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EUA rezultat (la ratio 0.1177)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2,354 – 5,885 EUA/zi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Volum lunar conversie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440,000 – 1,100,000 CEA → 51,800 – 129,500 EUA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EUR echivalent conversie (lunar)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€3.6M – €9.1M (la EUA ~€70)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Conversion ratio de referință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0.1177 EUA per 1 CEA (revizuit trimestrial)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Conversion fee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2.0% – 3.0% (conform Fee Schedule NIHA-FEE-2026-001)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Conversion lead time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T+10 – T+15 (subiect SAFE clearance)</w:t>
            </w:r>
          </w:p>
        </w:tc>
      </w:tr>
    </w:tbl>
    <w:p>
      <w:pPr>
        <w:spacing w:before="30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3"/>
          <w:szCs w:val="23"/>
        </w:rPr>
        <w:t xml:space="preserve">2.4 Volum EUA Spot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Volum zilnic EUA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3CD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3,000 – 8,000 EUA/zi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EUR echivalent zilnic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€210,000 – €560,000/zi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Volum lunar EUA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65,000 – 175,000 EUA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Sursă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Mix: ICE Endex execution + OTC bilateral + conversie CEA→EUA</w:t>
            </w:r>
          </w:p>
        </w:tc>
      </w:tr>
    </w:tbl>
    <w:p>
      <w:pPr>
        <w:spacing w:before="30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3"/>
          <w:szCs w:val="23"/>
        </w:rPr>
        <w:t xml:space="preserve">2.5 Volum VCC / Voluntary Credits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Volum zilnic VCC total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3CD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5,000 – 15,000 whole units/zi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USD echivalent zilnic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$35,000 – $130,000/zi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Instrumente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GS-VER, Verra VCU, CDM CER, Core Climate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Platforme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HKEX Core Climate, OTC bilateral, Gold Standard Marketplace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6"/>
          <w:szCs w:val="26"/>
        </w:rPr>
        <w:t xml:space="preserve">3. METRICI FINANCIARE — MASTER REFERENCE</w:t>
      </w:r>
    </w:p>
    <w:p>
      <w:pPr>
        <w:spacing w:before="30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3"/>
          <w:szCs w:val="23"/>
        </w:rPr>
        <w:t xml:space="preserve">3.1 Revenue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Sursă Venit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Bază Calcul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Estimare Lunară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Estimare Anuală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Comisioane CEA Spot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1.50%–2.00% pe volum ~€5.8M/lună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€87K – €116K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€1.04M – €1.39M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Comisioane EUA Spot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1.25%–1.75% pe volum ~€8.5M/lună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€106K – €149K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€1.28M – €1.78M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Conversion Fee CEA→EUA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2.0%–3.0% pe ~€6.3M/lună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€126K – €189K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€1.51M – €2.27M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Comisioane VCC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2.0%–3.0% pe ~$1.8M/lună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$36K – $54K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$432K – $648K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Custody Fees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0.02% AUM/lună pe ~€30M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€6,000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€72,000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18"/>
                <w:szCs w:val="18"/>
              </w:rPr>
              <w:t xml:space="preserve">TOTAL ESTIMAT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18"/>
                <w:szCs w:val="18"/>
              </w:rPr>
              <w:t xml:space="preserve">€360K – €510K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18"/>
                <w:szCs w:val="18"/>
              </w:rPr>
              <w:t xml:space="preserve">€4.3M – €6.1M</w:t>
            </w:r>
          </w:p>
        </w:tc>
      </w:tr>
    </w:tbl>
    <w:p>
      <w:pPr>
        <w:spacing w:before="30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3"/>
          <w:szCs w:val="23"/>
        </w:rPr>
        <w:t xml:space="preserve">3.2 Costuri Operaționale Cheie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Valoare Anuală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Referință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Insurance (PI + Crime)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USD 83,875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MHK/PI-CR/2025/NIHA-0847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Registry fees (EUTL + CEEX + Core Climate)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~€45,000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Registry Account Overview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Market data feeds (6 feeds)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~€36,000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doc15 Registry Overview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External audit (RSM Hong Kong)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~HKD 280,000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NIHA-IA-2026-001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Legal (Chan, Wong &amp; Partners retainer)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~HKD 360,000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CWP/2026/NIHA-001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Banking fees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~€18,000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HSBC + BoC + SC</w:t>
            </w:r>
          </w:p>
        </w:tc>
      </w:tr>
    </w:tbl>
    <w:p>
      <w:pPr>
        <w:spacing w:before="30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3"/>
          <w:szCs w:val="23"/>
        </w:rPr>
        <w:t xml:space="preserve">3.3 Capital &amp; Balance Sheet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AUM Total (proprietary + client custody)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3CD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~€30,000,000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 — Client custody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~€25,000,000 (83%)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 — Proprietary (operational buffer)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~€5,000,000 (17%)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Capital reserves (cash)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€3,800,000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SBLC facility (Standard Chartered)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USD 500,000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Collateral held from counterparties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€3,300,000 (haircut value)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6"/>
          <w:szCs w:val="26"/>
        </w:rPr>
        <w:t xml:space="preserve">4. PREȚURI DE REFERINȚĂ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Preț Referință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Monedă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Sursă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EUA (EU Phase IV)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~€70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EUR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ICE Endex EUA Futures (front month)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Daily close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CEA (Shenzhen Pilot)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~¥52–55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CNY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CEEX daily closing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Daily close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CEA (National ETS)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~¥58–62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CNY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Shanghai Environment Energy Exchange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Daily close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CEA→EUA Conversion Ratio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18"/>
                <w:szCs w:val="18"/>
              </w:rPr>
              <w:t xml:space="preserve">0.1177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 proprietary model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Quarterly review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GS-VER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$8–10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USD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Gold Standard Marketplace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Verra VCU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$5–7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USD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Verra Registry / S&amp;P Platts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CDM CER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$2–4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USD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UNFCCC CDM Registry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EUR/CNY (FX reference)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~7.85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PBOC mid-rate / Bloomberg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Daily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6"/>
          <w:szCs w:val="26"/>
        </w:rPr>
        <w:t xml:space="preserve">5. ENTITĂȚI ȘI CONTURI — MASTER REFERENCE</w:t>
      </w:r>
    </w:p>
    <w:p>
      <w:pPr>
        <w:spacing w:before="30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3"/>
          <w:szCs w:val="23"/>
        </w:rPr>
        <w:t xml:space="preserve">5.1 Entitatea NIHA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Denumire completă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NIHA Carbon Consultancy Limited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Registrare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Hong Kong CR No. 3187452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Adresă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Suite 2205, 22/F, Tower 2, Lippo Centre, 89 Queensway, Admiralty, Hong Kong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Subsidiară PRC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NIHA Trading (Shenzhen) Co., Ltd. — USCC 91440300MA5FKR7T4X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CEO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Michael T.S. Wong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CFO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(funcție internă)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CRO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(funcție internă)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MLRO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(funcție internă)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Head of Trading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(funcție internă)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Head of Operations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James K.H. Ng</w:t>
            </w:r>
          </w:p>
        </w:tc>
      </w:tr>
    </w:tbl>
    <w:p>
      <w:pPr>
        <w:spacing w:before="30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3"/>
          <w:szCs w:val="23"/>
        </w:rPr>
        <w:t xml:space="preserve">5.2 Conturi Registru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Registru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Deschis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Poziție Curentă</w:t>
            </w:r>
          </w:p>
        </w:tc>
        <w:tc>
          <w:tcPr>
            <w:tcW w:type="pct" w:w="2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EU EUTL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HK-NIHA-EUTL-2025-0001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14 Jun 2025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~75,900 EUA</w:t>
            </w:r>
          </w:p>
        </w:tc>
        <w:tc>
          <w:tcPr>
            <w:tcW w:type="pct" w:w="2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Propriu + custodie clienți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CEEX Shenzhen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SZ-NIHA-CEEX-2025-0001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3 Sep 2025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~650,000 CEA</w:t>
            </w:r>
          </w:p>
        </w:tc>
        <w:tc>
          <w:tcPr>
            <w:tcW w:type="pct" w:w="2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SAFE quota CNY 50M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HKEX Core Climate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HKEX-CC-NIHA-2025-0001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22 Jul 2025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~137,000 VCC</w:t>
            </w:r>
          </w:p>
        </w:tc>
        <w:tc>
          <w:tcPr>
            <w:tcW w:type="pct" w:w="2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GS-VER, VCU, CER</w:t>
            </w:r>
          </w:p>
        </w:tc>
      </w:tr>
    </w:tbl>
    <w:p>
      <w:pPr>
        <w:spacing w:before="30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3"/>
          <w:szCs w:val="23"/>
        </w:rPr>
        <w:t xml:space="preserve">5.3 Conturi Bancare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Bancă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Monedă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SWIFT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HSBC HK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808-XXXXXX-838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EUR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Client Segregated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HSBCHKHHHKH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HSBC HK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808-XXXXXX-845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USD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Client Segregated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HSBCHKHHHKH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HSBC HK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808-XXXXXX-852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EUR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Operational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HSBCHKHHHKH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Bank of China HK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012-XXXXXX-7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CNY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Client Segregated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BKCHHKHHXXX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Bank of China HK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012-XXXXXX-4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HKD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Operational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BKCHHKHHXXX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Standard Chartered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447-XXXXXX-001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Multi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Collateral Holding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SCBLHKHHXXX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6"/>
          <w:szCs w:val="26"/>
        </w:rPr>
        <w:t xml:space="preserve">6. COUNTERPARTY PORTFOLIO — MASTER REFERENCE</w:t>
      </w:r>
    </w:p>
    <w:p>
      <w:pPr>
        <w:spacing w:before="0" w:after="13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18 contrapartide active, 7 jurisdicții. Lichiditatea de ~€30M provine din ordinele lor.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Contrapartidă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Jurisdicție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Gross Exp.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Tip Client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Instrument Principal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CP-001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Greenfield Carbon Solutions GmbH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Germany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88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€1,840K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Corporate Compliance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EUA + Conversion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CP-002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Pacific Rim Clean Energy Fund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Singapore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85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€1,250K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Investment Fund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Conversion + VCC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CP-003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Nordic Climate Partners A/S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Denmark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82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€680K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Trading House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EUA Spot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CP-004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Shanghai MingHe Industrial Co.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PRC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7AE60"/>
                <w:sz w:val="18"/>
                <w:szCs w:val="18"/>
              </w:rPr>
              <w:t xml:space="preserve">1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€510K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Industrial Emitter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CEA + VCC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CP-005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Rhein Energie Trading AG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Switzerland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€620K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Energy Trader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EUA Spot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CP-006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Tokyo Carbon Asset Management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Japan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74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€480K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Asset Manager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VCC + EUA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CP-007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Iberian Environmental Solutions SL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Spain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72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€380K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Consultancy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EUA Spot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CP-008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Guangzhou New Energy Group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PRC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71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€350K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Energy Producer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CEA Spot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CP-009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Baltic Green Commodities OÜ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Estonia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69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€320K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Commodity Trader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CEA + EUA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CP-010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Al Maktoum Carbon Investments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UAE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67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€310K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Investment Vehicle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EUA + VCC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CP-011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Scandinavia Carbon Offset Fund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Sweden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66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€390K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Offset Fund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VCC + CER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CP-012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Central European Climate Fund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Austria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65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€340K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Climate Fund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EUA Spot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CP-013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Brazilian Forest Carbon Ltd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UK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65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€0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Forestry Credits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VCC (REDD+)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E67E22"/>
                <w:sz w:val="18"/>
                <w:szCs w:val="18"/>
              </w:rPr>
              <w:t xml:space="preserve">Onboarding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CP-014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West African Carbon Trading Co.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Ghana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67E22"/>
                <w:sz w:val="18"/>
                <w:szCs w:val="18"/>
              </w:rPr>
              <w:t xml:space="preserve">3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58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€240K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Regional Trader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VCC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CP-015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Hanoi Green Solutions JSC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Vietnam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67E22"/>
                <w:sz w:val="18"/>
                <w:szCs w:val="18"/>
              </w:rPr>
              <w:t xml:space="preserve">3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55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€200K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Project Developer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CEA + VCC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CP-016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Kazakh Carbon Initiative LLP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Kazakhstan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67E22"/>
                <w:sz w:val="18"/>
                <w:szCs w:val="18"/>
              </w:rPr>
              <w:t xml:space="preserve">3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52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€250K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State Initiative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CER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CP-017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Mumbai Sustainable Trading Pvt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India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67E22"/>
                <w:sz w:val="18"/>
                <w:szCs w:val="18"/>
              </w:rPr>
              <w:t xml:space="preserve">3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€150K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Trading Firm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VCC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CP-018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EastMed Carbon Holdings SAL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Lebanon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42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€160K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Holding Co.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C0392B"/>
                <w:sz w:val="18"/>
                <w:szCs w:val="18"/>
              </w:rPr>
              <w:t xml:space="preserve">Watchlist</w:t>
            </w:r>
          </w:p>
        </w:tc>
      </w:tr>
    </w:tbl>
    <w:p>
      <w:pPr>
        <w:spacing w:before="200" w:after="130"/>
      </w:pPr>
      <w:r>
        <w:rPr>
          <w:rFonts w:ascii="Times New Roman" w:cs="Times New Roman" w:eastAsia="Times New Roman" w:hAnsi="Times New Roman"/>
          <w:b/>
          <w:bCs/>
          <w:color w:val="1B2A4A"/>
          <w:sz w:val="22"/>
          <w:szCs w:val="22"/>
        </w:rPr>
        <w:t xml:space="preserve">TOTAL GROSS EXPOSURE: €8,470,000 | NET EXPOSURE (post-collateral): €5,230,000</w:t>
      </w:r>
    </w:p>
    <w:p>
      <w:r>
        <w:br w:type="page"/>
      </w:r>
    </w:p>
    <w:p>
      <w:pPr>
        <w:spacing w:before="400" w:after="20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6"/>
          <w:szCs w:val="26"/>
        </w:rPr>
        <w:t xml:space="preserve">7. OPERAȚIONAL — METRICI CUMULATIVE</w:t>
      </w:r>
    </w:p>
    <w:p>
      <w:pPr>
        <w:spacing w:before="0" w:after="13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Aceste valori reflectă activitatea cumulativă de la inception (1 iunie 2025) până la 31 ianuarie 2026.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Tranzacții totale executate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~450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Volum total whole units tranzacționat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~6,200,000 whole units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Valoare totală tranzacționată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~€38,000,000 echivalent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Settlement success rate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27AE6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Settlement failures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Clienți activi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18 (din care 1 watchlist, 1 onboarding)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Jurisdicții clienți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7 (DE, SG, DK, CN, CH, JP, ES, EE, UAE, SE, AT, UK, GH, VN, KZ, IN, LB)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Conversii CEA→EUA completate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~85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Valoare conversii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~€12,500,000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STRs (Suspicious Transaction Reports)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Claims notified (PI + Crime)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Disputes active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0</w:t>
            </w:r>
          </w:p>
        </w:tc>
      </w:tr>
    </w:tbl>
    <w:p>
      <w:pPr>
        <w:spacing w:before="300" w:after="160"/>
      </w:pPr>
      <w:r>
        <w:rPr>
          <w:rFonts w:ascii="Times New Roman" w:cs="Times New Roman" w:eastAsia="Times New Roman" w:hAnsi="Times New Roman"/>
          <w:b/>
          <w:bCs/>
          <w:color w:val="2E75B6"/>
          <w:sz w:val="23"/>
          <w:szCs w:val="23"/>
        </w:rPr>
        <w:t xml:space="preserve">7.1 Operațional Lunar (Ianuarie 2026 — Referință)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Tranzacții / lună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40 – 55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Counterparties active / lună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15 – 18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Zile de trading / lună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~22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Fee revenue / lună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€360K – €510K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6"/>
          <w:szCs w:val="26"/>
        </w:rPr>
        <w:t xml:space="preserve">8. SAFE &amp; REGULATORY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SAFE Quota (annual)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3CD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20"/>
                <w:szCs w:val="20"/>
              </w:rPr>
              <w:t xml:space="preserve">CNY 50,000,000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SAFE Quota utilizat (Jan 2026)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~CNY 12,400,000 (~25%)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SAFE Reporting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Within 5 business days of settlement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Registrare CEEX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SZ-NIHA-CEEX-2025-0001 (Shenzhen Pilot)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the applicable regulatory authority Licence Required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27AE60"/>
                <w:sz w:val="20"/>
                <w:szCs w:val="20"/>
              </w:rPr>
              <w:t xml:space="preserve">NU — carbon credits nu sunt securities sub applicable securities legislation applicable securities legislation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applicable anti-money laundering legislation Compliance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Voluntară — NIHA aplică standarde instituționale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Insurance PI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USD 5,000,000 (QBE — QBE-PI-HK-2025-384721)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Insurance Crime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USD 3,000,000 (AIG — AIG-CR-HK-2025-591024)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Insurance Broker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Marsh (Hong Kong) Limited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External Audit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RSM Hong Kong — Risk Advisory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4F8" w:val="solid"/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b/>
                <w:bCs/>
                <w:color w:val="1B2A4A"/>
                <w:sz w:val="20"/>
                <w:szCs w:val="20"/>
              </w:rPr>
              <w:t xml:space="preserve">Legal Counsel</w:t>
            </w:r>
          </w:p>
        </w:tc>
        <w:tc>
          <w:tcPr>
            <w:tcW w:type="pct" w:w="6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5" w:after="55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Chan, Wong &amp; Partners — Suite 3801, Two Exchange Square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6"/>
          <w:szCs w:val="26"/>
        </w:rPr>
        <w:t xml:space="preserve">9. DOCUMENT REGISTRY — ALL NIHA DOCUMENTS</w:t>
      </w:r>
    </w:p>
    <w:p>
      <w:pPr>
        <w:spacing w:before="0" w:after="13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Toate documentele NIHA și referințele lor. Orice valoare din aceste documente TREBUIE să fie consistentă cu acest SSOT.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Referință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Fișier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B2A4A" w:val="solid"/>
          </w:tcPr>
          <w:p>
            <w:pPr>
              <w:spacing w:before="55" w:after="5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Custody Agreement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NIHA-CUST-2025-001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NIHA_Custody_Agreement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Regulatory Position Memorandum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NIHA-REG-2025-001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NIHA_Regulatory_Position_Memorandum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Master Service Agreement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NIHA-MSA-2025-001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NIHA_Master_Service_Agreement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Compliance Policy Manual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NIHA-CPM-2025-001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NIHA_Compliance_Policy_Manual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Client Onboarding &amp; KYC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NIHA-KYC-2025-001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NIHA_Client_Onboarding_KYC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Risk Disclosure Statement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NIHA-RDS-2025-001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NIHA_Risk_Disclosure_Statement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Trade Execution Policy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NIHA-TEP-2025-001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NIHA_Trade_Execution_Policy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Business Continuity Plan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NIHA-BCP-2025-001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NIHA_Business_Continuity_Plan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Non-Disclosure Agreement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NIHA-NDA-2025-001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NIHA_Non_Disclosure_Agreement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Carbon Market Report Q1 2026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NIHA-MKT-2026-Q1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NIHA_Carbon_Market_Report_Q1_2026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Board Resolution — Carbon Trading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NIHA-BR-2025-001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NIHA_Board_Resolution_Carbon_Trading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Client Due Diligence Report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NIHA-DD-2025-001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NIHA_Client_Due_Diligence_Report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Trade Confirmations — Jan 2026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NIHA-TC-2026-01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NIHA_Trade_Confirmations_Jan2026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Client Portfolio Statement — Jan 2026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NIHA-PS-2026-01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NIHA_Client_Portfolio_Statement_Jan2026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Registry Account Overview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NIHA-REG-ACC-2026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NIHA_Registry_Account_Overview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E67E22"/>
                <w:sz w:val="18"/>
                <w:szCs w:val="18"/>
              </w:rPr>
              <w:t xml:space="preserve">Needs update ↑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Annual Compliance Report 2025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NIHA-ACR-2025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NIHA_Annual_Compliance_Report_2025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E67E22"/>
                <w:sz w:val="18"/>
                <w:szCs w:val="18"/>
              </w:rPr>
              <w:t xml:space="preserve">Needs update ↑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Independent Legal Opinion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CWP/2026/NIHA-001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NIHA_Independent_Legal_Opinion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Carbon Credit Inventory Report — Jan 2026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NIHA-INV-2026-01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NIHA_Carbon_Credit_Inventory_Report_Jan2026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E67E22"/>
                <w:sz w:val="18"/>
                <w:szCs w:val="18"/>
              </w:rPr>
              <w:t xml:space="preserve">Needs update ↑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Fee Schedule &amp; Pricing Matrix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NIHA-FEE-2026-001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NIHA_Fee_Schedule_2026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Counterparty Risk Assessment Framework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NIHA-RISK-2026-001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NIHA_Counterparty_Risk_Assessment_Framework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Insurance Certificate (PI &amp; Crime)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MHK/PI-CR/2025/NIHA-0847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NIHA_Insurance_Certificate_PI_Crime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Client Transaction Ledger — Jan 2026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NIHA-LEDGER-2026-01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NIHA_Client_Transaction_Ledger_Jan2026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E67E22"/>
                <w:sz w:val="18"/>
                <w:szCs w:val="18"/>
              </w:rPr>
              <w:t xml:space="preserve">Needs update ↑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Carbon Derivatives Master Agreement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NIHA-CDMA-2026-001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NIHA_Carbon_Derivatives_Master_Agreement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Internal Audit Report 2026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NIHA-IA-2026-001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NIHA_Internal_Audit_Report_2026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333333"/>
                <w:sz w:val="18"/>
                <w:szCs w:val="18"/>
              </w:rPr>
              <w:t xml:space="preserve">Correspondent Bank Confirmation Letters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NIHA-BANK-2026-001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NIHA_Bank_Confirmation_Letters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27AE6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18"/>
                <w:szCs w:val="18"/>
              </w:rPr>
              <w:t xml:space="preserve">SSOT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18"/>
                <w:szCs w:val="18"/>
              </w:rPr>
              <w:t xml:space="preserve">Single Source of Truth (ACEST DOCUMENT)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NIHA-SSOT-2026-001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color w:val="333333"/>
                <w:sz w:val="18"/>
                <w:szCs w:val="18"/>
              </w:rPr>
              <w:t xml:space="preserve">NIHA_Single_Source_of_Truth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5" w:after="45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C0392B"/>
                <w:sz w:val="18"/>
                <w:szCs w:val="18"/>
              </w:rPr>
              <w:t xml:space="preserve">MASTER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Times New Roman" w:cs="Times New Roman" w:eastAsia="Times New Roman" w:hAnsi="Times New Roman"/>
          <w:b/>
          <w:bCs/>
          <w:caps/>
          <w:color w:val="1B2A4A"/>
          <w:sz w:val="26"/>
          <w:szCs w:val="26"/>
        </w:rPr>
        <w:t xml:space="preserve">10. REGULI DE CONSISTENȚĂ</w:t>
      </w:r>
    </w:p>
    <w:p>
      <w:pPr>
        <w:spacing w:before="0" w:after="130"/>
      </w:pPr>
      <w:r>
        <w:rPr>
          <w:rFonts w:ascii="Times New Roman" w:cs="Times New Roman" w:eastAsia="Times New Roman" w:hAnsi="Times New Roman"/>
          <w:b/>
          <w:bCs/>
          <w:color w:val="C0392B"/>
          <w:sz w:val="22"/>
          <w:szCs w:val="22"/>
        </w:rPr>
        <w:t xml:space="preserve">Următoarele reguli sunt OBLIGATORII pentru orice document, cod, sau prezentare NIHA:</w:t>
      </w:r>
    </w:p>
    <w:p>
      <w:pPr>
        <w:spacing w:before="200"/>
      </w:pPr>
    </w:p>
    <w:p>
      <w:pPr>
        <w:spacing w:before="0" w:after="130"/>
        <w:ind w:left="3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R1. NIHA este INTERMEDIAR/FACILITATOR, nu market maker. Lichiditatea vine de la clienți.</w:t>
      </w:r>
    </w:p>
    <w:p>
      <w:pPr>
        <w:spacing w:before="0" w:after="130"/>
        <w:ind w:left="3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R2. Lichiditatea facilitată pe CEA este ~€30M. NU capital propriu NIHA.</w:t>
      </w:r>
    </w:p>
    <w:p>
      <w:pPr>
        <w:spacing w:before="0" w:after="130"/>
        <w:ind w:left="3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R3. Volum zilnic CEA: 150,000–300,000 CEA/zi. Orice document cu tranzacții trebuie să reflecte acest volum.</w:t>
      </w:r>
    </w:p>
    <w:p>
      <w:pPr>
        <w:spacing w:before="0" w:after="130"/>
        <w:ind w:left="3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R4. Volum zilnic conversie CEA→EUA: 20,000–50,000 CEA/zi → 2,354–5,885 EUA/zi.</w:t>
      </w:r>
    </w:p>
    <w:p>
      <w:pPr>
        <w:spacing w:before="0" w:after="130"/>
        <w:ind w:left="3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R5. Conversion ratio: 0.1177 EUA per 1 CEA (revizuit trimestrial).</w:t>
      </w:r>
    </w:p>
    <w:p>
      <w:pPr>
        <w:spacing w:before="0" w:after="130"/>
        <w:ind w:left="3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R6. HK nu necesită licență the applicable regulatory authority pentru carbon credits — aceasta este un AVANTAJ, nu un deficit.</w:t>
      </w:r>
    </w:p>
    <w:p>
      <w:pPr>
        <w:spacing w:before="0" w:after="130"/>
        <w:ind w:left="3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R7. Toate entitățile, conturile, referințele de documente folosesc exact valorile din acest SSOT.</w:t>
      </w:r>
    </w:p>
    <w:p>
      <w:pPr>
        <w:spacing w:before="0" w:after="130"/>
        <w:ind w:left="3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R8. Prețuri: EUA ~€70, CEA Shenzhen ~¥52–55, CEA National ~¥58–62.</w:t>
      </w:r>
    </w:p>
    <w:p>
      <w:pPr>
        <w:spacing w:before="0" w:after="130"/>
        <w:ind w:left="3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R9. 18 contrapartide, 7 jurisdicții. Exposure total: €8.47M gross, €5.23M net.</w:t>
      </w:r>
    </w:p>
    <w:p>
      <w:pPr>
        <w:spacing w:before="0" w:after="130"/>
        <w:ind w:left="3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R10. SAFE quota: CNY 50M anual. Nu depăși 80% utilizare fără aprobare Board.</w:t>
      </w:r>
    </w:p>
    <w:p>
      <w:pPr>
        <w:spacing w:before="400"/>
      </w:pPr>
    </w:p>
    <w:p>
      <w:pPr>
        <w:spacing w:before="0" w:after="130"/>
        <w:jc w:val="center"/>
      </w:pPr>
      <w:r>
        <w:rPr>
          <w:rFonts w:ascii="Times New Roman" w:cs="Times New Roman" w:eastAsia="Times New Roman" w:hAnsi="Times New Roman"/>
          <w:b/>
          <w:bCs/>
          <w:color w:val="C0392B"/>
          <w:sz w:val="26"/>
          <w:szCs w:val="26"/>
        </w:rPr>
        <w:t xml:space="preserve">— END OF SINGLE SOURCE OF TRUTH —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Versiune controlată. Orice modificare necesită aprobarea explicită a lui Victor Safta.</w:t>
      </w:r>
    </w:p>
    <w:sectPr>
      <w:headerReference w:type="default" r:id="rId6"/>
      <w:footerReference w:type="default" r:id="rId7"/>
      <w:pgSz w:w="12240" w:h="15840" w:orient="portrait"/>
      <w:pgMar w:top="11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spacing w:before="100"/>
      <w:jc w:val="center"/>
    </w:pPr>
    <w:r>
      <w:rPr>
        <w:rFonts w:ascii="Times New Roman" w:cs="Times New Roman" w:eastAsia="Times New Roman" w:hAnsi="Times New Roman"/>
        <w:color w:val="666666"/>
        <w:sz w:val="15"/>
        <w:szCs w:val="15"/>
      </w:rPr>
      <w:t xml:space="preserve">NIHA-SSOT-2026-001 | MASTER REFERENCE — DO NOT DISTRIBUTE | Page </w:t>
    </w:r>
    <w:r>
      <w:rPr>
        <w:rFonts w:ascii="Times New Roman" w:cs="Times New Roman" w:eastAsia="Times New Roman" w:hAnsi="Times New Roman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3" w:space="4"/>
      </w:pBdr>
      <w:spacing w:after="80"/>
      <w:jc w:val="left"/>
    </w:pPr>
    <w:r>
      <w:rPr>
        <w:rFonts w:ascii="Times New Roman" w:cs="Times New Roman" w:eastAsia="Times New Roman" w:hAnsi="Times New Roman"/>
        <w:b/>
        <w:bCs/>
        <w:color w:val="C0392B"/>
        <w:sz w:val="18"/>
        <w:szCs w:val="18"/>
      </w:rPr>
      <w:t xml:space="preserve">⬛ NIHA — SINGLE SOURCE OF TRUTH</w:t>
    </w:r>
    <w:r>
      <w:rPr>
        <w:rFonts w:ascii="Times New Roman" w:cs="Times New Roman" w:eastAsia="Times New Roman" w:hAnsi="Times New Roman"/>
        <w:color w:val="C0392B"/>
        <w:sz w:val="14"/>
        <w:szCs w:val="14"/>
      </w:rPr>
      <w:t xml:space="preserve"> | ALL DOCUMENTATION DERIVES FROM THIS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2026-02-20T15:50:51.510Z</dcterms:created>
  <dcterms:modified xsi:type="dcterms:W3CDTF">2026-02-20T15:50:51.510Z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