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>
      <w:pPr>
        <w:rPr>
          <w:lang w:val="pt-BR"/>
        </w:rPr>
      </w:pPr>
    </w:p>
    <w:p w14:paraId="550C36CA" w14:textId="563B952A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</w:t>
      </w:r>
      <w:r w:rsidR="00886F23">
        <w:rPr>
          <w:sz w:val="32"/>
          <w:szCs w:val="32"/>
          <w:lang w:val="pt-BR"/>
        </w:rPr>
        <w:t>2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C76991" w:rsidRPr="00C76991">
        <w:rPr>
          <w:sz w:val="32"/>
          <w:szCs w:val="32"/>
          <w:lang w:val="pt-BR"/>
        </w:rPr>
        <w:t>Cadastrar Venda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>
      <w:pPr>
        <w:rPr>
          <w:lang w:val="pt-BR"/>
        </w:rPr>
      </w:pPr>
    </w:p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rPr>
          <w:lang w:val="pt-BR"/>
        </w:r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4CDA99E4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UC00</w:t>
            </w:r>
            <w:r w:rsidR="00886F23">
              <w:rPr>
                <w:rStyle w:val="Hyperlink"/>
                <w:rFonts w:cs="Arial"/>
                <w:noProof/>
                <w:lang w:val="pt-BR"/>
              </w:rPr>
              <w:t>2</w:t>
            </w:r>
            <w:r w:rsidRPr="00D61E65">
              <w:rPr>
                <w:rStyle w:val="Hyperlink"/>
                <w:rFonts w:cs="Arial"/>
                <w:noProof/>
                <w:lang w:val="pt-BR"/>
              </w:rPr>
              <w:t xml:space="preserve"> </w:t>
            </w:r>
            <w:r w:rsidR="00C76991">
              <w:rPr>
                <w:rStyle w:val="Hyperlink"/>
                <w:rFonts w:cs="Arial"/>
                <w:noProof/>
                <w:lang w:val="pt-BR"/>
              </w:rPr>
              <w:t xml:space="preserve">- </w:t>
            </w:r>
            <w:r w:rsidR="00C76991" w:rsidRPr="00C76991">
              <w:rPr>
                <w:rStyle w:val="Hyperlink"/>
                <w:rFonts w:cs="Arial"/>
                <w:noProof/>
                <w:lang w:val="pt-BR"/>
              </w:rPr>
              <w:t>Cadastrar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12713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12713A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>
      <w:pPr>
        <w:rPr>
          <w:lang w:val="pt-BR"/>
        </w:rPr>
      </w:pPr>
    </w:p>
    <w:p w14:paraId="38B7612E" w14:textId="6E180669" w:rsidR="00580B3F" w:rsidRDefault="00580B3F" w:rsidP="00580B3F">
      <w:pPr>
        <w:rPr>
          <w:lang w:val="pt-BR"/>
        </w:rPr>
      </w:pPr>
    </w:p>
    <w:p w14:paraId="2ABAEF25" w14:textId="479ECE35" w:rsidR="00580B3F" w:rsidRDefault="00580B3F" w:rsidP="00580B3F">
      <w:pPr>
        <w:rPr>
          <w:lang w:val="pt-BR"/>
        </w:rPr>
      </w:pPr>
    </w:p>
    <w:p w14:paraId="3259982D" w14:textId="3616D8F1" w:rsidR="00580B3F" w:rsidRDefault="00580B3F" w:rsidP="00580B3F">
      <w:pPr>
        <w:rPr>
          <w:lang w:val="pt-BR"/>
        </w:rPr>
      </w:pPr>
    </w:p>
    <w:p w14:paraId="258D5E75" w14:textId="2703BABB" w:rsidR="00580B3F" w:rsidRDefault="00580B3F" w:rsidP="00580B3F">
      <w:pPr>
        <w:rPr>
          <w:lang w:val="pt-BR"/>
        </w:rPr>
      </w:pPr>
    </w:p>
    <w:p w14:paraId="551F5A18" w14:textId="0CAC2466" w:rsidR="00580B3F" w:rsidRDefault="00580B3F" w:rsidP="00580B3F">
      <w:pPr>
        <w:rPr>
          <w:lang w:val="pt-BR"/>
        </w:rPr>
      </w:pPr>
    </w:p>
    <w:p w14:paraId="42FD02BE" w14:textId="7B472905" w:rsidR="00580B3F" w:rsidRDefault="00580B3F" w:rsidP="00580B3F">
      <w:pPr>
        <w:rPr>
          <w:lang w:val="pt-BR"/>
        </w:rPr>
      </w:pPr>
    </w:p>
    <w:p w14:paraId="73FD99C7" w14:textId="01BEA80C" w:rsidR="00580B3F" w:rsidRDefault="00580B3F" w:rsidP="00580B3F">
      <w:pPr>
        <w:rPr>
          <w:lang w:val="pt-BR"/>
        </w:rPr>
      </w:pPr>
    </w:p>
    <w:p w14:paraId="0A419387" w14:textId="3EE90EBC" w:rsidR="00580B3F" w:rsidRDefault="00580B3F" w:rsidP="00580B3F">
      <w:pPr>
        <w:rPr>
          <w:lang w:val="pt-BR"/>
        </w:rPr>
      </w:pPr>
    </w:p>
    <w:p w14:paraId="0DE71732" w14:textId="24D872FA" w:rsidR="00580B3F" w:rsidRDefault="00580B3F" w:rsidP="00580B3F">
      <w:pPr>
        <w:rPr>
          <w:lang w:val="pt-BR"/>
        </w:rPr>
      </w:pPr>
    </w:p>
    <w:p w14:paraId="1EBFB5CB" w14:textId="28AA8BB9" w:rsidR="00580B3F" w:rsidRDefault="00580B3F" w:rsidP="00580B3F">
      <w:pPr>
        <w:rPr>
          <w:lang w:val="pt-BR"/>
        </w:rPr>
      </w:pPr>
    </w:p>
    <w:p w14:paraId="31BF02B0" w14:textId="28B9AD7F" w:rsidR="00580B3F" w:rsidRDefault="00580B3F" w:rsidP="00580B3F">
      <w:pPr>
        <w:rPr>
          <w:lang w:val="pt-BR"/>
        </w:rPr>
      </w:pPr>
    </w:p>
    <w:p w14:paraId="7641BA99" w14:textId="52A07B23" w:rsidR="00580B3F" w:rsidRDefault="00580B3F" w:rsidP="00580B3F">
      <w:pPr>
        <w:rPr>
          <w:lang w:val="pt-BR"/>
        </w:rPr>
      </w:pPr>
    </w:p>
    <w:p w14:paraId="71A0DBC8" w14:textId="77777777" w:rsidR="00580B3F" w:rsidRDefault="00580B3F" w:rsidP="00580B3F">
      <w:pPr>
        <w:rPr>
          <w:lang w:val="pt-BR"/>
        </w:rPr>
      </w:pPr>
    </w:p>
    <w:p w14:paraId="364867DA" w14:textId="3BA0E328" w:rsidR="00580B3F" w:rsidRDefault="00580B3F" w:rsidP="00580B3F">
      <w:pPr>
        <w:rPr>
          <w:lang w:val="pt-BR"/>
        </w:rPr>
      </w:pPr>
    </w:p>
    <w:p w14:paraId="2637396B" w14:textId="6439350B" w:rsidR="00580B3F" w:rsidRDefault="00580B3F" w:rsidP="00580B3F">
      <w:pPr>
        <w:rPr>
          <w:lang w:val="pt-BR"/>
        </w:rPr>
      </w:pPr>
    </w:p>
    <w:p w14:paraId="01B4D525" w14:textId="0B872DBC" w:rsidR="00580B3F" w:rsidRDefault="00580B3F" w:rsidP="00580B3F">
      <w:pPr>
        <w:rPr>
          <w:lang w:val="pt-BR"/>
        </w:rPr>
      </w:pPr>
    </w:p>
    <w:p w14:paraId="5BF24CB4" w14:textId="77777777" w:rsidR="00580B3F" w:rsidRPr="00580B3F" w:rsidRDefault="00580B3F" w:rsidP="00580B3F">
      <w:pPr>
        <w:rPr>
          <w:lang w:val="pt-BR"/>
        </w:rPr>
      </w:pPr>
    </w:p>
    <w:p w14:paraId="373B6EF9" w14:textId="54AFD65A" w:rsidR="00E733AF" w:rsidRPr="008B3CFA" w:rsidRDefault="00580B3F" w:rsidP="00E733AF">
      <w:pPr>
        <w:pStyle w:val="Ttulo1"/>
        <w:numPr>
          <w:ilvl w:val="0"/>
          <w:numId w:val="1"/>
        </w:numPr>
        <w:spacing w:after="0" w:line="180" w:lineRule="atLeast"/>
        <w:rPr>
          <w:rFonts w:cs="Arial"/>
          <w:lang w:val="pt-BR"/>
        </w:rPr>
      </w:pPr>
      <w:bookmarkStart w:id="0" w:name="_Toc68816793"/>
      <w:bookmarkStart w:id="1" w:name="_Toc423410238"/>
      <w:bookmarkStart w:id="2" w:name="_Toc425054504"/>
      <w:r>
        <w:rPr>
          <w:rFonts w:cs="Arial"/>
          <w:lang w:val="pt-BR"/>
        </w:rPr>
        <w:lastRenderedPageBreak/>
        <w:t>UC00</w:t>
      </w:r>
      <w:r w:rsidR="00886F23">
        <w:rPr>
          <w:rFonts w:cs="Arial"/>
          <w:lang w:val="pt-BR"/>
        </w:rPr>
        <w:t>2</w:t>
      </w:r>
      <w:r>
        <w:rPr>
          <w:rFonts w:cs="Arial"/>
          <w:lang w:val="pt-BR"/>
        </w:rPr>
        <w:t xml:space="preserve"> – </w:t>
      </w:r>
      <w:bookmarkEnd w:id="0"/>
      <w:r w:rsidR="00C76991" w:rsidRPr="00C76991">
        <w:rPr>
          <w:rFonts w:cs="Arial"/>
          <w:lang w:val="pt-BR"/>
        </w:rPr>
        <w:t>Cadastrar Venda</w:t>
      </w:r>
    </w:p>
    <w:p w14:paraId="7E1D04CB" w14:textId="0B67C938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3" w:name="_Toc270358465"/>
      <w:bookmarkStart w:id="4" w:name="_Toc68816794"/>
      <w:r w:rsidRPr="008B3CFA">
        <w:rPr>
          <w:rFonts w:cs="Arial"/>
          <w:lang w:val="pt-BR"/>
        </w:rPr>
        <w:t>Breve Descrição</w:t>
      </w:r>
      <w:bookmarkEnd w:id="1"/>
      <w:bookmarkEnd w:id="2"/>
      <w:bookmarkEnd w:id="3"/>
      <w:r w:rsidR="007372BE">
        <w:rPr>
          <w:rFonts w:cs="Arial"/>
          <w:lang w:val="pt-BR"/>
        </w:rPr>
        <w:t>:</w:t>
      </w:r>
      <w:bookmarkEnd w:id="4"/>
    </w:p>
    <w:p w14:paraId="594D36BF" w14:textId="2ADF4768" w:rsidR="00650C3C" w:rsidRDefault="001B7F44" w:rsidP="002D6011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Funcionalidade onde </w:t>
      </w:r>
      <w:r w:rsidR="007E7D51">
        <w:rPr>
          <w:rFonts w:ascii="Arial" w:hAnsi="Arial" w:cs="Arial"/>
          <w:lang w:val="pt-BR"/>
        </w:rPr>
        <w:t xml:space="preserve">é efetivada a venda de </w:t>
      </w:r>
      <w:r w:rsidR="00C76991">
        <w:rPr>
          <w:rFonts w:ascii="Arial" w:hAnsi="Arial" w:cs="Arial"/>
          <w:lang w:val="pt-BR"/>
        </w:rPr>
        <w:t xml:space="preserve">um </w:t>
      </w:r>
      <w:r w:rsidR="007E7D51">
        <w:rPr>
          <w:rFonts w:ascii="Arial" w:hAnsi="Arial" w:cs="Arial"/>
          <w:lang w:val="pt-BR"/>
        </w:rPr>
        <w:t xml:space="preserve">ou um </w:t>
      </w:r>
      <w:r w:rsidR="00C76991">
        <w:rPr>
          <w:rFonts w:ascii="Arial" w:hAnsi="Arial" w:cs="Arial"/>
          <w:lang w:val="pt-BR"/>
        </w:rPr>
        <w:t>conjunto de</w:t>
      </w:r>
      <w:r>
        <w:rPr>
          <w:rFonts w:ascii="Arial" w:hAnsi="Arial" w:cs="Arial"/>
          <w:lang w:val="pt-BR"/>
        </w:rPr>
        <w:t xml:space="preserve"> </w:t>
      </w:r>
      <w:r w:rsidR="007E7D51">
        <w:rPr>
          <w:rFonts w:ascii="Arial" w:hAnsi="Arial" w:cs="Arial"/>
          <w:lang w:val="pt-BR"/>
        </w:rPr>
        <w:t>produtos</w:t>
      </w:r>
    </w:p>
    <w:p w14:paraId="1394A067" w14:textId="279F1F12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5"/>
    </w:p>
    <w:p w14:paraId="5A0FB4A2" w14:textId="6987A367" w:rsidR="002D6011" w:rsidRDefault="002D6011" w:rsidP="002D6011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bookmarkStart w:id="6" w:name="_Toc68816796"/>
      <w:r w:rsidRPr="002D6011">
        <w:rPr>
          <w:rFonts w:cs="Arial"/>
          <w:b w:val="0"/>
          <w:bCs/>
          <w:lang w:val="pt-BR"/>
        </w:rPr>
        <w:t>Vendedor</w:t>
      </w:r>
      <w:bookmarkEnd w:id="6"/>
    </w:p>
    <w:p w14:paraId="50F47BE1" w14:textId="1E77B21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7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7"/>
    </w:p>
    <w:p w14:paraId="158171F0" w14:textId="406FFFA5" w:rsidR="002D6011" w:rsidRDefault="002D6011" w:rsidP="002D6011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bookmarkStart w:id="8" w:name="_Toc68816798"/>
      <w:r w:rsidRPr="002D6011">
        <w:rPr>
          <w:b w:val="0"/>
          <w:bCs w:val="0"/>
        </w:rPr>
        <w:t>Não há</w:t>
      </w:r>
      <w:bookmarkEnd w:id="8"/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9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9"/>
    </w:p>
    <w:p w14:paraId="65DE34C5" w14:textId="67B624D2" w:rsidR="002D6011" w:rsidRPr="00580B3F" w:rsidRDefault="007E7D51" w:rsidP="00580B3F">
      <w:pPr>
        <w:pStyle w:val="Ttulo3"/>
        <w:ind w:left="709"/>
        <w:rPr>
          <w:b w:val="0"/>
          <w:bCs w:val="0"/>
        </w:rPr>
      </w:pPr>
      <w:bookmarkStart w:id="10" w:name="_Toc68816800"/>
      <w:r>
        <w:rPr>
          <w:b w:val="0"/>
          <w:bCs w:val="0"/>
        </w:rPr>
        <w:t>Ter ao menos um produto associado</w:t>
      </w:r>
      <w:r w:rsidR="007372BE" w:rsidRPr="00580B3F">
        <w:rPr>
          <w:b w:val="0"/>
          <w:bCs w:val="0"/>
        </w:rPr>
        <w:t>;</w:t>
      </w:r>
      <w:bookmarkEnd w:id="10"/>
    </w:p>
    <w:p w14:paraId="23AF2C25" w14:textId="7330A033" w:rsidR="002D6011" w:rsidRDefault="007E7D51" w:rsidP="002D6011">
      <w:pPr>
        <w:pStyle w:val="Ttulo3"/>
        <w:ind w:left="709"/>
        <w:rPr>
          <w:b w:val="0"/>
          <w:bCs w:val="0"/>
        </w:rPr>
      </w:pPr>
      <w:bookmarkStart w:id="11" w:name="_Toc68816801"/>
      <w:r>
        <w:rPr>
          <w:b w:val="0"/>
          <w:bCs w:val="0"/>
        </w:rPr>
        <w:t>Ter um cliente associado</w:t>
      </w:r>
      <w:r w:rsidR="007372BE">
        <w:rPr>
          <w:b w:val="0"/>
          <w:bCs w:val="0"/>
        </w:rPr>
        <w:t>.</w:t>
      </w:r>
      <w:bookmarkEnd w:id="11"/>
    </w:p>
    <w:p w14:paraId="378A56CD" w14:textId="0D63E6E0" w:rsidR="007372BE" w:rsidRDefault="007E7D51" w:rsidP="007372BE">
      <w:pPr>
        <w:pStyle w:val="Ttulo3"/>
        <w:ind w:left="709"/>
        <w:rPr>
          <w:b w:val="0"/>
          <w:bCs w:val="0"/>
        </w:rPr>
      </w:pPr>
      <w:bookmarkStart w:id="12" w:name="_Toc68816802"/>
      <w:bookmarkStart w:id="13" w:name="_Toc270358466"/>
      <w:r>
        <w:rPr>
          <w:b w:val="0"/>
          <w:bCs w:val="0"/>
        </w:rPr>
        <w:t>Produto estar disponível em estoque</w:t>
      </w:r>
      <w:r w:rsidR="007372BE">
        <w:rPr>
          <w:b w:val="0"/>
          <w:bCs w:val="0"/>
        </w:rPr>
        <w:t>.</w:t>
      </w:r>
      <w:bookmarkEnd w:id="12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4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13"/>
      <w:r w:rsidR="007372BE">
        <w:rPr>
          <w:lang w:val="pt-BR"/>
        </w:rPr>
        <w:t>:</w:t>
      </w:r>
      <w:bookmarkEnd w:id="14"/>
    </w:p>
    <w:p w14:paraId="1CA05276" w14:textId="2F876C92" w:rsidR="00B74798" w:rsidRPr="002D6011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5" w:name="_Toc68816804"/>
      <w:r w:rsidRPr="002D6011">
        <w:rPr>
          <w:rFonts w:cs="Arial"/>
          <w:b w:val="0"/>
        </w:rPr>
        <w:t xml:space="preserve">Vendedor acessa o modulo de </w:t>
      </w:r>
      <w:r w:rsidR="007E7D51">
        <w:rPr>
          <w:rFonts w:cs="Arial"/>
          <w:b w:val="0"/>
        </w:rPr>
        <w:t>Caixa</w:t>
      </w:r>
      <w:r w:rsidRPr="002D6011">
        <w:rPr>
          <w:rFonts w:cs="Arial"/>
          <w:b w:val="0"/>
        </w:rPr>
        <w:t xml:space="preserve"> no sistema;</w:t>
      </w:r>
      <w:bookmarkEnd w:id="15"/>
    </w:p>
    <w:p w14:paraId="7A6510E7" w14:textId="5A1B6290" w:rsidR="00352132" w:rsidRDefault="00B74798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6" w:name="_Toc68816805"/>
      <w:r>
        <w:rPr>
          <w:rFonts w:cs="Arial"/>
          <w:b w:val="0"/>
        </w:rPr>
        <w:t xml:space="preserve">Vendedor informa no campo </w:t>
      </w:r>
      <w:r w:rsidR="007E7D51">
        <w:rPr>
          <w:rFonts w:cs="Arial"/>
          <w:b w:val="0"/>
        </w:rPr>
        <w:t>cliente</w:t>
      </w:r>
      <w:r>
        <w:rPr>
          <w:rFonts w:cs="Arial"/>
          <w:b w:val="0"/>
        </w:rPr>
        <w:t xml:space="preserve"> o </w:t>
      </w:r>
      <w:r w:rsidR="002D6011">
        <w:rPr>
          <w:rFonts w:cs="Arial"/>
          <w:b w:val="0"/>
        </w:rPr>
        <w:t>número</w:t>
      </w:r>
      <w:r>
        <w:rPr>
          <w:rFonts w:cs="Arial"/>
          <w:b w:val="0"/>
        </w:rPr>
        <w:t xml:space="preserve"> </w:t>
      </w:r>
      <w:r w:rsidR="007E7D51">
        <w:rPr>
          <w:rFonts w:cs="Arial"/>
          <w:b w:val="0"/>
        </w:rPr>
        <w:t xml:space="preserve">de CPF </w:t>
      </w:r>
      <w:r>
        <w:rPr>
          <w:rFonts w:cs="Arial"/>
          <w:b w:val="0"/>
        </w:rPr>
        <w:t>ou nome do cliente;</w:t>
      </w:r>
      <w:bookmarkEnd w:id="16"/>
    </w:p>
    <w:p w14:paraId="46597ADC" w14:textId="18729FB7" w:rsidR="007E7D51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7" w:name="_Toc68816806"/>
      <w:r>
        <w:rPr>
          <w:rFonts w:cs="Arial"/>
          <w:b w:val="0"/>
        </w:rPr>
        <w:t xml:space="preserve">Vendedor </w:t>
      </w:r>
      <w:r w:rsidR="007E7D51">
        <w:rPr>
          <w:rFonts w:cs="Arial"/>
          <w:b w:val="0"/>
        </w:rPr>
        <w:t>clica em adicionar produtos e será exibida a tela de seleção de produtos;</w:t>
      </w:r>
    </w:p>
    <w:p w14:paraId="23A72A2D" w14:textId="5081A3B8" w:rsidR="00B74798" w:rsidRDefault="007E7D51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>Vendedor seleciona os produtos e informa a quantidade</w:t>
      </w:r>
      <w:r w:rsidR="00B74798">
        <w:rPr>
          <w:rFonts w:cs="Arial"/>
          <w:b w:val="0"/>
        </w:rPr>
        <w:t>;</w:t>
      </w:r>
      <w:bookmarkEnd w:id="17"/>
    </w:p>
    <w:p w14:paraId="355623AA" w14:textId="4F858B23" w:rsidR="00B74798" w:rsidRDefault="007E7D51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>Vendedor confirma os itens e será exibido a lista de itens, valores unitários e total e o desconto;</w:t>
      </w:r>
    </w:p>
    <w:p w14:paraId="7565EEA5" w14:textId="6EF4635A" w:rsidR="00B74798" w:rsidRPr="002D6011" w:rsidRDefault="007E7D51" w:rsidP="002D6011">
      <w:pPr>
        <w:pStyle w:val="Ttulo3"/>
        <w:numPr>
          <w:ilvl w:val="2"/>
          <w:numId w:val="1"/>
        </w:numPr>
        <w:spacing w:before="60" w:after="0"/>
        <w:ind w:left="806"/>
        <w:rPr>
          <w:b w:val="0"/>
          <w:bCs w:val="0"/>
        </w:rPr>
      </w:pPr>
      <w:r>
        <w:rPr>
          <w:rFonts w:cs="Arial"/>
          <w:b w:val="0"/>
          <w:bCs w:val="0"/>
        </w:rPr>
        <w:t>Vendedor seleciona método de pagamento;</w:t>
      </w:r>
    </w:p>
    <w:p w14:paraId="1E283A71" w14:textId="309454B9" w:rsidR="00B74798" w:rsidRDefault="007E7D51" w:rsidP="002D6011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Vendedor confirma pagamento;</w:t>
      </w:r>
    </w:p>
    <w:p w14:paraId="57EDE3FB" w14:textId="0261E5CE" w:rsidR="007372BE" w:rsidRPr="007372BE" w:rsidRDefault="007E7D51" w:rsidP="007372BE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Venda finalizada.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8" w:name="_Toc68816814"/>
      <w:r>
        <w:rPr>
          <w:rFonts w:cs="Arial"/>
          <w:lang w:val="pt-BR"/>
        </w:rPr>
        <w:t>Pós-Condições:</w:t>
      </w:r>
      <w:bookmarkEnd w:id="18"/>
    </w:p>
    <w:p w14:paraId="12466559" w14:textId="5291E866" w:rsidR="00196485" w:rsidRPr="00180DE8" w:rsidRDefault="007E7D51" w:rsidP="00196485">
      <w:pPr>
        <w:pStyle w:val="Ttulo3"/>
        <w:ind w:left="709"/>
      </w:pPr>
      <w:r>
        <w:rPr>
          <w:b w:val="0"/>
          <w:bCs w:val="0"/>
        </w:rPr>
        <w:t>Venda realizada com sucesso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9" w:name="_Toc270358467"/>
      <w:bookmarkStart w:id="20" w:name="_Toc68816816"/>
      <w:bookmarkStart w:id="21" w:name="_Toc423410240"/>
      <w:bookmarkStart w:id="22" w:name="_Toc425054506"/>
      <w:bookmarkStart w:id="23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9"/>
      <w:r w:rsidR="00180DE8">
        <w:rPr>
          <w:rFonts w:cs="Arial"/>
          <w:lang w:val="pt-BR"/>
        </w:rPr>
        <w:t>/Exceção</w:t>
      </w:r>
      <w:bookmarkEnd w:id="20"/>
    </w:p>
    <w:p w14:paraId="647F8D21" w14:textId="396853B1" w:rsidR="0081382F" w:rsidRDefault="00180DE8" w:rsidP="00180DE8">
      <w:pPr>
        <w:spacing w:before="60"/>
        <w:ind w:left="720" w:firstLine="86"/>
        <w:rPr>
          <w:rFonts w:ascii="Arial" w:hAnsi="Arial" w:cs="Arial"/>
          <w:iCs/>
          <w:lang w:val="pt-BR"/>
        </w:rPr>
      </w:pPr>
      <w:bookmarkStart w:id="24" w:name="_Toc103594679"/>
      <w:bookmarkEnd w:id="21"/>
      <w:bookmarkEnd w:id="22"/>
      <w:bookmarkEnd w:id="23"/>
      <w:r>
        <w:rPr>
          <w:rFonts w:ascii="Arial" w:hAnsi="Arial" w:cs="Arial"/>
          <w:lang w:val="pt-BR"/>
        </w:rPr>
        <w:t xml:space="preserve">EX1 </w:t>
      </w:r>
      <w:r w:rsidR="007E7D51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7E7D51">
        <w:rPr>
          <w:rFonts w:ascii="Arial" w:hAnsi="Arial" w:cs="Arial"/>
          <w:iCs/>
          <w:lang w:val="pt-BR"/>
        </w:rPr>
        <w:t>Produto não tem estoque</w:t>
      </w:r>
    </w:p>
    <w:p w14:paraId="2A6A687E" w14:textId="3D38F7AB" w:rsidR="00180DE8" w:rsidRDefault="00580B3F" w:rsidP="00580B3F">
      <w:pPr>
        <w:pStyle w:val="Ttulo3"/>
        <w:numPr>
          <w:ilvl w:val="0"/>
          <w:numId w:val="0"/>
        </w:numPr>
        <w:spacing w:before="60" w:after="0"/>
        <w:ind w:left="993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 xml:space="preserve">- </w:t>
      </w:r>
      <w:r w:rsidR="00180DE8" w:rsidRPr="00580B3F">
        <w:rPr>
          <w:rFonts w:cs="Arial"/>
          <w:b w:val="0"/>
          <w:bCs w:val="0"/>
        </w:rPr>
        <w:t xml:space="preserve">Sistema apresenta um alerta dizendo que </w:t>
      </w:r>
      <w:r w:rsidR="007E7D51">
        <w:rPr>
          <w:rFonts w:cs="Arial"/>
          <w:b w:val="0"/>
          <w:bCs w:val="0"/>
        </w:rPr>
        <w:t>a quantidade d</w:t>
      </w:r>
      <w:r w:rsidR="00180DE8" w:rsidRPr="00580B3F">
        <w:rPr>
          <w:rFonts w:cs="Arial"/>
          <w:b w:val="0"/>
          <w:bCs w:val="0"/>
        </w:rPr>
        <w:t>o produto desta venda</w:t>
      </w:r>
      <w:r w:rsidR="007E7D51">
        <w:rPr>
          <w:rFonts w:cs="Arial"/>
          <w:b w:val="0"/>
          <w:bCs w:val="0"/>
        </w:rPr>
        <w:t xml:space="preserve"> não </w:t>
      </w:r>
      <w:r w:rsidR="00886F23">
        <w:rPr>
          <w:rFonts w:cs="Arial"/>
          <w:b w:val="0"/>
          <w:bCs w:val="0"/>
        </w:rPr>
        <w:t>está</w:t>
      </w:r>
      <w:r w:rsidR="007E7D51">
        <w:rPr>
          <w:rFonts w:cs="Arial"/>
          <w:b w:val="0"/>
          <w:bCs w:val="0"/>
        </w:rPr>
        <w:t xml:space="preserve"> disponível em estoque.</w:t>
      </w:r>
    </w:p>
    <w:p w14:paraId="71282C2C" w14:textId="410A10B1" w:rsidR="007E7D51" w:rsidRDefault="00886F23" w:rsidP="007E7D51">
      <w:pPr>
        <w:spacing w:before="60"/>
        <w:ind w:left="720" w:firstLine="86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lang w:val="pt-BR"/>
        </w:rPr>
        <w:t>ALT1</w:t>
      </w:r>
      <w:r w:rsidR="007E7D51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iCs/>
          <w:lang w:val="pt-BR"/>
        </w:rPr>
        <w:t>Cliente não está cadastrado</w:t>
      </w:r>
    </w:p>
    <w:p w14:paraId="2CFFECB2" w14:textId="3FAA0300" w:rsidR="007E7D51" w:rsidRPr="00886F23" w:rsidRDefault="00886F23" w:rsidP="00886F23">
      <w:pPr>
        <w:pStyle w:val="Ttulo3"/>
        <w:numPr>
          <w:ilvl w:val="0"/>
          <w:numId w:val="0"/>
        </w:numPr>
        <w:spacing w:before="60" w:after="0"/>
        <w:ind w:left="993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 xml:space="preserve">- </w:t>
      </w:r>
      <w:r w:rsidRPr="00580B3F">
        <w:rPr>
          <w:rFonts w:cs="Arial"/>
          <w:b w:val="0"/>
          <w:bCs w:val="0"/>
        </w:rPr>
        <w:t>Sistema apresenta um</w:t>
      </w:r>
      <w:r>
        <w:rPr>
          <w:rFonts w:cs="Arial"/>
          <w:b w:val="0"/>
          <w:bCs w:val="0"/>
        </w:rPr>
        <w:t>a tela de cadastro de cliente.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5" w:name="_Toc68816817"/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25"/>
    </w:p>
    <w:p w14:paraId="6FB036A8" w14:textId="269D2159" w:rsidR="00F571D5" w:rsidRPr="00580B3F" w:rsidRDefault="00886F23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886F23">
        <w:rPr>
          <w:rFonts w:cs="Arial"/>
          <w:b w:val="0"/>
          <w:bCs w:val="0"/>
        </w:rPr>
        <w:t xml:space="preserve">Emissão de </w:t>
      </w:r>
      <w:r>
        <w:rPr>
          <w:rFonts w:cs="Arial"/>
          <w:b w:val="0"/>
          <w:bCs w:val="0"/>
        </w:rPr>
        <w:t>Nota Fiscal, Desconto em compras grandes, cadastro de cliente para vendas e produtos em estoque.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6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6"/>
    </w:p>
    <w:p w14:paraId="3BEF7E05" w14:textId="0DD261FB" w:rsidR="00F571D5" w:rsidRPr="00580B3F" w:rsidRDefault="00580B3F" w:rsidP="00580B3F">
      <w:pPr>
        <w:pStyle w:val="Ttulo3"/>
        <w:numPr>
          <w:ilvl w:val="2"/>
          <w:numId w:val="1"/>
        </w:numPr>
        <w:spacing w:before="60" w:after="0"/>
        <w:ind w:left="806" w:firstLine="45"/>
        <w:rPr>
          <w:rFonts w:cs="Arial"/>
          <w:b w:val="0"/>
          <w:bCs w:val="0"/>
        </w:rPr>
      </w:pPr>
      <w:r w:rsidRPr="00580B3F">
        <w:rPr>
          <w:rFonts w:cs="Arial"/>
          <w:b w:val="0"/>
          <w:bCs w:val="0"/>
        </w:rPr>
        <w:t xml:space="preserve">Cadastro, atualização e exclusão de Clientes; </w:t>
      </w:r>
      <w:r w:rsidR="00886F23" w:rsidRPr="00886F23">
        <w:rPr>
          <w:rFonts w:cs="Arial"/>
          <w:b w:val="0"/>
          <w:bCs w:val="0"/>
        </w:rPr>
        <w:t xml:space="preserve">Realização de venda de um </w:t>
      </w:r>
      <w:r w:rsidR="00666818" w:rsidRPr="00886F23">
        <w:rPr>
          <w:rFonts w:cs="Arial"/>
          <w:b w:val="0"/>
          <w:bCs w:val="0"/>
        </w:rPr>
        <w:t>produto</w:t>
      </w:r>
      <w:r w:rsidR="00666818" w:rsidRPr="00580B3F">
        <w:rPr>
          <w:rFonts w:cs="Arial"/>
          <w:b w:val="0"/>
          <w:bCs w:val="0"/>
        </w:rPr>
        <w:t xml:space="preserve">; </w:t>
      </w:r>
      <w:r w:rsidR="00666818">
        <w:rPr>
          <w:rFonts w:cs="Arial"/>
          <w:b w:val="0"/>
          <w:bCs w:val="0"/>
        </w:rPr>
        <w:t>Manutenção</w:t>
      </w:r>
      <w:r w:rsidR="00886F23" w:rsidRPr="00886F23">
        <w:rPr>
          <w:rFonts w:cs="Arial"/>
          <w:b w:val="0"/>
          <w:bCs w:val="0"/>
        </w:rPr>
        <w:t xml:space="preserve"> e consulta do estoque</w:t>
      </w:r>
      <w:r w:rsidR="00886F23">
        <w:rPr>
          <w:rFonts w:cs="Arial"/>
          <w:b w:val="0"/>
          <w:bCs w:val="0"/>
        </w:rPr>
        <w:t xml:space="preserve">; </w:t>
      </w:r>
      <w:r w:rsidR="00666818" w:rsidRPr="00886F23">
        <w:rPr>
          <w:rFonts w:cs="Arial"/>
          <w:b w:val="0"/>
          <w:bCs w:val="0"/>
        </w:rPr>
        <w:t>cadastrar</w:t>
      </w:r>
      <w:r w:rsidR="00886F23" w:rsidRPr="00886F23">
        <w:rPr>
          <w:rFonts w:cs="Arial"/>
          <w:b w:val="0"/>
          <w:bCs w:val="0"/>
        </w:rPr>
        <w:t xml:space="preserve"> desconto </w:t>
      </w:r>
      <w:r w:rsidR="00886F23">
        <w:rPr>
          <w:rFonts w:cs="Arial"/>
          <w:b w:val="0"/>
          <w:bCs w:val="0"/>
        </w:rPr>
        <w:t xml:space="preserve">disponível; </w:t>
      </w:r>
      <w:r w:rsidR="00886F23" w:rsidRPr="00886F23">
        <w:rPr>
          <w:rFonts w:cs="Arial"/>
          <w:b w:val="0"/>
          <w:bCs w:val="0"/>
        </w:rPr>
        <w:t>Consulta de Clientes por nome ou CPF</w:t>
      </w:r>
      <w:r w:rsidR="00886F23">
        <w:rPr>
          <w:rFonts w:cs="Arial"/>
          <w:b w:val="0"/>
          <w:bCs w:val="0"/>
        </w:rPr>
        <w:t>.</w:t>
      </w:r>
    </w:p>
    <w:p w14:paraId="2E4D76F8" w14:textId="36F72E26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7" w:name="_Toc68816819"/>
      <w:r>
        <w:rPr>
          <w:rFonts w:cs="Arial"/>
          <w:lang w:val="pt-BR"/>
        </w:rPr>
        <w:t>Telas Associadas</w:t>
      </w:r>
      <w:bookmarkEnd w:id="27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  <w:lang w:val="pt-BR"/>
        </w:rPr>
      </w:pPr>
    </w:p>
    <w:bookmarkEnd w:id="24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  <w:lang w:val="pt-BR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5CABF" w14:textId="77777777" w:rsidR="0012713A" w:rsidRDefault="0012713A">
      <w:pPr>
        <w:spacing w:line="240" w:lineRule="auto"/>
      </w:pPr>
      <w:r>
        <w:separator/>
      </w:r>
    </w:p>
  </w:endnote>
  <w:endnote w:type="continuationSeparator" w:id="0">
    <w:p w14:paraId="0B511F5D" w14:textId="77777777" w:rsidR="0012713A" w:rsidRDefault="00127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2ECB6" w14:textId="77777777" w:rsidR="0012713A" w:rsidRDefault="0012713A">
      <w:pPr>
        <w:spacing w:line="240" w:lineRule="auto"/>
      </w:pPr>
      <w:r>
        <w:separator/>
      </w:r>
    </w:p>
  </w:footnote>
  <w:footnote w:type="continuationSeparator" w:id="0">
    <w:p w14:paraId="20537833" w14:textId="77777777" w:rsidR="0012713A" w:rsidRDefault="00127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>
    <w:pPr>
      <w:rPr>
        <w:sz w:val="24"/>
      </w:rPr>
    </w:pPr>
  </w:p>
  <w:p w14:paraId="2DC0BE4D" w14:textId="77777777" w:rsidR="008A5397" w:rsidRDefault="008A5397">
    <w:pPr>
      <w:pBdr>
        <w:top w:val="single" w:sz="6" w:space="1" w:color="auto"/>
      </w:pBdr>
      <w:rPr>
        <w:sz w:val="24"/>
      </w:rP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  <w:lang w:val="pt-BR"/>
      </w:rPr>
    </w:pPr>
    <w:r w:rsidRPr="001B7F44">
      <w:rPr>
        <w:rFonts w:ascii="Arial" w:hAnsi="Arial"/>
        <w:b/>
        <w:sz w:val="36"/>
        <w:lang w:val="pt-BR"/>
      </w:rPr>
      <w:t>Software de gestão da empresa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>
          <w:pPr>
            <w:rPr>
              <w:lang w:val="pt-BR"/>
            </w:rPr>
          </w:pPr>
        </w:p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pPr>
            <w:rPr>
              <w:lang w:val="pt-BR"/>
            </w:rPr>
          </w:pPr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6CA94943" w:rsidR="008A5397" w:rsidRDefault="008A5397">
          <w:r>
            <w:rPr>
              <w:lang w:val="pt-BR"/>
            </w:rPr>
            <w:t xml:space="preserve">  </w:t>
          </w:r>
          <w:r>
            <w:t xml:space="preserve">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666818">
            <w:rPr>
              <w:noProof/>
            </w:rPr>
            <w:t>09/04/2021 02:24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713A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362D4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66818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A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A7D2B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numPr>
        <w:ilvl w:val="4"/>
        <w:numId w:val="2"/>
      </w:numPr>
      <w:spacing w:before="240" w:after="60"/>
      <w:ind w:left="1800"/>
      <w:outlineLvl w:val="4"/>
    </w:pPr>
    <w:rPr>
      <w:lang w:val="pt-BR"/>
    </w:rPr>
  </w:style>
  <w:style w:type="paragraph" w:styleId="Ttulo6">
    <w:name w:val="heading 6"/>
    <w:basedOn w:val="Normal"/>
    <w:next w:val="Normal"/>
    <w:qFormat/>
    <w:rsid w:val="009A7D2B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7D2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7D2B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7D2B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A7D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7D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A7D2B"/>
    <w:pPr>
      <w:ind w:left="900" w:hanging="900"/>
    </w:pPr>
  </w:style>
  <w:style w:type="paragraph" w:styleId="Sumrio1">
    <w:name w:val="toc 1"/>
    <w:basedOn w:val="Normal"/>
    <w:next w:val="Normal"/>
    <w:uiPriority w:val="39"/>
    <w:rsid w:val="009A7D2B"/>
    <w:pPr>
      <w:spacing w:before="240" w:after="120"/>
    </w:pPr>
    <w:rPr>
      <w:rFonts w:asciiTheme="minorHAnsi" w:hAnsiTheme="minorHAnsi" w:cstheme="minorHAnsi"/>
      <w:b/>
      <w:bCs/>
    </w:rPr>
  </w:style>
  <w:style w:type="paragraph" w:styleId="Sumrio2">
    <w:name w:val="toc 2"/>
    <w:basedOn w:val="Normal"/>
    <w:next w:val="Normal"/>
    <w:uiPriority w:val="39"/>
    <w:rsid w:val="009A7D2B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Sumrio3">
    <w:name w:val="toc 3"/>
    <w:basedOn w:val="Normal"/>
    <w:next w:val="Normal"/>
    <w:uiPriority w:val="39"/>
    <w:rsid w:val="009A7D2B"/>
    <w:pPr>
      <w:ind w:left="400"/>
    </w:pPr>
    <w:rPr>
      <w:rFonts w:asciiTheme="minorHAnsi" w:hAnsiTheme="minorHAnsi" w:cstheme="minorHAnsi"/>
    </w:rPr>
  </w:style>
  <w:style w:type="paragraph" w:styleId="Cabealho">
    <w:name w:val="header"/>
    <w:basedOn w:val="Normal"/>
    <w:rsid w:val="009A7D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A7D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7D2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7D2B"/>
    <w:pPr>
      <w:keepLines/>
      <w:spacing w:after="120"/>
    </w:pPr>
  </w:style>
  <w:style w:type="paragraph" w:styleId="Corpodetexto">
    <w:name w:val="Body Text"/>
    <w:basedOn w:val="Normal"/>
    <w:rsid w:val="009A7D2B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ind w:left="720" w:hanging="432"/>
    </w:pPr>
  </w:style>
  <w:style w:type="paragraph" w:customStyle="1" w:styleId="Bullet2">
    <w:name w:val="Bullet2"/>
    <w:basedOn w:val="Normal"/>
    <w:rsid w:val="009A7D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7D2B"/>
    <w:pPr>
      <w:spacing w:before="80" w:line="240" w:lineRule="auto"/>
      <w:jc w:val="both"/>
    </w:pPr>
  </w:style>
  <w:style w:type="paragraph" w:styleId="Corpodetexto2">
    <w:name w:val="Body Text 2"/>
    <w:basedOn w:val="Normal"/>
    <w:rsid w:val="009A7D2B"/>
    <w:rPr>
      <w:i/>
      <w:color w:val="0000FF"/>
    </w:rPr>
  </w:style>
  <w:style w:type="paragraph" w:styleId="Recuodecorpodetexto">
    <w:name w:val="Body Text Indent"/>
    <w:basedOn w:val="Normal"/>
    <w:rsid w:val="009A7D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7D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7D2B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A7D2B"/>
    <w:pPr>
      <w:spacing w:after="120"/>
      <w:ind w:left="720"/>
    </w:pPr>
    <w:rPr>
      <w:i/>
      <w:color w:val="0000FF"/>
      <w:lang w:val="pt-BR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A45C6-EE38-2046-8BCD-B39B0138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2</TotalTime>
  <Pages>3</Pages>
  <Words>409</Words>
  <Characters>2209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2021-04-09T03:02:00Z</dcterms:created>
  <dcterms:modified xsi:type="dcterms:W3CDTF">2021-04-09T05:30:00Z</dcterms:modified>
</cp:coreProperties>
</file>