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bookmarkStart w:id="0" w:name="_GoBack"/>
      <w:bookmarkEnd w:id="0"/>
      <w:r>
        <w:br w:type="page"/>
      </w:r>
    </w:p>
    <w:p w:rsidR="004B543A" w:rsidRPr="00CC51FD" w:rsidRDefault="004B543A" w:rsidP="008C1E0F">
      <w:pPr>
        <w:pStyle w:val="Heading1"/>
        <w:numPr>
          <w:ilvl w:val="0"/>
          <w:numId w:val="5"/>
        </w:numPr>
        <w:rPr>
          <w:color w:val="auto"/>
        </w:rPr>
      </w:pPr>
      <w:r w:rsidRPr="00CC51FD">
        <w:rPr>
          <w:color w:val="auto"/>
        </w:rPr>
        <w:lastRenderedPageBreak/>
        <w:t>Introduction</w:t>
      </w:r>
    </w:p>
    <w:p w:rsidR="00D17281" w:rsidRPr="00CC51FD"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3F6AE4" w:rsidRPr="00CC51FD">
        <w:t xml:space="preserve"> and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rely on the physical test scripts, 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for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270ECF" w:rsidRPr="008864D1" w:rsidRDefault="0044437E" w:rsidP="00977BC9">
      <w:pPr>
        <w:rPr>
          <w:color w:val="00B050"/>
        </w:rPr>
      </w:pPr>
      <w:r w:rsidRPr="008864D1">
        <w:rPr>
          <w:color w:val="00B050"/>
        </w:rPr>
        <w:t>Needs more.</w:t>
      </w:r>
    </w:p>
    <w:p w:rsidR="00BA7915" w:rsidRPr="00CC51FD" w:rsidRDefault="009D4646" w:rsidP="008C1E0F">
      <w:pPr>
        <w:pStyle w:val="Heading1"/>
        <w:numPr>
          <w:ilvl w:val="0"/>
          <w:numId w:val="5"/>
        </w:numPr>
        <w:rPr>
          <w:color w:val="auto"/>
        </w:rPr>
      </w:pPr>
      <w:r w:rsidRPr="00CC51FD">
        <w:rPr>
          <w:color w:val="auto"/>
        </w:rPr>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4D77A5" w:rsidRDefault="004D77A5" w:rsidP="004D77A5">
      <w:pPr>
        <w:pStyle w:val="Heading2"/>
        <w:numPr>
          <w:ilvl w:val="1"/>
          <w:numId w:val="5"/>
        </w:numPr>
        <w:rPr>
          <w:color w:val="auto"/>
        </w:rPr>
      </w:pPr>
      <w:r w:rsidRPr="00CC51FD">
        <w:rPr>
          <w:color w:val="auto"/>
        </w:rPr>
        <w:t>Functionally similar software</w:t>
      </w:r>
    </w:p>
    <w:p w:rsidR="004D77A5" w:rsidRDefault="004D77A5" w:rsidP="004D77A5">
      <w:pPr>
        <w:ind w:left="270"/>
      </w:pPr>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4D77A5">
      <w:pPr>
        <w:ind w:left="270"/>
      </w:pPr>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4D77A5">
      <w:pPr>
        <w:ind w:left="270"/>
      </w:pPr>
      <w:r>
        <w:t xml:space="preserve">An alternative to this would be to use a system that could analyze free form answers. This kind of technique has been explored, especially in terms of essay marking. </w:t>
      </w:r>
    </w:p>
    <w:p w:rsidR="004D77A5" w:rsidRDefault="004D77A5" w:rsidP="004D77A5">
      <w:pPr>
        <w:ind w:left="270"/>
      </w:pPr>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4D77A5">
      <w:pPr>
        <w:ind w:left="270"/>
        <w:rPr>
          <w:color w:val="000000"/>
        </w:rPr>
      </w:pPr>
      <w:proofErr w:type="spellStart"/>
      <w:r w:rsidRPr="00A07C44">
        <w:rPr>
          <w:color w:val="000000"/>
        </w:rPr>
        <w:t>Pulman</w:t>
      </w:r>
      <w:proofErr w:type="spellEnd"/>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 xml:space="preserve">Christie’s approaches. That problem, is training data. A system that is more generally applicable to a </w:t>
      </w:r>
      <w:r w:rsidRPr="00A07C44">
        <w:rPr>
          <w:color w:val="000000"/>
        </w:rPr>
        <w:lastRenderedPageBreak/>
        <w:t>wide range of test is preferred since time does not have to be spent on customizing it for each new type of test.</w:t>
      </w:r>
    </w:p>
    <w:p w:rsidR="004D77A5" w:rsidRDefault="004D77A5" w:rsidP="004D77A5">
      <w:pPr>
        <w:ind w:left="270"/>
      </w:pPr>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1D7248">
      <w:pPr>
        <w:ind w:left="270"/>
      </w:pPr>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Default="009627FA" w:rsidP="009627FA">
      <w:pPr>
        <w:pStyle w:val="Heading2"/>
        <w:numPr>
          <w:ilvl w:val="1"/>
          <w:numId w:val="5"/>
        </w:numPr>
        <w:rPr>
          <w:color w:val="auto"/>
        </w:rPr>
      </w:pPr>
      <w:r>
        <w:rPr>
          <w:color w:val="auto"/>
        </w:rPr>
        <w:t>Forms of assessment</w:t>
      </w:r>
    </w:p>
    <w:p w:rsidR="00A634CE" w:rsidRDefault="00537442" w:rsidP="004F2CE3">
      <w:pPr>
        <w:ind w:left="270"/>
      </w:pPr>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556EC2">
      <w:pPr>
        <w:ind w:left="270"/>
      </w:pPr>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C252E8">
      <w:pPr>
        <w:ind w:left="270"/>
      </w:pPr>
      <w:r>
        <w:t>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figure 1) in 2001 by L. Anderson [</w:t>
      </w:r>
      <w:r w:rsidR="005F370C">
        <w:rPr>
          <w:color w:val="FF0000"/>
        </w:rPr>
        <w:t>7</w:t>
      </w:r>
      <w:r>
        <w:t xml:space="preserve">]. The cognitive level of complexity increases as one ascends from 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556EC2">
      <w:pPr>
        <w:ind w:left="270"/>
      </w:pPr>
    </w:p>
    <w:p w:rsidR="00C47832" w:rsidRDefault="00C47832" w:rsidP="00C47832">
      <w:pPr>
        <w:keepNext/>
        <w:ind w:left="270"/>
        <w:jc w:val="center"/>
      </w:pPr>
      <w:r>
        <w:rPr>
          <w:noProof/>
        </w:rPr>
        <w:lastRenderedPageBreak/>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C4783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Original and Revised Bloom's Taxonomy [2]</w:t>
      </w:r>
    </w:p>
    <w:p w:rsidR="00C252E8" w:rsidRDefault="00C252E8" w:rsidP="00C252E8">
      <w:pPr>
        <w:ind w:left="270"/>
      </w:pPr>
      <w:proofErr w:type="spellStart"/>
      <w:r w:rsidRPr="00BE4CE9">
        <w:t>Aboulsoud</w:t>
      </w:r>
      <w:proofErr w:type="spellEnd"/>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207845">
      <w:pPr>
        <w:ind w:left="270"/>
      </w:pPr>
      <w:r>
        <w:t xml:space="preserve">This implies that any system developed to aid the marking process should allow for rapid feedback with the characteristics outlined by </w:t>
      </w:r>
      <w:proofErr w:type="spellStart"/>
      <w:r>
        <w:t>Adoulsoud</w:t>
      </w:r>
      <w:proofErr w:type="spellEnd"/>
      <w:r>
        <w:t xml:space="preserve"> as well as allow for the marking of questions at various levels of Bloom’s taxonomy.</w:t>
      </w:r>
    </w:p>
    <w:p w:rsidR="00613B39" w:rsidRDefault="00B067C7" w:rsidP="009627FA">
      <w:pPr>
        <w:pStyle w:val="Heading2"/>
        <w:numPr>
          <w:ilvl w:val="1"/>
          <w:numId w:val="5"/>
        </w:numPr>
        <w:rPr>
          <w:color w:val="auto"/>
        </w:rPr>
      </w:pPr>
      <w:r w:rsidRPr="00CC51FD">
        <w:rPr>
          <w:color w:val="auto"/>
        </w:rPr>
        <w:t>Converting physical tests to digital format</w:t>
      </w:r>
    </w:p>
    <w:p w:rsidR="00616C59" w:rsidRDefault="00616C59" w:rsidP="00616C59">
      <w:pPr>
        <w:ind w:left="270"/>
      </w:pPr>
      <w:r>
        <w:t xml:space="preserve">The biggest bottle neck in the entire back-end process appears to be the scanning of test scripts so that they can be processed and stored electronically. This was noted by Doctor H. </w:t>
      </w:r>
      <w:proofErr w:type="spellStart"/>
      <w:r>
        <w:t>Suleman</w:t>
      </w:r>
      <w:proofErr w:type="spellEnd"/>
      <w:r>
        <w:t xml:space="preserve"> (personal communication, 24 April 2014) of The University of Cape Town who has implemented a system which involves the scanning of marked test scripts to automate the process of capturing marks on the university’s learning management system known as </w:t>
      </w:r>
      <w:proofErr w:type="spellStart"/>
      <w:r>
        <w:t>Vula</w:t>
      </w:r>
      <w:proofErr w:type="spellEnd"/>
      <w:r>
        <w:t>.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616C59">
      <w:pPr>
        <w:ind w:left="270"/>
      </w:pPr>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616C59">
      <w:pPr>
        <w:ind w:left="270"/>
      </w:pPr>
      <w:r>
        <w:t xml:space="preserve">A problem that was not addressed by Dr. </w:t>
      </w:r>
      <w:proofErr w:type="spellStart"/>
      <w:r>
        <w:t>Suleman</w:t>
      </w:r>
      <w:proofErr w:type="spellEnd"/>
      <w:r>
        <w:t xml:space="preserve"> during our interview, was the size of the scanned documents. This was however addressed by Doctor J. </w:t>
      </w:r>
      <w:proofErr w:type="spellStart"/>
      <w:r w:rsidRPr="00306E5C">
        <w:t>Tangkuampien</w:t>
      </w:r>
      <w:proofErr w:type="spellEnd"/>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w:t>
      </w:r>
      <w:r>
        <w:lastRenderedPageBreak/>
        <w:t xml:space="preserve">scanning solution and that used by Dr. </w:t>
      </w:r>
      <w:proofErr w:type="spellStart"/>
      <w:r>
        <w:t>Suleman</w:t>
      </w:r>
      <w:proofErr w:type="spellEnd"/>
      <w:r>
        <w:t xml:space="preserve"> is that he scanned the documents in </w:t>
      </w:r>
      <w:proofErr w:type="spellStart"/>
      <w:r>
        <w:t>colour</w:t>
      </w:r>
      <w:proofErr w:type="spellEnd"/>
      <w:r>
        <w:t xml:space="preserve">. While scanning the documents in black and white would have further reduced the file size, Dr. </w:t>
      </w:r>
      <w:proofErr w:type="spellStart"/>
      <w:r w:rsidRPr="00306E5C">
        <w:t>Tangkuampien</w:t>
      </w:r>
      <w:proofErr w:type="spellEnd"/>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616C59">
      <w:pPr>
        <w:ind w:left="270"/>
      </w:pPr>
      <w:r>
        <w:t xml:space="preserve">Dr. </w:t>
      </w:r>
      <w:proofErr w:type="spellStart"/>
      <w:r>
        <w:t>Suleman</w:t>
      </w:r>
      <w:proofErr w:type="spellEnd"/>
      <w:r>
        <w:t xml:space="preserve"> used a combination of OMR and manual name entry to name scanned files whereas Dr. </w:t>
      </w:r>
      <w:proofErr w:type="spellStart"/>
      <w:r w:rsidRPr="00306E5C">
        <w:t>Tangkuampien</w:t>
      </w:r>
      <w:proofErr w:type="spellEnd"/>
      <w:r>
        <w:t xml:space="preserve"> used a fully manual approach.  With the first approach a special cover page needed to be created whereas with the second the existing test format could be used. </w:t>
      </w:r>
    </w:p>
    <w:p w:rsidR="000419F0" w:rsidRDefault="00616C59" w:rsidP="008A0505">
      <w:pPr>
        <w:ind w:left="270"/>
      </w:pPr>
      <w:r>
        <w:t xml:space="preserve">S. </w:t>
      </w:r>
      <w:proofErr w:type="spellStart"/>
      <w:r>
        <w:t>Chetty</w:t>
      </w:r>
      <w:proofErr w:type="spellEnd"/>
      <w:r>
        <w:t xml:space="preserve">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064ACF">
      <w:pPr>
        <w:ind w:left="270"/>
      </w:pPr>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Default="00E43A4F" w:rsidP="00A07C44">
      <w:pPr>
        <w:pStyle w:val="Heading2"/>
        <w:numPr>
          <w:ilvl w:val="1"/>
          <w:numId w:val="5"/>
        </w:numPr>
        <w:rPr>
          <w:color w:val="auto"/>
        </w:rPr>
      </w:pPr>
      <w:r w:rsidRPr="00CC51FD">
        <w:rPr>
          <w:color w:val="auto"/>
        </w:rPr>
        <w:t xml:space="preserve">Software </w:t>
      </w:r>
      <w:r w:rsidR="003860CC">
        <w:rPr>
          <w:color w:val="auto"/>
        </w:rPr>
        <w:t>interaction</w:t>
      </w:r>
    </w:p>
    <w:p w:rsidR="003860CC" w:rsidRDefault="005508FA" w:rsidP="005508FA">
      <w:pPr>
        <w:ind w:left="270"/>
      </w:pPr>
      <w:r>
        <w:t>In order to make the best use of the tablet and stylus interface, it was necessary to understand what users have found intuitive in the past.</w:t>
      </w:r>
    </w:p>
    <w:p w:rsidR="00BD09CF" w:rsidRDefault="00092CEC" w:rsidP="005D41E4">
      <w:pPr>
        <w:ind w:left="270"/>
      </w:pPr>
      <w:proofErr w:type="spellStart"/>
      <w:r w:rsidRPr="00C9549C">
        <w:t>Alisi</w:t>
      </w:r>
      <w:proofErr w:type="spellEnd"/>
      <w:r w:rsidRPr="00C9549C">
        <w:t xml:space="preserve">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D41E4">
      <w:pPr>
        <w:ind w:left="270"/>
      </w:pPr>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243A3F">
      <w:pPr>
        <w:ind w:left="270"/>
      </w:pPr>
      <w:r>
        <w:t xml:space="preserve">This point is further expanded upon by </w:t>
      </w:r>
      <w:proofErr w:type="spellStart"/>
      <w:r>
        <w:t>Malizia</w:t>
      </w:r>
      <w:proofErr w:type="spellEnd"/>
      <w:r>
        <w:t xml:space="preserve">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243A3F">
      <w:pPr>
        <w:ind w:left="270"/>
      </w:pPr>
      <w:r>
        <w:lastRenderedPageBreak/>
        <w:t xml:space="preserve">In order to provide the students with useful feedback, Dr. </w:t>
      </w:r>
      <w:proofErr w:type="spellStart"/>
      <w:r w:rsidRPr="00306E5C">
        <w:t>Tangkuampien</w:t>
      </w:r>
      <w:proofErr w:type="spellEnd"/>
      <w:r>
        <w:t xml:space="preserve"> suggests that a three-pane view is the most useful. The three-pane view describes the screen and document layout used that presents the viewer with the question, student answer and model answer in a single view. During his research Dr. </w:t>
      </w:r>
      <w:proofErr w:type="spellStart"/>
      <w:r w:rsidRPr="00306E5C">
        <w:t>Tangkuampien</w:t>
      </w:r>
      <w:proofErr w:type="spellEnd"/>
      <w:r>
        <w:t xml:space="preserve"> has found that this view has proven the most beneficial to both the marker and the student. It allows the students to easily assess what they did incorrectly and how they can fix it. </w:t>
      </w:r>
      <w:r>
        <w:t xml:space="preserve">The software shown </w:t>
      </w:r>
      <w:r>
        <w:t>during the interview maintained the traditional view of a test script i.e. as a set of multiple pages exactly as they were scanned with the model answer added to the right column</w:t>
      </w:r>
    </w:p>
    <w:p w:rsidR="00092CEC" w:rsidRPr="003860CC" w:rsidRDefault="00BA03B7" w:rsidP="009C30F3">
      <w:pPr>
        <w:ind w:left="270"/>
      </w:pPr>
      <w:r>
        <w:t xml:space="preserve">Dr. </w:t>
      </w:r>
      <w:proofErr w:type="spellStart"/>
      <w:r>
        <w:t>Suleman</w:t>
      </w:r>
      <w:proofErr w:type="spellEnd"/>
      <w:r>
        <w:t xml:space="preserve">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proofErr w:type="spellStart"/>
      <w:r w:rsidRPr="00073324">
        <w:t>Fowles</w:t>
      </w:r>
      <w:proofErr w:type="spellEnd"/>
      <w:r w:rsidRPr="00073324">
        <w:t xml:space="preserve"> </w:t>
      </w:r>
      <w:r>
        <w:t>[</w:t>
      </w:r>
      <w:r w:rsidR="00745DBB">
        <w:rPr>
          <w:color w:val="FF0000"/>
        </w:rPr>
        <w:t>11</w:t>
      </w:r>
      <w:r>
        <w:t>] suggests that this is both reassuring to the marker but is also essential if the marking is challenged in the future.</w:t>
      </w:r>
    </w:p>
    <w:p w:rsidR="009F2703" w:rsidRPr="00CC51FD" w:rsidRDefault="009F2703" w:rsidP="008C1E0F">
      <w:pPr>
        <w:pStyle w:val="Heading1"/>
        <w:numPr>
          <w:ilvl w:val="0"/>
          <w:numId w:val="5"/>
        </w:numPr>
        <w:rPr>
          <w:color w:val="auto"/>
        </w:rPr>
      </w:pPr>
      <w:r w:rsidRPr="00CC51FD">
        <w:rPr>
          <w:color w:val="auto"/>
        </w:rPr>
        <w:t>What is ScriptView?</w:t>
      </w:r>
    </w:p>
    <w:p w:rsidR="00E508EF" w:rsidRPr="00CC51FD" w:rsidRDefault="00512D54" w:rsidP="000F2ECF">
      <w:r w:rsidRPr="00CC51FD">
        <w:t xml:space="preserve">ScriptView is an application which aims to improve the current test management procedures by leveraging the </w:t>
      </w:r>
      <w:r w:rsidR="00360BA2" w:rsidRPr="00CC51FD">
        <w:t>advantages</w:t>
      </w:r>
      <w:r w:rsidRPr="00CC51FD">
        <w:t xml:space="preserve"> of technology a</w:t>
      </w:r>
      <w:r w:rsidR="00970737" w:rsidRPr="00CC51FD">
        <w:t>t specific steps in the process. This allows the application to be more familiar to user</w:t>
      </w:r>
      <w:r w:rsidR="00994A84">
        <w:t>s and thus improve their acceptance of it.</w:t>
      </w:r>
    </w:p>
    <w:p w:rsidR="00C764E0" w:rsidRDefault="00E508EF" w:rsidP="00B57DBA">
      <w:pPr>
        <w:pStyle w:val="Heading1"/>
        <w:numPr>
          <w:ilvl w:val="0"/>
          <w:numId w:val="5"/>
        </w:numPr>
      </w:pPr>
      <w:r w:rsidRPr="00CC51FD">
        <w:br w:type="page"/>
      </w:r>
      <w:r w:rsidR="00CF1ED9">
        <w:lastRenderedPageBreak/>
        <w:t>References</w:t>
      </w:r>
    </w:p>
    <w:p w:rsidR="00224149" w:rsidRDefault="00224149" w:rsidP="00CF29BC">
      <w:pPr>
        <w:pStyle w:val="ListParagraph"/>
        <w:numPr>
          <w:ilvl w:val="1"/>
          <w:numId w:val="14"/>
        </w:numPr>
        <w:spacing w:after="160" w:line="259" w:lineRule="auto"/>
        <w:ind w:left="720"/>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ind w:left="720"/>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ind w:left="720"/>
      </w:pPr>
      <w:proofErr w:type="spellStart"/>
      <w:r w:rsidRPr="00B940B1">
        <w:rPr>
          <w:color w:val="000000"/>
        </w:rPr>
        <w:t>Pulman</w:t>
      </w:r>
      <w:proofErr w:type="spellEnd"/>
      <w:r w:rsidRPr="00B940B1">
        <w:rPr>
          <w:color w:val="000000"/>
        </w:rPr>
        <w:t xml:space="preserve">, S. G., &amp; </w:t>
      </w:r>
      <w:proofErr w:type="spellStart"/>
      <w:r w:rsidRPr="00B940B1">
        <w:rPr>
          <w:color w:val="000000"/>
        </w:rPr>
        <w:t>Sukkarieh</w:t>
      </w:r>
      <w:proofErr w:type="spellEnd"/>
      <w:r w:rsidRPr="00B940B1">
        <w:rPr>
          <w:color w:val="000000"/>
        </w:rPr>
        <w:t>,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ind w:left="720"/>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ind w:left="720"/>
      </w:pPr>
      <w:r>
        <w:t xml:space="preserve">Siemens, G., &amp; </w:t>
      </w:r>
      <w:proofErr w:type="spellStart"/>
      <w:r>
        <w:t>Gasevic</w:t>
      </w:r>
      <w:proofErr w:type="spellEnd"/>
      <w:r>
        <w:t>,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ind w:left="720"/>
      </w:pPr>
      <w:proofErr w:type="spellStart"/>
      <w:r>
        <w:t>Wiliam</w:t>
      </w:r>
      <w:proofErr w:type="spellEnd"/>
      <w:r>
        <w:t>,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ind w:left="720"/>
      </w:pPr>
      <w:r>
        <w:t>Forehand, M. (2010). Bloom’s taxonomy.</w:t>
      </w:r>
      <w:r w:rsidRPr="00717D86">
        <w:rPr>
          <w:rStyle w:val="apple-converted-space"/>
          <w:rFonts w:ascii="Verdana" w:hAnsi="Verdana"/>
          <w:color w:val="000000"/>
          <w:sz w:val="18"/>
          <w:szCs w:val="18"/>
        </w:rPr>
        <w:t> </w:t>
      </w:r>
      <w:r>
        <w:t>Emerging Perspectives on Learning, Teaching, and Technology</w:t>
      </w:r>
      <w:proofErr w:type="gramStart"/>
      <w:r>
        <w:t>,</w:t>
      </w:r>
      <w:r w:rsidRPr="00717D86">
        <w:rPr>
          <w:rStyle w:val="apple-converted-space"/>
          <w:rFonts w:ascii="Verdana" w:hAnsi="Verdana"/>
          <w:color w:val="000000"/>
          <w:sz w:val="18"/>
          <w:szCs w:val="18"/>
        </w:rPr>
        <w:t> </w:t>
      </w:r>
      <w:r>
        <w:t>,</w:t>
      </w:r>
      <w:proofErr w:type="gramEnd"/>
      <w:r>
        <w:t xml:space="preserve">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ind w:left="720"/>
      </w:pPr>
      <w:proofErr w:type="spellStart"/>
      <w:r>
        <w:t>Aboulsoud</w:t>
      </w:r>
      <w:proofErr w:type="spellEnd"/>
      <w:r>
        <w:t>,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w:t>
      </w:r>
      <w:proofErr w:type="spellStart"/>
      <w:r>
        <w:t>pii</w:t>
      </w:r>
      <w:proofErr w:type="spellEnd"/>
      <w:r>
        <w:t>]</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ind w:left="720"/>
      </w:pPr>
      <w:proofErr w:type="spellStart"/>
      <w:r w:rsidRPr="00896B44">
        <w:rPr>
          <w:color w:val="000000"/>
        </w:rPr>
        <w:t>Alisi</w:t>
      </w:r>
      <w:proofErr w:type="spellEnd"/>
      <w:r w:rsidRPr="00896B44">
        <w:rPr>
          <w:color w:val="000000"/>
        </w:rPr>
        <w:t xml:space="preserve">, T. M., Del Bimbo, A., &amp; </w:t>
      </w:r>
      <w:proofErr w:type="spellStart"/>
      <w:r w:rsidRPr="00896B44">
        <w:rPr>
          <w:color w:val="000000"/>
        </w:rPr>
        <w:t>Valli</w:t>
      </w:r>
      <w:proofErr w:type="spellEnd"/>
      <w:r w:rsidRPr="00896B44">
        <w:rPr>
          <w:color w:val="000000"/>
        </w:rPr>
        <w:t>,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ind w:left="720"/>
      </w:pPr>
      <w:proofErr w:type="spellStart"/>
      <w:r w:rsidRPr="000B61C5">
        <w:rPr>
          <w:color w:val="000000"/>
        </w:rPr>
        <w:t>Malizia</w:t>
      </w:r>
      <w:proofErr w:type="spellEnd"/>
      <w:r w:rsidRPr="000B61C5">
        <w:rPr>
          <w:color w:val="000000"/>
        </w:rPr>
        <w:t xml:space="preserve">, A., &amp; </w:t>
      </w:r>
      <w:proofErr w:type="spellStart"/>
      <w:r w:rsidRPr="000B61C5">
        <w:rPr>
          <w:color w:val="000000"/>
        </w:rPr>
        <w:t>Bellucci</w:t>
      </w:r>
      <w:proofErr w:type="spellEnd"/>
      <w:r w:rsidRPr="000B61C5">
        <w:rPr>
          <w:color w:val="000000"/>
        </w:rPr>
        <w:t>,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666424" w:rsidRPr="009661D6" w:rsidRDefault="00666424" w:rsidP="00CF29BC">
      <w:pPr>
        <w:pStyle w:val="ListParagraph"/>
        <w:numPr>
          <w:ilvl w:val="1"/>
          <w:numId w:val="14"/>
        </w:numPr>
        <w:spacing w:after="160" w:line="259" w:lineRule="auto"/>
        <w:ind w:left="720"/>
      </w:pPr>
      <w:proofErr w:type="spellStart"/>
      <w:r w:rsidRPr="00D26924">
        <w:t>Fowles</w:t>
      </w:r>
      <w:proofErr w:type="spellEnd"/>
      <w:r w:rsidRPr="00D26924">
        <w:t>, D. (2005). Literature review on effects on assessment of e-marking.</w:t>
      </w:r>
    </w:p>
    <w:p w:rsidR="007E638A" w:rsidRPr="007E638A" w:rsidRDefault="007E638A" w:rsidP="007E638A"/>
    <w:sectPr w:rsidR="007E638A" w:rsidRPr="007E638A" w:rsidSect="00C4783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752" w:rsidRDefault="00BD6752" w:rsidP="00BD6752">
      <w:pPr>
        <w:spacing w:after="0" w:line="240" w:lineRule="auto"/>
      </w:pPr>
      <w:r>
        <w:separator/>
      </w:r>
    </w:p>
  </w:endnote>
  <w:endnote w:type="continuationSeparator" w:id="0">
    <w:p w:rsidR="00BD6752" w:rsidRDefault="00BD6752"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816035">
          <w:rPr>
            <w:noProof/>
          </w:rPr>
          <w:t>6</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752" w:rsidRDefault="00BD6752" w:rsidP="00BD6752">
      <w:pPr>
        <w:spacing w:after="0" w:line="240" w:lineRule="auto"/>
      </w:pPr>
      <w:r>
        <w:separator/>
      </w:r>
    </w:p>
  </w:footnote>
  <w:footnote w:type="continuationSeparator" w:id="0">
    <w:p w:rsidR="00BD6752" w:rsidRDefault="00BD6752"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341"/>
      </v:shape>
    </w:pict>
  </w:numPicBullet>
  <w:abstractNum w:abstractNumId="0">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03D33"/>
    <w:multiLevelType w:val="hybridMultilevel"/>
    <w:tmpl w:val="2E7C9AF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
  </w:num>
  <w:num w:numId="4">
    <w:abstractNumId w:val="8"/>
  </w:num>
  <w:num w:numId="5">
    <w:abstractNumId w:val="7"/>
  </w:num>
  <w:num w:numId="6">
    <w:abstractNumId w:val="9"/>
  </w:num>
  <w:num w:numId="7">
    <w:abstractNumId w:val="6"/>
  </w:num>
  <w:num w:numId="8">
    <w:abstractNumId w:val="3"/>
  </w:num>
  <w:num w:numId="9">
    <w:abstractNumId w:val="5"/>
  </w:num>
  <w:num w:numId="10">
    <w:abstractNumId w:val="4"/>
  </w:num>
  <w:num w:numId="11">
    <w:abstractNumId w:val="10"/>
  </w:num>
  <w:num w:numId="12">
    <w:abstractNumId w:val="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12860"/>
    <w:rsid w:val="00025A0F"/>
    <w:rsid w:val="00032242"/>
    <w:rsid w:val="000340E1"/>
    <w:rsid w:val="000419F0"/>
    <w:rsid w:val="00050E15"/>
    <w:rsid w:val="00054E6A"/>
    <w:rsid w:val="00063D11"/>
    <w:rsid w:val="00064ACF"/>
    <w:rsid w:val="00073C91"/>
    <w:rsid w:val="00074308"/>
    <w:rsid w:val="00081FF0"/>
    <w:rsid w:val="00092CEC"/>
    <w:rsid w:val="00092F1B"/>
    <w:rsid w:val="000C3DF9"/>
    <w:rsid w:val="000E6908"/>
    <w:rsid w:val="000F2ECF"/>
    <w:rsid w:val="0010651C"/>
    <w:rsid w:val="001327C5"/>
    <w:rsid w:val="00154678"/>
    <w:rsid w:val="00177DBE"/>
    <w:rsid w:val="0018014F"/>
    <w:rsid w:val="0018345E"/>
    <w:rsid w:val="00183A51"/>
    <w:rsid w:val="00184D9F"/>
    <w:rsid w:val="001C1193"/>
    <w:rsid w:val="001D7248"/>
    <w:rsid w:val="001F1527"/>
    <w:rsid w:val="00200C0F"/>
    <w:rsid w:val="00205186"/>
    <w:rsid w:val="00207845"/>
    <w:rsid w:val="00224149"/>
    <w:rsid w:val="00243A3F"/>
    <w:rsid w:val="00253192"/>
    <w:rsid w:val="00254FC2"/>
    <w:rsid w:val="00255DCD"/>
    <w:rsid w:val="002671EA"/>
    <w:rsid w:val="00270ECF"/>
    <w:rsid w:val="00277321"/>
    <w:rsid w:val="00277520"/>
    <w:rsid w:val="00282B17"/>
    <w:rsid w:val="0028689D"/>
    <w:rsid w:val="00292266"/>
    <w:rsid w:val="002B032B"/>
    <w:rsid w:val="002E1602"/>
    <w:rsid w:val="002F41EC"/>
    <w:rsid w:val="003121AA"/>
    <w:rsid w:val="00320CB3"/>
    <w:rsid w:val="003452C7"/>
    <w:rsid w:val="003563EB"/>
    <w:rsid w:val="00360BA2"/>
    <w:rsid w:val="003612B6"/>
    <w:rsid w:val="00363685"/>
    <w:rsid w:val="0037049B"/>
    <w:rsid w:val="00377EDD"/>
    <w:rsid w:val="003860CC"/>
    <w:rsid w:val="00392232"/>
    <w:rsid w:val="003A3E6E"/>
    <w:rsid w:val="003B3AB4"/>
    <w:rsid w:val="003F6AE4"/>
    <w:rsid w:val="00403717"/>
    <w:rsid w:val="0042281C"/>
    <w:rsid w:val="00440891"/>
    <w:rsid w:val="0044437E"/>
    <w:rsid w:val="00457BA7"/>
    <w:rsid w:val="004844CB"/>
    <w:rsid w:val="00486106"/>
    <w:rsid w:val="004862A7"/>
    <w:rsid w:val="0049346D"/>
    <w:rsid w:val="004A104B"/>
    <w:rsid w:val="004B543A"/>
    <w:rsid w:val="004C34E1"/>
    <w:rsid w:val="004D0DE7"/>
    <w:rsid w:val="004D77A5"/>
    <w:rsid w:val="004F256F"/>
    <w:rsid w:val="004F2CE3"/>
    <w:rsid w:val="004F689C"/>
    <w:rsid w:val="00504528"/>
    <w:rsid w:val="00512D54"/>
    <w:rsid w:val="00522169"/>
    <w:rsid w:val="0053187D"/>
    <w:rsid w:val="00531DE8"/>
    <w:rsid w:val="005341CD"/>
    <w:rsid w:val="00537442"/>
    <w:rsid w:val="00544F0F"/>
    <w:rsid w:val="00546DD6"/>
    <w:rsid w:val="005508FA"/>
    <w:rsid w:val="00556EC2"/>
    <w:rsid w:val="005664FF"/>
    <w:rsid w:val="005836EE"/>
    <w:rsid w:val="005A1D7B"/>
    <w:rsid w:val="005A3A83"/>
    <w:rsid w:val="005C6770"/>
    <w:rsid w:val="005D41E4"/>
    <w:rsid w:val="005E571B"/>
    <w:rsid w:val="005F370C"/>
    <w:rsid w:val="00603EB4"/>
    <w:rsid w:val="0060592B"/>
    <w:rsid w:val="00613B39"/>
    <w:rsid w:val="00616C59"/>
    <w:rsid w:val="006614E4"/>
    <w:rsid w:val="00666424"/>
    <w:rsid w:val="006739E1"/>
    <w:rsid w:val="00676D46"/>
    <w:rsid w:val="00677541"/>
    <w:rsid w:val="006B0888"/>
    <w:rsid w:val="006B33E2"/>
    <w:rsid w:val="006B647E"/>
    <w:rsid w:val="006D0F68"/>
    <w:rsid w:val="006E1A9D"/>
    <w:rsid w:val="006E262C"/>
    <w:rsid w:val="006F3020"/>
    <w:rsid w:val="006F3631"/>
    <w:rsid w:val="006F47A8"/>
    <w:rsid w:val="0071761E"/>
    <w:rsid w:val="00734F2F"/>
    <w:rsid w:val="00745DBB"/>
    <w:rsid w:val="00763E82"/>
    <w:rsid w:val="00791557"/>
    <w:rsid w:val="007A59F1"/>
    <w:rsid w:val="007A6E34"/>
    <w:rsid w:val="007D35F4"/>
    <w:rsid w:val="007E638A"/>
    <w:rsid w:val="007F082D"/>
    <w:rsid w:val="007F3F50"/>
    <w:rsid w:val="00803FD6"/>
    <w:rsid w:val="00816035"/>
    <w:rsid w:val="00825435"/>
    <w:rsid w:val="00844D97"/>
    <w:rsid w:val="00850573"/>
    <w:rsid w:val="008559E7"/>
    <w:rsid w:val="00885C43"/>
    <w:rsid w:val="008864D1"/>
    <w:rsid w:val="0089715A"/>
    <w:rsid w:val="008A0505"/>
    <w:rsid w:val="008A3166"/>
    <w:rsid w:val="008A553C"/>
    <w:rsid w:val="008B66E8"/>
    <w:rsid w:val="008C1E0F"/>
    <w:rsid w:val="008E5C9A"/>
    <w:rsid w:val="008F3015"/>
    <w:rsid w:val="00904DD4"/>
    <w:rsid w:val="00924FEB"/>
    <w:rsid w:val="00934E1A"/>
    <w:rsid w:val="009433F4"/>
    <w:rsid w:val="00944C9D"/>
    <w:rsid w:val="00946EB4"/>
    <w:rsid w:val="00957EF4"/>
    <w:rsid w:val="009627FA"/>
    <w:rsid w:val="009661D6"/>
    <w:rsid w:val="00970737"/>
    <w:rsid w:val="00977BC9"/>
    <w:rsid w:val="00980CBB"/>
    <w:rsid w:val="00983E18"/>
    <w:rsid w:val="00990AB5"/>
    <w:rsid w:val="00994A84"/>
    <w:rsid w:val="009B4E1C"/>
    <w:rsid w:val="009C30F3"/>
    <w:rsid w:val="009C701C"/>
    <w:rsid w:val="009D4646"/>
    <w:rsid w:val="009D492F"/>
    <w:rsid w:val="009F2703"/>
    <w:rsid w:val="00A04363"/>
    <w:rsid w:val="00A04C52"/>
    <w:rsid w:val="00A06F34"/>
    <w:rsid w:val="00A07C44"/>
    <w:rsid w:val="00A13E40"/>
    <w:rsid w:val="00A40584"/>
    <w:rsid w:val="00A47BB2"/>
    <w:rsid w:val="00A560EE"/>
    <w:rsid w:val="00A60734"/>
    <w:rsid w:val="00A62C46"/>
    <w:rsid w:val="00A634CE"/>
    <w:rsid w:val="00AB4288"/>
    <w:rsid w:val="00AE54A2"/>
    <w:rsid w:val="00AF6BE5"/>
    <w:rsid w:val="00B067C7"/>
    <w:rsid w:val="00B152D3"/>
    <w:rsid w:val="00B57DBA"/>
    <w:rsid w:val="00B6011B"/>
    <w:rsid w:val="00B65375"/>
    <w:rsid w:val="00BA03B7"/>
    <w:rsid w:val="00BA1200"/>
    <w:rsid w:val="00BA7915"/>
    <w:rsid w:val="00BB5133"/>
    <w:rsid w:val="00BD09CF"/>
    <w:rsid w:val="00BD524B"/>
    <w:rsid w:val="00BD626B"/>
    <w:rsid w:val="00BD6752"/>
    <w:rsid w:val="00BD773F"/>
    <w:rsid w:val="00C044F5"/>
    <w:rsid w:val="00C07C61"/>
    <w:rsid w:val="00C252E8"/>
    <w:rsid w:val="00C3603A"/>
    <w:rsid w:val="00C41A6D"/>
    <w:rsid w:val="00C47832"/>
    <w:rsid w:val="00C479CE"/>
    <w:rsid w:val="00C64E36"/>
    <w:rsid w:val="00C659DD"/>
    <w:rsid w:val="00C764E0"/>
    <w:rsid w:val="00CA7A03"/>
    <w:rsid w:val="00CB4244"/>
    <w:rsid w:val="00CC51FD"/>
    <w:rsid w:val="00CD0234"/>
    <w:rsid w:val="00CD2EEE"/>
    <w:rsid w:val="00CF1ED9"/>
    <w:rsid w:val="00CF29BC"/>
    <w:rsid w:val="00D17281"/>
    <w:rsid w:val="00D459FC"/>
    <w:rsid w:val="00D462A8"/>
    <w:rsid w:val="00D5444E"/>
    <w:rsid w:val="00D561F4"/>
    <w:rsid w:val="00D67F10"/>
    <w:rsid w:val="00D71CF4"/>
    <w:rsid w:val="00D7704B"/>
    <w:rsid w:val="00DB19FB"/>
    <w:rsid w:val="00DB3954"/>
    <w:rsid w:val="00DE1C06"/>
    <w:rsid w:val="00E016F5"/>
    <w:rsid w:val="00E0403C"/>
    <w:rsid w:val="00E066CA"/>
    <w:rsid w:val="00E3646A"/>
    <w:rsid w:val="00E43A4F"/>
    <w:rsid w:val="00E508EF"/>
    <w:rsid w:val="00E825D9"/>
    <w:rsid w:val="00EA6D9C"/>
    <w:rsid w:val="00EB5E3C"/>
    <w:rsid w:val="00ED212F"/>
    <w:rsid w:val="00ED239F"/>
    <w:rsid w:val="00EE5E7D"/>
    <w:rsid w:val="00F31D44"/>
    <w:rsid w:val="00F34F3B"/>
    <w:rsid w:val="00F35F60"/>
    <w:rsid w:val="00F57907"/>
    <w:rsid w:val="00F60B4F"/>
    <w:rsid w:val="00FC11D6"/>
    <w:rsid w:val="00FC53F8"/>
    <w:rsid w:val="00FE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60"/>
  </w:style>
  <w:style w:type="paragraph" w:styleId="Heading1">
    <w:name w:val="heading 1"/>
    <w:basedOn w:val="Normal"/>
    <w:next w:val="Normal"/>
    <w:link w:val="Heading1Char"/>
    <w:uiPriority w:val="9"/>
    <w:qFormat/>
    <w:rsid w:val="00012860"/>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012860"/>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semiHidden/>
    <w:unhideWhenUsed/>
    <w:qFormat/>
    <w:rsid w:val="00012860"/>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semiHidden/>
    <w:unhideWhenUsed/>
    <w:qFormat/>
    <w:rsid w:val="00012860"/>
    <w:pPr>
      <w:keepNext/>
      <w:keepLines/>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012860"/>
    <w:pPr>
      <w:keepNext/>
      <w:keepLines/>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012860"/>
    <w:pPr>
      <w:keepNext/>
      <w:keepLines/>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0128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2860"/>
    <w:pPr>
      <w:keepNext/>
      <w:keepLines/>
      <w:spacing w:before="200" w:after="0"/>
      <w:outlineLvl w:val="7"/>
    </w:pPr>
    <w:rPr>
      <w:rFonts w:asciiTheme="majorHAnsi" w:eastAsiaTheme="majorEastAsia" w:hAnsiTheme="majorHAnsi" w:cstheme="majorBidi"/>
      <w:color w:val="000000" w:themeColor="accent1"/>
      <w:sz w:val="20"/>
      <w:szCs w:val="20"/>
    </w:rPr>
  </w:style>
  <w:style w:type="paragraph" w:styleId="Heading9">
    <w:name w:val="heading 9"/>
    <w:basedOn w:val="Normal"/>
    <w:next w:val="Normal"/>
    <w:link w:val="Heading9Char"/>
    <w:uiPriority w:val="9"/>
    <w:semiHidden/>
    <w:unhideWhenUsed/>
    <w:qFormat/>
    <w:rsid w:val="000128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860"/>
    <w:rPr>
      <w:rFonts w:asciiTheme="majorHAnsi" w:eastAsiaTheme="majorEastAsia" w:hAnsiTheme="majorHAnsi" w:cstheme="majorBidi"/>
      <w:b/>
      <w:bCs/>
      <w:color w:val="000000" w:themeColor="accent1" w:themeShade="BF"/>
      <w:sz w:val="28"/>
      <w:szCs w:val="28"/>
    </w:rPr>
  </w:style>
  <w:style w:type="paragraph" w:styleId="NoSpacing">
    <w:name w:val="No Spacing"/>
    <w:uiPriority w:val="1"/>
    <w:qFormat/>
    <w:rsid w:val="00012860"/>
    <w:pPr>
      <w:spacing w:after="0" w:line="240" w:lineRule="auto"/>
    </w:pPr>
  </w:style>
  <w:style w:type="character" w:customStyle="1" w:styleId="Heading2Char">
    <w:name w:val="Heading 2 Char"/>
    <w:basedOn w:val="DefaultParagraphFont"/>
    <w:link w:val="Heading2"/>
    <w:uiPriority w:val="9"/>
    <w:rsid w:val="00012860"/>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semiHidden/>
    <w:rsid w:val="00012860"/>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semiHidden/>
    <w:rsid w:val="00012860"/>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semiHidden/>
    <w:rsid w:val="00012860"/>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012860"/>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0128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2860"/>
    <w:rPr>
      <w:rFonts w:asciiTheme="majorHAnsi" w:eastAsiaTheme="majorEastAsia" w:hAnsiTheme="majorHAnsi" w:cstheme="majorBidi"/>
      <w:color w:val="000000" w:themeColor="accent1"/>
      <w:sz w:val="20"/>
      <w:szCs w:val="20"/>
    </w:rPr>
  </w:style>
  <w:style w:type="character" w:customStyle="1" w:styleId="Heading9Char">
    <w:name w:val="Heading 9 Char"/>
    <w:basedOn w:val="DefaultParagraphFont"/>
    <w:link w:val="Heading9"/>
    <w:uiPriority w:val="9"/>
    <w:semiHidden/>
    <w:rsid w:val="0001286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12860"/>
    <w:pPr>
      <w:spacing w:line="240" w:lineRule="auto"/>
    </w:pPr>
    <w:rPr>
      <w:b/>
      <w:bCs/>
      <w:color w:val="000000" w:themeColor="accent1"/>
      <w:sz w:val="18"/>
      <w:szCs w:val="18"/>
    </w:rPr>
  </w:style>
  <w:style w:type="paragraph" w:styleId="Title">
    <w:name w:val="Title"/>
    <w:basedOn w:val="Normal"/>
    <w:next w:val="Normal"/>
    <w:link w:val="TitleChar"/>
    <w:uiPriority w:val="10"/>
    <w:qFormat/>
    <w:rsid w:val="00012860"/>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sz w:val="52"/>
      <w:szCs w:val="52"/>
    </w:rPr>
  </w:style>
  <w:style w:type="character" w:customStyle="1" w:styleId="TitleChar">
    <w:name w:val="Title Char"/>
    <w:basedOn w:val="DefaultParagraphFont"/>
    <w:link w:val="Title"/>
    <w:uiPriority w:val="10"/>
    <w:rsid w:val="00012860"/>
    <w:rPr>
      <w:rFonts w:asciiTheme="majorHAnsi" w:eastAsiaTheme="majorEastAsia" w:hAnsiTheme="majorHAnsi" w:cstheme="majorBidi"/>
      <w:color w:val="000000" w:themeColor="text2" w:themeShade="BF"/>
      <w:spacing w:val="5"/>
      <w:sz w:val="52"/>
      <w:szCs w:val="52"/>
    </w:rPr>
  </w:style>
  <w:style w:type="paragraph" w:styleId="Subtitle">
    <w:name w:val="Subtitle"/>
    <w:basedOn w:val="Normal"/>
    <w:next w:val="Normal"/>
    <w:link w:val="SubtitleChar"/>
    <w:uiPriority w:val="11"/>
    <w:qFormat/>
    <w:rsid w:val="00012860"/>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012860"/>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012860"/>
    <w:rPr>
      <w:b/>
      <w:bCs/>
    </w:rPr>
  </w:style>
  <w:style w:type="character" w:styleId="Emphasis">
    <w:name w:val="Emphasis"/>
    <w:basedOn w:val="DefaultParagraphFont"/>
    <w:uiPriority w:val="20"/>
    <w:qFormat/>
    <w:rsid w:val="00012860"/>
    <w:rPr>
      <w:i/>
      <w:iCs/>
    </w:rPr>
  </w:style>
  <w:style w:type="paragraph" w:styleId="Quote">
    <w:name w:val="Quote"/>
    <w:basedOn w:val="Normal"/>
    <w:next w:val="Normal"/>
    <w:link w:val="QuoteChar"/>
    <w:uiPriority w:val="29"/>
    <w:qFormat/>
    <w:rsid w:val="00012860"/>
    <w:rPr>
      <w:i/>
      <w:iCs/>
      <w:color w:val="000000" w:themeColor="text1"/>
    </w:rPr>
  </w:style>
  <w:style w:type="character" w:customStyle="1" w:styleId="QuoteChar">
    <w:name w:val="Quote Char"/>
    <w:basedOn w:val="DefaultParagraphFont"/>
    <w:link w:val="Quote"/>
    <w:uiPriority w:val="29"/>
    <w:rsid w:val="00012860"/>
    <w:rPr>
      <w:i/>
      <w:iCs/>
      <w:color w:val="000000" w:themeColor="text1"/>
    </w:rPr>
  </w:style>
  <w:style w:type="paragraph" w:styleId="IntenseQuote">
    <w:name w:val="Intense Quote"/>
    <w:basedOn w:val="Normal"/>
    <w:next w:val="Normal"/>
    <w:link w:val="IntenseQuoteChar"/>
    <w:uiPriority w:val="30"/>
    <w:qFormat/>
    <w:rsid w:val="00012860"/>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012860"/>
    <w:rPr>
      <w:b/>
      <w:bCs/>
      <w:i/>
      <w:iCs/>
      <w:color w:val="000000" w:themeColor="accent1"/>
    </w:rPr>
  </w:style>
  <w:style w:type="character" w:styleId="SubtleEmphasis">
    <w:name w:val="Subtle Emphasis"/>
    <w:basedOn w:val="DefaultParagraphFont"/>
    <w:uiPriority w:val="19"/>
    <w:qFormat/>
    <w:rsid w:val="00012860"/>
    <w:rPr>
      <w:i/>
      <w:iCs/>
      <w:color w:val="808080" w:themeColor="text1" w:themeTint="7F"/>
    </w:rPr>
  </w:style>
  <w:style w:type="character" w:styleId="IntenseEmphasis">
    <w:name w:val="Intense Emphasis"/>
    <w:basedOn w:val="DefaultParagraphFont"/>
    <w:uiPriority w:val="21"/>
    <w:qFormat/>
    <w:rsid w:val="00012860"/>
    <w:rPr>
      <w:b/>
      <w:bCs/>
      <w:i/>
      <w:iCs/>
      <w:color w:val="000000" w:themeColor="accent1"/>
    </w:rPr>
  </w:style>
  <w:style w:type="character" w:styleId="SubtleReference">
    <w:name w:val="Subtle Reference"/>
    <w:basedOn w:val="DefaultParagraphFont"/>
    <w:uiPriority w:val="31"/>
    <w:qFormat/>
    <w:rsid w:val="00012860"/>
    <w:rPr>
      <w:smallCaps/>
      <w:color w:val="B2B2B2" w:themeColor="accent2"/>
      <w:u w:val="single"/>
    </w:rPr>
  </w:style>
  <w:style w:type="character" w:styleId="IntenseReference">
    <w:name w:val="Intense Reference"/>
    <w:basedOn w:val="DefaultParagraphFont"/>
    <w:uiPriority w:val="32"/>
    <w:qFormat/>
    <w:rsid w:val="00012860"/>
    <w:rPr>
      <w:b/>
      <w:bCs/>
      <w:smallCaps/>
      <w:color w:val="B2B2B2" w:themeColor="accent2"/>
      <w:spacing w:val="5"/>
      <w:u w:val="single"/>
    </w:rPr>
  </w:style>
  <w:style w:type="character" w:styleId="BookTitle">
    <w:name w:val="Book Title"/>
    <w:basedOn w:val="DefaultParagraphFont"/>
    <w:uiPriority w:val="33"/>
    <w:qFormat/>
    <w:rsid w:val="00012860"/>
    <w:rPr>
      <w:b/>
      <w:bCs/>
      <w:smallCaps/>
      <w:spacing w:val="5"/>
    </w:rPr>
  </w:style>
  <w:style w:type="paragraph" w:styleId="TOCHeading">
    <w:name w:val="TOC Heading"/>
    <w:basedOn w:val="Heading1"/>
    <w:next w:val="Normal"/>
    <w:uiPriority w:val="39"/>
    <w:semiHidden/>
    <w:unhideWhenUsed/>
    <w:qFormat/>
    <w:rsid w:val="0001286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BD6A7-06FC-441B-98F9-A3EC3CA61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238</cp:revision>
  <dcterms:created xsi:type="dcterms:W3CDTF">2014-10-15T13:10:00Z</dcterms:created>
  <dcterms:modified xsi:type="dcterms:W3CDTF">2014-10-15T21:05:00Z</dcterms:modified>
</cp:coreProperties>
</file>