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0" w:hanging="0"/>
        <w:jc w:val="center"/>
        <w:rPr>
          <w:sz w:val="24"/>
          <w:szCs w:val="24"/>
        </w:rPr>
      </w:pPr>
      <w:r>
        <w:rPr>
          <w:sz w:val="24"/>
          <w:szCs w:val="24"/>
        </w:rPr>
      </w:r>
    </w:p>
    <w:p>
      <w:pPr>
        <w:pStyle w:val="Normal"/>
        <w:jc w:val="center"/>
        <w:rPr>
          <w:sz w:val="24"/>
          <w:szCs w:val="24"/>
        </w:rPr>
      </w:pPr>
      <w:r>
        <w:rPr>
          <w:b/>
          <w:sz w:val="24"/>
          <w:szCs w:val="24"/>
        </w:rPr>
        <w:t>The Canadian Credential Network Constitution</w:t>
      </w:r>
    </w:p>
    <w:p>
      <w:pPr>
        <w:pStyle w:val="Normal"/>
        <w:jc w:val="center"/>
        <w:rPr>
          <w:sz w:val="24"/>
          <w:szCs w:val="24"/>
        </w:rPr>
      </w:pPr>
      <w:r>
        <w:rPr>
          <w:sz w:val="24"/>
          <w:szCs w:val="24"/>
        </w:rPr>
      </w:r>
    </w:p>
    <w:p>
      <w:pPr>
        <w:pStyle w:val="Normal"/>
        <w:jc w:val="center"/>
        <w:rPr>
          <w:sz w:val="24"/>
          <w:szCs w:val="24"/>
        </w:rPr>
      </w:pPr>
      <w:r>
        <w:rPr>
          <w:sz w:val="24"/>
          <w:szCs w:val="24"/>
        </w:rPr>
        <w:t>Effective [</w:t>
      </w:r>
      <w:r>
        <w:rPr>
          <w:sz w:val="24"/>
          <w:szCs w:val="24"/>
          <w:highlight w:val="yellow"/>
        </w:rPr>
        <w:t>January 01, 2021</w:t>
      </w:r>
      <w:r>
        <w:rPr>
          <w:sz w:val="24"/>
          <w:szCs w:val="24"/>
        </w:rPr>
        <w:t>]</w:t>
      </w:r>
    </w:p>
    <w:p>
      <w:pPr>
        <w:pStyle w:val="Normal"/>
        <w:jc w:val="center"/>
        <w:rPr>
          <w:sz w:val="24"/>
          <w:szCs w:val="24"/>
        </w:rPr>
      </w:pPr>
      <w:r>
        <w:rPr>
          <w:sz w:val="24"/>
          <w:szCs w:val="24"/>
        </w:rPr>
      </w:r>
    </w:p>
    <w:p>
      <w:pPr>
        <w:pStyle w:val="Heading1"/>
        <w:keepNext w:val="false"/>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rPr>
          <w:rFonts w:ascii="Times New Roman" w:hAnsi="Times New Roman" w:eastAsia="Times New Roman" w:cs="Times New Roman"/>
          <w:sz w:val="24"/>
          <w:szCs w:val="24"/>
        </w:rPr>
      </w:pPr>
      <w:r>
        <w:rPr>
          <w:b/>
        </w:rPr>
        <w:t>Canadian Credential Network</w:t>
      </w:r>
    </w:p>
    <w:p>
      <w:pPr>
        <w:pStyle w:val="TextBody"/>
        <w:rPr>
          <w:rFonts w:ascii="Times New Roman" w:hAnsi="Times New Roman" w:eastAsia="Times New Roman" w:cs="Times New Roman"/>
          <w:sz w:val="24"/>
          <w:szCs w:val="24"/>
        </w:rPr>
      </w:pPr>
      <w:r>
        <w:rPr/>
        <w:t>(the "Corporation")</w:t>
      </w:r>
    </w:p>
    <w:p>
      <w:pPr>
        <w:pStyle w:val="TextBody"/>
        <w:rPr>
          <w:rFonts w:ascii="Times New Roman" w:hAnsi="Times New Roman" w:eastAsia="Times New Roman" w:cs="Times New Roman"/>
          <w:sz w:val="24"/>
          <w:szCs w:val="24"/>
        </w:rPr>
      </w:pPr>
      <w:r>
        <w:rPr>
          <w:b/>
        </w:rPr>
        <w:t>BE IT ENACTED</w:t>
      </w:r>
      <w:r>
        <w:rPr/>
        <w:t xml:space="preserve"> as a by-law of the Corporation as follows: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Definitions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In this by-law and all other by-laws of the Corporation, unless the context otherwise requires:</w:t>
      </w:r>
    </w:p>
    <w:p>
      <w:pPr>
        <w:pStyle w:val="TextBody"/>
        <w:numPr>
          <w:ilvl w:val="0"/>
          <w:numId w:val="0"/>
        </w:numPr>
        <w:ind w:left="707" w:hanging="0"/>
        <w:rPr>
          <w:rFonts w:ascii="Times New Roman" w:hAnsi="Times New Roman" w:eastAsia="Times New Roman" w:cs="Times New Roman"/>
          <w:sz w:val="24"/>
          <w:szCs w:val="24"/>
        </w:rPr>
      </w:pPr>
      <w:r>
        <w:rPr/>
        <w:t>"</w:t>
      </w:r>
      <w:r>
        <w:rPr>
          <w:b/>
        </w:rPr>
        <w:t>Act</w:t>
      </w:r>
      <w:r>
        <w:rPr/>
        <w:t xml:space="preserve">" means the </w:t>
      </w:r>
      <w:r>
        <w:rPr>
          <w:rStyle w:val="Quotation"/>
          <w:i/>
        </w:rPr>
        <w:t>Canada Not-For-Profit Corporations Act</w:t>
      </w:r>
      <w:r>
        <w:rPr/>
        <w:t xml:space="preserve"> 2009, 23 including the Regulations made pursuant to the Act, and any statute or regulations that may be substituted, as amended from time to time;</w:t>
      </w:r>
    </w:p>
    <w:p>
      <w:pPr>
        <w:pStyle w:val="TextBody"/>
        <w:numPr>
          <w:ilvl w:val="0"/>
          <w:numId w:val="0"/>
        </w:numPr>
        <w:ind w:left="707" w:hanging="0"/>
        <w:rPr>
          <w:rFonts w:ascii="Times New Roman" w:hAnsi="Times New Roman" w:eastAsia="Times New Roman" w:cs="Times New Roman"/>
          <w:sz w:val="24"/>
          <w:szCs w:val="24"/>
        </w:rPr>
      </w:pPr>
      <w:r>
        <w:rPr/>
        <w:t>"</w:t>
      </w:r>
      <w:r>
        <w:rPr>
          <w:b/>
        </w:rPr>
        <w:t>articles</w:t>
      </w:r>
      <w:r>
        <w:rPr/>
        <w:t>" means the original or restated articles of incorporation or articles of amendment, amalgamation, continuance, reorganization, arrangement or revival of the Corporation;</w:t>
      </w:r>
    </w:p>
    <w:p>
      <w:pPr>
        <w:pStyle w:val="TextBody"/>
        <w:numPr>
          <w:ilvl w:val="0"/>
          <w:numId w:val="0"/>
        </w:numPr>
        <w:ind w:left="707" w:hanging="0"/>
        <w:rPr>
          <w:rFonts w:ascii="Times New Roman" w:hAnsi="Times New Roman" w:eastAsia="Times New Roman" w:cs="Times New Roman"/>
          <w:sz w:val="24"/>
          <w:szCs w:val="24"/>
        </w:rPr>
      </w:pPr>
      <w:r>
        <w:rPr/>
        <w:t>"</w:t>
      </w:r>
      <w:r>
        <w:rPr>
          <w:b/>
        </w:rPr>
        <w:t>board</w:t>
      </w:r>
      <w:r>
        <w:rPr/>
        <w:t>" means the board of directors of the Corporation and "director" means a member of the board;</w:t>
      </w:r>
    </w:p>
    <w:p>
      <w:pPr>
        <w:pStyle w:val="TextBody"/>
        <w:numPr>
          <w:ilvl w:val="0"/>
          <w:numId w:val="0"/>
        </w:numPr>
        <w:ind w:left="707" w:hanging="0"/>
        <w:rPr>
          <w:rFonts w:ascii="Times New Roman" w:hAnsi="Times New Roman" w:eastAsia="Times New Roman" w:cs="Times New Roman"/>
          <w:sz w:val="24"/>
          <w:szCs w:val="24"/>
        </w:rPr>
      </w:pPr>
      <w:r>
        <w:rPr/>
        <w:t>"</w:t>
      </w:r>
      <w:r>
        <w:rPr>
          <w:b/>
        </w:rPr>
        <w:t>by-law</w:t>
      </w:r>
      <w:r>
        <w:rPr/>
        <w:t>" means this by-law and any other by-law of the Corporation as amended and which are, from time to time, in force and effect;</w:t>
      </w:r>
    </w:p>
    <w:p>
      <w:pPr>
        <w:pStyle w:val="TextBody"/>
        <w:numPr>
          <w:ilvl w:val="0"/>
          <w:numId w:val="0"/>
        </w:numPr>
        <w:ind w:left="707" w:hanging="0"/>
        <w:rPr>
          <w:rFonts w:ascii="Times New Roman" w:hAnsi="Times New Roman" w:eastAsia="Times New Roman" w:cs="Times New Roman"/>
          <w:sz w:val="24"/>
          <w:szCs w:val="24"/>
        </w:rPr>
      </w:pPr>
      <w:r>
        <w:rPr/>
        <w:t>"</w:t>
      </w:r>
      <w:r>
        <w:rPr>
          <w:b/>
        </w:rPr>
        <w:t>meeting of members</w:t>
      </w:r>
      <w:r>
        <w:rPr/>
        <w:t>" includes an annual meeting of members or a special meeting of members; "special meeting of members" includes a meeting of any class or classes of members and a special meeting of all members entitled to vote at an annual meeting of members;</w:t>
      </w:r>
    </w:p>
    <w:p>
      <w:pPr>
        <w:pStyle w:val="TextBody"/>
        <w:numPr>
          <w:ilvl w:val="0"/>
          <w:numId w:val="0"/>
        </w:numPr>
        <w:ind w:left="707" w:hanging="0"/>
        <w:rPr>
          <w:rFonts w:ascii="Times New Roman" w:hAnsi="Times New Roman" w:eastAsia="Times New Roman" w:cs="Times New Roman"/>
          <w:sz w:val="24"/>
          <w:szCs w:val="24"/>
        </w:rPr>
      </w:pPr>
      <w:r>
        <w:rPr/>
        <w:t>"</w:t>
      </w:r>
      <w:r>
        <w:rPr>
          <w:b/>
        </w:rPr>
        <w:t>ordinary resolution</w:t>
      </w:r>
      <w:r>
        <w:rPr/>
        <w:t>" means a resolution passed by a majority of not less than 50% plus 1 of the votes cast on that resolution;</w:t>
      </w:r>
    </w:p>
    <w:p>
      <w:pPr>
        <w:pStyle w:val="TextBody"/>
        <w:numPr>
          <w:ilvl w:val="0"/>
          <w:numId w:val="0"/>
        </w:numPr>
        <w:ind w:left="707" w:hanging="0"/>
        <w:rPr>
          <w:rFonts w:ascii="Times New Roman" w:hAnsi="Times New Roman" w:eastAsia="Times New Roman" w:cs="Times New Roman"/>
          <w:sz w:val="24"/>
          <w:szCs w:val="24"/>
        </w:rPr>
      </w:pPr>
      <w:r>
        <w:rPr/>
        <w:t>"</w:t>
      </w:r>
      <w:r>
        <w:rPr>
          <w:b/>
        </w:rPr>
        <w:t>proposal</w:t>
      </w:r>
      <w:r>
        <w:rPr/>
        <w:t>" means a proposal submitted by a member of the Corporation that meets the requirements of section 163 (Member Proposals) of the Act;</w:t>
      </w:r>
    </w:p>
    <w:p>
      <w:pPr>
        <w:pStyle w:val="TextBody"/>
        <w:numPr>
          <w:ilvl w:val="0"/>
          <w:numId w:val="0"/>
        </w:numPr>
        <w:ind w:left="707" w:hanging="0"/>
        <w:rPr>
          <w:rFonts w:ascii="Times New Roman" w:hAnsi="Times New Roman" w:eastAsia="Times New Roman" w:cs="Times New Roman"/>
          <w:sz w:val="24"/>
          <w:szCs w:val="24"/>
        </w:rPr>
      </w:pPr>
      <w:r>
        <w:rPr/>
        <w:t>"</w:t>
      </w:r>
      <w:r>
        <w:rPr>
          <w:b/>
        </w:rPr>
        <w:t>Regulations</w:t>
      </w:r>
      <w:r>
        <w:rPr/>
        <w:t>" means the regulations made under the Act, as amended, restated or in effect from time to time; and</w:t>
      </w:r>
    </w:p>
    <w:p>
      <w:pPr>
        <w:pStyle w:val="TextBody"/>
        <w:numPr>
          <w:ilvl w:val="0"/>
          <w:numId w:val="0"/>
        </w:numPr>
        <w:ind w:left="707" w:hanging="0"/>
        <w:rPr>
          <w:rFonts w:ascii="Times New Roman" w:hAnsi="Times New Roman" w:eastAsia="Times New Roman" w:cs="Times New Roman"/>
          <w:sz w:val="24"/>
          <w:szCs w:val="24"/>
        </w:rPr>
      </w:pPr>
      <w:r>
        <w:rPr/>
        <w:t>"</w:t>
      </w:r>
      <w:r>
        <w:rPr>
          <w:b/>
        </w:rPr>
        <w:t>special resolution</w:t>
      </w:r>
      <w:r>
        <w:rPr/>
        <w:t>" means a resolution passed by a majority of not less than two-thirds (2/3) of the votes cast on that resolution.</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Interpretation</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In the interpretation of this by-law, words in the singular include the plural and vice-versa, words in one gender include all genders, and "person" includes an individual, body corporate, partnership, trust and unincorporated organization.</w:t>
      </w:r>
    </w:p>
    <w:p>
      <w:pPr>
        <w:pStyle w:val="TextBody"/>
        <w:numPr>
          <w:ilvl w:val="0"/>
          <w:numId w:val="0"/>
        </w:numPr>
        <w:ind w:left="707" w:hanging="0"/>
        <w:rPr>
          <w:rFonts w:ascii="Times New Roman" w:hAnsi="Times New Roman" w:eastAsia="Times New Roman" w:cs="Times New Roman"/>
          <w:sz w:val="24"/>
          <w:szCs w:val="24"/>
        </w:rPr>
      </w:pPr>
      <w:r>
        <w:rPr/>
        <w:t>Other than as specified above, words and expressions defined in the Act have the same meanings when used in these by-laws.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Corporate Seal</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Corporation may have a corporate seal in the form approved from time to time by the board. If a corporate seal is approved by the board, the secretary of the Corporation shall be the custodian of the corporate seal.</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Execution of Documents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Deeds, transfers, assignments, contracts, obligations and other instruments in writing requiring execution by the Corporation may be signed by any two (2) of its officers or directors. In addition, the board may from time to time direct the manner in which and the person or persons by whom a particular document or type of document shall be executed. Any person authorized to sign any document may affix the corporate seal (if any) to the document. Any signing officer may certify a copy of any instrument, resolution, by-law or other document of the Corporation to be a true copy thereof.</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Financial Year End</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financial year end of the Corporation shall be determined by the board of directors.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Banking Arrangements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banking business of the Corporation shall be transacted at such bank, trust company or other firm or corporation carrying on a banking business in Canada or elsewhere as the board of directors may designate, appoint or authorize from time to time by resolution. The banking business or any part of it shall be transacted by an officer or officers of the Corporation and/or other persons as the board of directors may by resolution from time to time designate, direct or authorize.</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Borrowing Powers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directors of the Corporation may, without authorization of the members,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borrow money on the credit of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issue, reissue, sell, pledge or hypothecate debt obligations of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give a guarantee on behalf and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mortgage, hypothecate, pledge or otherwise create a security interest in all or any property of the corporation, owned or subsequently acquired, to secure any debt obligation of the corporation. </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Annual Financial Statements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Corporation shall send to the members a copy of the annual financial statements and other documents referred to in subsection 172(1) (Annual Financial Statements) of the Act or a copy of a publication of the Corporation reproducing the information contained in the documents. Instead of sending the documents, the Corporation may send a summary to each member along with a notice informing the member of the procedure for obtaining a copy of the documents themselves free of charge. The Corporation is not required to send the documents or a summary to a member who, in writing, declines to receive such documents.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Membership Conditions</w:t>
      </w:r>
    </w:p>
    <w:p>
      <w:pPr>
        <w:pStyle w:val="TextBody"/>
        <w:numPr>
          <w:ilvl w:val="0"/>
          <w:numId w:val="0"/>
        </w:numPr>
        <w:ind w:left="707" w:hanging="0"/>
        <w:rPr>
          <w:rFonts w:ascii="Times New Roman" w:hAnsi="Times New Roman" w:eastAsia="Times New Roman" w:cs="Times New Roman"/>
          <w:sz w:val="24"/>
          <w:szCs w:val="24"/>
        </w:rPr>
      </w:pPr>
      <w:r>
        <w:rPr/>
        <w:t>Subject to the articles, there shall be two classes of members in the Corporation, namely, Class A members and Class B members. The board of directors of the Corporation may, by resolution, approve the admission of the members of the Corporation. Members may also be admitted in such other manner as may be prescribed by the board by resolution. The following conditions of membership shall apply:</w:t>
      </w:r>
    </w:p>
    <w:p>
      <w:pPr>
        <w:pStyle w:val="TextBody"/>
        <w:numPr>
          <w:ilvl w:val="0"/>
          <w:numId w:val="0"/>
        </w:numPr>
        <w:ind w:left="707" w:hanging="0"/>
        <w:rPr>
          <w:rFonts w:ascii="Times New Roman" w:hAnsi="Times New Roman" w:eastAsia="Times New Roman" w:cs="Times New Roman"/>
          <w:sz w:val="24"/>
          <w:szCs w:val="24"/>
        </w:rPr>
      </w:pPr>
      <w:r>
        <w:rPr>
          <w:b/>
        </w:rPr>
        <w:t>Class A Members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Class A voting membership shall be available to persons who have applied and have been accepted for Class A voting membership in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term of membership of a Class A voting member shall be annual, subject to renewal in accordance with the policies of the Corporation. </w:t>
      </w:r>
    </w:p>
    <w:p>
      <w:pPr>
        <w:pStyle w:val="TextBody"/>
        <w:numPr>
          <w:ilvl w:val="1"/>
          <w:numId w:val="1"/>
        </w:numPr>
        <w:tabs>
          <w:tab w:val="clear" w:pos="720"/>
          <w:tab w:val="left" w:pos="0" w:leader="none"/>
        </w:tabs>
        <w:ind w:left="1414" w:hanging="283"/>
        <w:rPr>
          <w:rFonts w:ascii="Times New Roman" w:hAnsi="Times New Roman" w:eastAsia="Times New Roman" w:cs="Times New Roman"/>
          <w:sz w:val="24"/>
          <w:szCs w:val="24"/>
        </w:rPr>
      </w:pPr>
      <w:r>
        <w:rPr/>
        <w:t xml:space="preserve">As set out in the articles, each Class A voting member is entitled to receive notice of, attend and vote at all meetings of members and each such Class A voting member shall be entitled to one (1) vote at such meetings. </w:t>
      </w:r>
    </w:p>
    <w:p>
      <w:pPr>
        <w:pStyle w:val="TextBody"/>
        <w:numPr>
          <w:ilvl w:val="0"/>
          <w:numId w:val="0"/>
        </w:numPr>
        <w:ind w:left="707" w:hanging="0"/>
        <w:rPr>
          <w:rFonts w:ascii="Times New Roman" w:hAnsi="Times New Roman" w:eastAsia="Times New Roman" w:cs="Times New Roman"/>
          <w:sz w:val="24"/>
          <w:szCs w:val="24"/>
        </w:rPr>
      </w:pPr>
      <w:r>
        <w:rPr>
          <w:b/>
        </w:rPr>
        <w:t>Class B Members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Class B non-voting membership shall be available to persons who have applied and have been accepted for Class B non-voting membership in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term of membership of a Class B non-voting member shall be annual, subject to renewal in accordance with the policies of the Corporation. </w:t>
      </w:r>
    </w:p>
    <w:p>
      <w:pPr>
        <w:pStyle w:val="TextBody"/>
        <w:numPr>
          <w:ilvl w:val="1"/>
          <w:numId w:val="1"/>
        </w:numPr>
        <w:tabs>
          <w:tab w:val="clear" w:pos="720"/>
          <w:tab w:val="left" w:pos="0" w:leader="none"/>
        </w:tabs>
        <w:ind w:left="1414" w:hanging="283"/>
        <w:rPr>
          <w:rFonts w:ascii="Times New Roman" w:hAnsi="Times New Roman" w:eastAsia="Times New Roman" w:cs="Times New Roman"/>
          <w:sz w:val="24"/>
          <w:szCs w:val="24"/>
        </w:rPr>
      </w:pPr>
      <w:r>
        <w:rPr/>
        <w:t xml:space="preserve">Subject to the Act and the articles, a Class B non-voting member shall not be entitled to receive notice of, attend or vote at meetings of the members of the Corporation. </w:t>
      </w:r>
    </w:p>
    <w:p>
      <w:pPr>
        <w:pStyle w:val="TextBody"/>
        <w:numPr>
          <w:ilvl w:val="0"/>
          <w:numId w:val="0"/>
        </w:numPr>
        <w:ind w:left="707" w:hanging="0"/>
        <w:rPr>
          <w:rFonts w:ascii="Times New Roman" w:hAnsi="Times New Roman" w:eastAsia="Times New Roman" w:cs="Times New Roman"/>
          <w:sz w:val="24"/>
          <w:szCs w:val="24"/>
        </w:rPr>
      </w:pPr>
      <w:r>
        <w:rPr/>
        <w:t>Pursuant to subsection 197(1) (Fundamental Change) of the Act, a special resolution of the members is required to make any amendments to this section of the by-laws if those amendments affect membership rights and/or conditions described in paragraphs 197(1)(e), (h), (l) or (m).</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Transferring Membership</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 membership may only be transferred to the Corporation. Pursuant to Section 197(1) (Fundamental Change) of the Act, a special resolution of the members is required to make any amendment to add, change or delete this section of the by-laws.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Notice of Members Meeting</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Notice of the time and place of a meeting of members shall be given to each member entitled to vote at the meeting by telephonic, electronic or other communication facility to each member entitled to vote at the meeting, during a period of 21 to 35 days before the day on which the meeting is to be held. If a member requests that the notice be given by non-electronic means, the notice will be sent by mail, courier or personal delivery.</w:t>
      </w:r>
    </w:p>
    <w:p>
      <w:pPr>
        <w:pStyle w:val="TextBody"/>
        <w:numPr>
          <w:ilvl w:val="0"/>
          <w:numId w:val="0"/>
        </w:numPr>
        <w:ind w:left="707" w:hanging="0"/>
        <w:rPr>
          <w:rFonts w:ascii="Times New Roman" w:hAnsi="Times New Roman" w:eastAsia="Times New Roman" w:cs="Times New Roman"/>
          <w:sz w:val="24"/>
          <w:szCs w:val="24"/>
        </w:rPr>
      </w:pPr>
      <w:r>
        <w:rPr/>
        <w:t>Pursuant to subsection 197(1) (Fundamental Change) of the Act, a special resolution of the members is required to make any amendment to the by-laws of the Corporation to change the manner of giving notice to members entitled to vote at a meeting of members.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Members Calling a Members' Meeting</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board of directors shall call a special meeting of members in accordance with Section 167 of the Act, on written requisition of members carrying not less than 5% of the voting rights. If the directors do not call a meeting within twenty-one (21) days of receiving the requisition, any member who signed the requisition may call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Termination of Membership</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 membership in the Corporation is terminated when:</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member dies, or, in the case of a member that is a corporation, the corporation is dissolved;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a member fails to maintain any qualifications for membership described in the section on membership conditions of these by-laws;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member resigns by delivering a written resignation to the chair of the board of the Corporation in which case such resignation shall be effective on the date specified in the resignation;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member is expelled in accordance with any discipline of members section or is otherwise terminated in accordance with the articles or by-laws;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member's term of membership expires; or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Corporation is liquidated or dissolved under the Act. </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Effect of Termination of Membership</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Subject to the articles, upon any termination of membership, the rights of the member, including any rights in the property of the Corporation, automatically cease to exist.</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Discipline of Members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board shall have authority to suspend or expel any member from the Corporation for any one or more of the following grounds: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violating any provision of the articles, by-laws, or written policies of the Corporation;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carrying out any conduct which may be detrimental to the Corporation as determined by the board in its sole discretion; </w:t>
      </w:r>
    </w:p>
    <w:p>
      <w:pPr>
        <w:pStyle w:val="TextBody"/>
        <w:numPr>
          <w:ilvl w:val="1"/>
          <w:numId w:val="1"/>
        </w:numPr>
        <w:tabs>
          <w:tab w:val="clear" w:pos="720"/>
          <w:tab w:val="left" w:pos="0" w:leader="none"/>
        </w:tabs>
        <w:ind w:left="1414" w:hanging="283"/>
        <w:rPr>
          <w:rFonts w:ascii="Times New Roman" w:hAnsi="Times New Roman" w:eastAsia="Times New Roman" w:cs="Times New Roman"/>
          <w:sz w:val="24"/>
          <w:szCs w:val="24"/>
        </w:rPr>
      </w:pPr>
      <w:r>
        <w:rPr/>
        <w:t xml:space="preserve">for any other reason that the board in its sole and absolute discretion considers to be reasonable, having regard to the purpose of the Corporation. </w:t>
      </w:r>
    </w:p>
    <w:p>
      <w:pPr>
        <w:pStyle w:val="TextBody"/>
        <w:numPr>
          <w:ilvl w:val="0"/>
          <w:numId w:val="0"/>
        </w:numPr>
        <w:ind w:left="707" w:hanging="0"/>
        <w:rPr>
          <w:rFonts w:ascii="Times New Roman" w:hAnsi="Times New Roman" w:eastAsia="Times New Roman" w:cs="Times New Roman"/>
          <w:sz w:val="24"/>
          <w:szCs w:val="24"/>
        </w:rPr>
      </w:pPr>
      <w:r>
        <w:rPr/>
        <w:t>In the event that the board determines that a member should be expelled or suspended from membership in the Corporation, the president, or such other officer as may be designated by the board, shall provide twenty (20) days notice of suspension or expulsion to the member and shall provide reasons for the proposed suspension or expulsion. The member may make written submissions to the president, or such other officer as may be designated by the board, in response to the notice received within such twenty (20) day period. In the event that no written submissions are received by the president, the president, or such other officer as may be designated by the board, may proceed to notify the member that the member is suspended or expelled from membership in the Corporation. If written submissions are received in accordance with this section, the board will consider such submissions in arriving at a final decision and shall notify the member concerning such final decision within a further twenty (20) days from the date of receipt of the submissions. The board's decision shall be final and binding on the member, without any further right of appeal.</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Proposals Nominating Directors at Annual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Subject to the Regulations under the Act, any proposal may include nominations for the election of directors if the proposal is signed by not less than 5% of members entitled to vote at the meeting at which the proposal is to be presented.</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Cost of Publishing Proposals for Annual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member who submitted the proposal shall pay the cost of including the proposal and any statement in the notice of meeting at which the proposal is to be presented unless otherwise provided by ordinary resolution of the members present at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Place of Members' Meeting</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Subject to compliance with section 159 (Place of Members' Meetings) of the Act, meetings of the members may be held at any place within Canada determined by the board or, if all of the members entitled to vote at such meeting so agree, outside Canada.</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Quorum at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 quorum at any meeting of the members (unless a greater number of members are required to be present by the Act) shall be a majority of the members entitled to vote at the meeting. If a quorum is present at the opening of a meeting of members, the members present may proceed with the business of the meeting even if a quorum is not present throughout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Voting at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At any meeting of members every question shall, unless otherwise provided by the articles or by-laws or by the Act, be determined by a majority of the votes cast on the questions. In case of an equality of votes either on a show of hands or on a ballot or on the results of electronic voting, the chair of the meeting in addition to an original vote shall have a second or casting vote.</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Participation by Electronic Means at Members' Meetings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If the Corporation chooses to make available a telephonic, electronic or other communication facility that permits all participants to communicate adequately with each other during a meeting of members, any person entitled to attend such meeting may participate in the meeting by means of such telephonic, electronic or other communication facility in the manner provided by the Act. A person participating in a meeting by such means is deemed to be present at the meeting. Notwithstanding any other provision of this by-law, any person participating in a meeting of members pursuant to this section who is entitled to vote at that meeting may vote, in accordance with the Act, by means of any telephonic, electronic or other communication facility that the Corporation has made available for that purpose.</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Members' Meeting Held Entirely by Electronic Means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If the directors or members of the Corporation call a meeting of members pursuant to the Act, those directors or members, as the case may be, may determine that the meeting shall be held, in accordance with the Act and the Regulations, entirely by means of a telephonic, electronic or other communication facility that permits all participants to communicate adequately with each other during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Number of Directors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board shall consist of the number of directors specified in the articles. If the articles provide for a minimum and maximum number of directors, the board shall be comprised of the fixed number of directors as determined from time to time by the members by ordinary resolution or, if the ordinary resolution empowers the directors to determine the number, by resolution of the board. In the case of a soliciting corporation the minimum number of directors may not be fewer than three (3), at least two of whom are not officers or employees of the Corporation or its affiliates.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Calling of Meetings of Board of Directors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Meetings of the board may be called by the chair of the board, the vice-chair of the board or any two (2) directors at any time; provided that for the first organization meeting following incorporation, such meeting may be called by any director or incorporator. If the Corporation has only one director, that director may call and constitute a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Notice of Meeting of Board of Directors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Notice of the time and place for the holding of a meeting of the board shall be given in the manner provided in the section on giving notice of meeting of directors of this by-law to every director of the Corporation not less than 15 days before the time when the meeting is to be held. Notice of a meeting shall not be necessary if all of the directors are present, and none objects to the holding of the meeting, or if those absent have waived notice of or have otherwise signified their consent to the holding of such meeting. Notice of an adjourned meeting is not required if the time and place of the adjourned meeting is announced at the original meeting. Unless the by-law otherwise provides, no notice of meeting need specify the purpose or the business to be transacted at the meeting except that a notice of meeting of directors shall specify any matter referred to in subsection 138(2) (Limits on Authority) of the Act that is to be dealt with at the meeting.</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Voting at Meetings of the Board of Directors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At all meetings of the board, every question shall be decided by a majority of the votes cast on the question. In case of an equality of votes, the chair of the meeting in addition to an original vote shall have a second or casting vote.</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Appointment of Officers</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The board may designate the offices of the Corporation, appoint officers on an annual or more frequent basis, specify their duties and, subject to the Act, delegate to such officers the power to manage the affairs of the Corporation. A director may be appointed to any office of the Corporation. An officer may, but need not be, a director unless these by-laws otherwise provide. Two or more offices may be held by the same person.</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Dispute Resolution Mechanism</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In the event that a dispute or controversy among members, directors, officers, committee members or volunteers of the Corporation arising out of or related to the articles or by-laws, or out of any aspect of the operations of the Corporation is not resolved in private meetings between the parties then without prejudice to or in any other way derogating from the rights of the members, directors, officers, committee members, employees or volunteers of the Corporation as set out in the articles, by-laws or the Act, and as an alternative to such person instituting a law suit or legal action, such dispute or controversy shall be settled by a process of dispute resolution as follows:</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dispute or controversy shall first be submitted to a panel of mediators whereby the one party appoints one mediator, the other party (or if applicable the board of the Corporation) appoints one mediator, and the two mediators so appointed jointly appoint a third mediator. The three mediators will then meet with the parties in question in an attempt to mediate a resolution between the parties. </w:t>
      </w:r>
    </w:p>
    <w:p>
      <w:pPr>
        <w:pStyle w:val="TextBody"/>
        <w:numPr>
          <w:ilvl w:val="1"/>
          <w:numId w:val="1"/>
        </w:numPr>
        <w:tabs>
          <w:tab w:val="clear" w:pos="720"/>
          <w:tab w:val="left" w:pos="0" w:leader="none"/>
        </w:tabs>
        <w:spacing w:before="0" w:after="0"/>
        <w:ind w:left="1414" w:hanging="283"/>
        <w:rPr>
          <w:rFonts w:ascii="Times New Roman" w:hAnsi="Times New Roman" w:eastAsia="Times New Roman" w:cs="Times New Roman"/>
          <w:sz w:val="24"/>
          <w:szCs w:val="24"/>
        </w:rPr>
      </w:pPr>
      <w:r>
        <w:rPr/>
        <w:t xml:space="preserve">The number of mediators may be reduced from three to one or two upon agreement of the parties. </w:t>
      </w:r>
    </w:p>
    <w:p>
      <w:pPr>
        <w:pStyle w:val="TextBody"/>
        <w:numPr>
          <w:ilvl w:val="1"/>
          <w:numId w:val="1"/>
        </w:numPr>
        <w:tabs>
          <w:tab w:val="clear" w:pos="720"/>
          <w:tab w:val="left" w:pos="0" w:leader="none"/>
        </w:tabs>
        <w:ind w:left="1414" w:hanging="283"/>
        <w:rPr>
          <w:rFonts w:ascii="Times New Roman" w:hAnsi="Times New Roman" w:eastAsia="Times New Roman" w:cs="Times New Roman"/>
          <w:sz w:val="24"/>
          <w:szCs w:val="24"/>
        </w:rPr>
      </w:pPr>
      <w:r>
        <w:rPr/>
        <w:t xml:space="preserve">If the parties are not successful in resolving the dispute through mediation, then the parties agree that the dispute shall be settled by arbitration before a single arbitrator, who shall not be any one of the mediators referred to above, in accordance with the provincial or territorial legislation governing domestic arbitrations in force in the province or territory where the registered office of the Corporation is situated or as otherwise agreed upon by the parties to the dispute. The parties agree that all proceedings relating to arbitration shall be kept confidential and there shall be no disclosure of any kind. The decision of the arbitrator shall be final and binding and shall not be subject to appeal on a question of fact, law or mixed fact and law. </w:t>
      </w:r>
    </w:p>
    <w:p>
      <w:pPr>
        <w:pStyle w:val="TextBody"/>
        <w:numPr>
          <w:ilvl w:val="0"/>
          <w:numId w:val="0"/>
        </w:numPr>
        <w:ind w:left="707" w:hanging="0"/>
        <w:rPr>
          <w:rFonts w:ascii="Times New Roman" w:hAnsi="Times New Roman" w:eastAsia="Times New Roman" w:cs="Times New Roman"/>
          <w:sz w:val="24"/>
          <w:szCs w:val="24"/>
        </w:rPr>
      </w:pPr>
      <w:r>
        <w:rPr/>
        <w:t>All costs of the mediators appointed in accordance with this section shall be borne equally by the parties to the dispute or the controversy. All costs of the arbitrators appointed in accordance with this section shall be borne by such parties as may be determined by the arbitrators.</w:t>
      </w:r>
    </w:p>
    <w:p>
      <w:pPr>
        <w:pStyle w:val="TextBody"/>
        <w:numPr>
          <w:ilvl w:val="0"/>
          <w:numId w:val="1"/>
        </w:numPr>
        <w:tabs>
          <w:tab w:val="clear" w:pos="720"/>
          <w:tab w:val="left" w:pos="0" w:leader="none"/>
        </w:tabs>
        <w:ind w:left="707" w:hanging="283"/>
        <w:rPr>
          <w:rFonts w:ascii="Times New Roman" w:hAnsi="Times New Roman" w:eastAsia="Times New Roman" w:cs="Times New Roman"/>
          <w:sz w:val="24"/>
          <w:szCs w:val="24"/>
        </w:rPr>
      </w:pPr>
      <w:r>
        <w:rPr>
          <w:b/>
        </w:rPr>
        <w:t xml:space="preserve"> </w:t>
      </w:r>
      <w:r>
        <w:rPr>
          <w:b/>
        </w:rPr>
        <w:t>By-laws and Effective Date</w:t>
      </w:r>
      <w:r>
        <w:rPr/>
        <w:t xml:space="preserve"> </w:t>
      </w:r>
    </w:p>
    <w:p>
      <w:pPr>
        <w:pStyle w:val="TextBody"/>
        <w:numPr>
          <w:ilvl w:val="0"/>
          <w:numId w:val="0"/>
        </w:numPr>
        <w:ind w:left="707" w:hanging="0"/>
        <w:rPr>
          <w:rFonts w:ascii="Times New Roman" w:hAnsi="Times New Roman" w:eastAsia="Times New Roman" w:cs="Times New Roman"/>
          <w:sz w:val="24"/>
          <w:szCs w:val="24"/>
        </w:rPr>
      </w:pPr>
      <w:r>
        <w:rPr/>
        <w:t>Subject to the articles, the board of directors may, by resolution, make, amend or repeal any by-laws that regulate the activities or affairs of the Corporation. Any such by-law, amendment or repeal shall be effective from the date of the resolution of directors until the next meeting of members where it may be confirmed, rejected or amended by the members by ordinary resolution. If the by-law, amendment or repeal is confirmed or confirmed as amended by the members it remains effective in the form in which it was confirmed. The by-law, amendment or repeal ceases to have effect if it is not submitted to the members at the next meeting of members or if it is rejected by the members at the meeting.</w:t>
      </w:r>
    </w:p>
    <w:p>
      <w:pPr>
        <w:pStyle w:val="TextBody"/>
        <w:numPr>
          <w:ilvl w:val="0"/>
          <w:numId w:val="0"/>
        </w:numPr>
        <w:ind w:left="707" w:hanging="0"/>
        <w:rPr>
          <w:rFonts w:ascii="Times New Roman" w:hAnsi="Times New Roman" w:eastAsia="Times New Roman" w:cs="Times New Roman"/>
          <w:sz w:val="24"/>
          <w:szCs w:val="24"/>
        </w:rPr>
      </w:pPr>
      <w:r>
        <w:rPr/>
        <w:t>This section does not apply to a by-law that requires a special resolution of the members according to subsection 197(1) (fundamental change) of the Act because such by-law amendments or repeals are only effective when confirmed by members.</w:t>
      </w:r>
    </w:p>
    <w:p>
      <w:pPr>
        <w:pStyle w:val="Normal"/>
        <w:widowControl w:val="false"/>
        <w:spacing w:before="0" w:after="240"/>
        <w:rPr>
          <w:rFonts w:ascii="Times New Roman" w:hAnsi="Times New Roman" w:eastAsia="Times New Roman" w:cs="Times New Roman"/>
          <w:sz w:val="24"/>
          <w:szCs w:val="24"/>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p>
    <w:pPr>
      <w:pStyle w:val="Normal"/>
      <w:tabs>
        <w:tab w:val="clear" w:pos="720"/>
        <w:tab w:val="center" w:pos="4680" w:leader="none"/>
        <w:tab w:val="right" w:pos="9360" w:leader="none"/>
      </w:tabs>
      <w:ind w:right="360" w:hanging="0"/>
      <w:rPr>
        <w:color w:val="000000"/>
      </w:rPr>
    </w:pPr>
    <w:r>
      <w:rPr>
        <w:color w:val="000000"/>
      </w:rPr>
    </w:r>
  </w:p>
  <w:p>
    <w:pPr>
      <w:pStyle w:val="Normal"/>
      <w:tabs>
        <w:tab w:val="clear" w:pos="720"/>
        <w:tab w:val="center" w:pos="4680" w:leader="none"/>
        <w:tab w:val="right" w:pos="9360" w:leader="none"/>
      </w:tabs>
      <w:rPr>
        <w:color w:val="000000"/>
        <w:sz w:val="18"/>
        <w:szCs w:val="18"/>
      </w:rPr>
    </w:pPr>
    <w:r>
      <w:rPr>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8">
          <wp:simplePos x="0" y="0"/>
          <wp:positionH relativeFrom="column">
            <wp:align>center</wp:align>
          </wp:positionH>
          <wp:positionV relativeFrom="paragraph">
            <wp:posOffset>635</wp:posOffset>
          </wp:positionV>
          <wp:extent cx="1657350" cy="414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657350" cy="4146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b/>
        <w:bCs/>
      </w:rPr>
    </w:lvl>
    <w:lvl w:ilvl="1">
      <w:start w:val="1"/>
      <w:numFmt w:val="lowerLetter"/>
      <w:lvlText w:val="%2."/>
      <w:lvlJc w:val="left"/>
      <w:pPr>
        <w:tabs>
          <w:tab w:val="num" w:pos="1414"/>
        </w:tabs>
        <w:ind w:left="1414" w:hanging="283"/>
      </w:pPr>
      <w:rPr>
        <w:b/>
        <w:bCs/>
      </w:rPr>
    </w:lvl>
    <w:lvl w:ilvl="2">
      <w:start w:val="1"/>
      <w:numFmt w:val="lowerLetter"/>
      <w:lvlText w:val="%3."/>
      <w:lvlJc w:val="left"/>
      <w:pPr>
        <w:tabs>
          <w:tab w:val="num" w:pos="2121"/>
        </w:tabs>
        <w:ind w:left="2121" w:hanging="283"/>
      </w:pPr>
      <w:rPr>
        <w:b/>
        <w:bCs/>
      </w:rPr>
    </w:lvl>
    <w:lvl w:ilvl="3">
      <w:start w:val="1"/>
      <w:numFmt w:val="lowerLetter"/>
      <w:lvlText w:val="%4."/>
      <w:lvlJc w:val="left"/>
      <w:pPr>
        <w:tabs>
          <w:tab w:val="num" w:pos="2828"/>
        </w:tabs>
        <w:ind w:left="2828" w:hanging="283"/>
      </w:pPr>
      <w:rPr>
        <w:b/>
        <w:bCs/>
      </w:rPr>
    </w:lvl>
    <w:lvl w:ilvl="4">
      <w:start w:val="1"/>
      <w:numFmt w:val="lowerLetter"/>
      <w:lvlText w:val="%5."/>
      <w:lvlJc w:val="left"/>
      <w:pPr>
        <w:tabs>
          <w:tab w:val="num" w:pos="3535"/>
        </w:tabs>
        <w:ind w:left="3535" w:hanging="283"/>
      </w:pPr>
      <w:rPr>
        <w:b/>
        <w:bCs/>
      </w:rPr>
    </w:lvl>
    <w:lvl w:ilvl="5">
      <w:start w:val="1"/>
      <w:numFmt w:val="lowerLetter"/>
      <w:lvlText w:val="%6."/>
      <w:lvlJc w:val="left"/>
      <w:pPr>
        <w:tabs>
          <w:tab w:val="num" w:pos="4242"/>
        </w:tabs>
        <w:ind w:left="4242" w:hanging="283"/>
      </w:pPr>
      <w:rPr>
        <w:b/>
        <w:bCs/>
      </w:rPr>
    </w:lvl>
    <w:lvl w:ilvl="6">
      <w:start w:val="1"/>
      <w:numFmt w:val="lowerLetter"/>
      <w:lvlText w:val="%7."/>
      <w:lvlJc w:val="left"/>
      <w:pPr>
        <w:tabs>
          <w:tab w:val="num" w:pos="4949"/>
        </w:tabs>
        <w:ind w:left="4949" w:hanging="283"/>
      </w:pPr>
      <w:rPr>
        <w:b/>
        <w:bCs/>
      </w:rPr>
    </w:lvl>
    <w:lvl w:ilvl="7">
      <w:start w:val="1"/>
      <w:numFmt w:val="lowerLetter"/>
      <w:lvlText w:val="%8."/>
      <w:lvlJc w:val="left"/>
      <w:pPr>
        <w:tabs>
          <w:tab w:val="num" w:pos="5656"/>
        </w:tabs>
        <w:ind w:left="5656" w:hanging="283"/>
      </w:pPr>
      <w:rPr>
        <w:b/>
        <w:bCs/>
      </w:rPr>
    </w:lvl>
    <w:lvl w:ilvl="8">
      <w:start w:val="1"/>
      <w:numFmt w:val="lowerLetter"/>
      <w:lvlText w:val="%9."/>
      <w:lvlJc w:val="left"/>
      <w:pPr>
        <w:tabs>
          <w:tab w:val="num" w:pos="6363"/>
        </w:tabs>
        <w:ind w:left="6363" w:hanging="283"/>
      </w:pPr>
      <w:rPr>
        <w:b/>
        <w:bC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spacing w:before="120" w:after="240"/>
      <w:ind w:left="720" w:firstLine="360"/>
      <w:outlineLvl w:val="0"/>
    </w:pPr>
    <w:rPr>
      <w:rFonts w:ascii="Arial" w:hAnsi="Arial" w:eastAsia="Arial" w:cs="Arial"/>
      <w:b/>
      <w:sz w:val="22"/>
      <w:szCs w:val="2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f6024"/>
    <w:rPr>
      <w:sz w:val="18"/>
      <w:szCs w:val="18"/>
    </w:rPr>
  </w:style>
  <w:style w:type="character" w:styleId="Internet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qFormat/>
    <w:rsid w:val="008905cb"/>
    <w:rPr>
      <w:color w:val="605E5C"/>
      <w:shd w:fill="E1DFDD" w:val="clear"/>
    </w:rPr>
  </w:style>
  <w:style w:type="character" w:styleId="Emphasis">
    <w:name w:val="Emphasis"/>
    <w:basedOn w:val="DefaultParagraphFont"/>
    <w:uiPriority w:val="20"/>
    <w:qFormat/>
    <w:rsid w:val="005145c0"/>
    <w:rPr>
      <w:i/>
      <w:iCs/>
    </w:rPr>
  </w:style>
  <w:style w:type="character" w:styleId="VisitedInternetLink">
    <w:name w:val="FollowedHyperlink"/>
    <w:basedOn w:val="DefaultParagraphFont"/>
    <w:uiPriority w:val="99"/>
    <w:semiHidden/>
    <w:unhideWhenUsed/>
    <w:rsid w:val="00d61df8"/>
    <w:rPr>
      <w:color w:val="800080" w:themeColor="followedHyperlink"/>
      <w:u w:val="single"/>
    </w:rPr>
  </w:style>
  <w:style w:type="character" w:styleId="HeaderChar" w:customStyle="1">
    <w:name w:val="Header Char"/>
    <w:basedOn w:val="DefaultParagraphFont"/>
    <w:link w:val="Header"/>
    <w:uiPriority w:val="99"/>
    <w:qFormat/>
    <w:rsid w:val="00ce14c4"/>
    <w:rPr/>
  </w:style>
  <w:style w:type="character" w:styleId="NumberingSymbols">
    <w:name w:val="Numbering Symbols"/>
    <w:qFormat/>
    <w:rPr>
      <w:b/>
      <w:bCs/>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bf6024"/>
    <w:pPr/>
    <w:rPr>
      <w:sz w:val="18"/>
      <w:szCs w:val="18"/>
    </w:rPr>
  </w:style>
  <w:style w:type="paragraph" w:styleId="ListParagraph">
    <w:name w:val="List Paragraph"/>
    <w:basedOn w:val="Normal"/>
    <w:uiPriority w:val="34"/>
    <w:qFormat/>
    <w:rsid w:val="002f3331"/>
    <w:pPr>
      <w:spacing w:before="0" w:after="0"/>
      <w:ind w:left="720" w:hanging="0"/>
      <w:contextualSpacing/>
    </w:pPr>
    <w:rPr/>
  </w:style>
  <w:style w:type="paragraph" w:styleId="Revision">
    <w:name w:val="Revision"/>
    <w:uiPriority w:val="99"/>
    <w:semiHidden/>
    <w:qFormat/>
    <w:rsid w:val="00b2613a"/>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Normal1" w:customStyle="1">
    <w:name w:val="Normal1"/>
    <w:qFormat/>
    <w:rsid w:val="006f20f3"/>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e14c4"/>
    <w:pPr>
      <w:tabs>
        <w:tab w:val="clear" w:pos="720"/>
        <w:tab w:val="center" w:pos="4680" w:leader="none"/>
        <w:tab w:val="right" w:pos="9360" w:leader="none"/>
      </w:tabs>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4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
    <w:name w:val="Grid Table 5 Dark"/>
    <w:basedOn w:val="TableNormal"/>
    <w:uiPriority w:val="50"/>
    <w:rsid w:val="0060558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Style7">
    <w:name w:val="Style7"/>
    <w:basedOn w:val="TableNormal"/>
    <w:rsid w:val="00d238e2"/>
    <w:rPr>
      <w:color w:val="000000"/>
    </w:rPr>
    <w:tblPr>
      <w:tblStyleRowBandSize w:val="1"/>
      <w:tblStyleColBandSize w:val="1"/>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LibreOffice/6.4.6.2$Linux_X86_64 LibreOffice_project/40$Build-2</Application>
  <Pages>7</Pages>
  <Words>3280</Words>
  <Characters>16211</Characters>
  <CharactersWithSpaces>19407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2020-10-23T14:57:00Z</dcterms:created>
  <dc:creator>Scott Nicholas</dc:creator>
  <dc:description/>
  <dc:language>en-CA</dc:language>
  <cp:lastModifiedBy/>
  <dcterms:modified xsi:type="dcterms:W3CDTF">2020-12-24T21:09:24Z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