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1A1F16"/>
          <w:sz w:val="48"/>
          <w:szCs w:val="48"/>
        </w:rPr>
        <w:t xml:space="preserve">INVESTIGACIÓN EXHAUSTIVA</w:t>
      </w:r>
    </w:p>
    <w:p>
      <w:pPr>
        <w:spacing w:after="200"/>
        <w:jc w:val="center"/>
      </w:pPr>
      <w:r>
        <w:rPr>
          <w:rFonts w:ascii="Times New Roman" w:cs="Times New Roman" w:eastAsia="Times New Roman" w:hAnsi="Times New Roman"/>
          <w:b/>
          <w:bCs/>
          <w:color w:val="1A1F16"/>
          <w:sz w:val="56"/>
          <w:szCs w:val="56"/>
        </w:rPr>
        <w:t xml:space="preserve">EL ANTICORREÍSMO EN ECUADOR</w:t>
      </w:r>
    </w:p>
    <w:p>
      <w:pPr>
        <w:spacing w:after="600"/>
        <w:jc w:val="center"/>
      </w:pPr>
      <w:r>
        <w:rPr>
          <w:rFonts w:ascii="Times New Roman" w:cs="Times New Roman" w:eastAsia="Times New Roman" w:hAnsi="Times New Roman"/>
          <w:color w:val="4A5548"/>
          <w:sz w:val="32"/>
          <w:szCs w:val="32"/>
        </w:rPr>
        <w:t xml:space="preserve">EDICIÓN ACTUALIZADA 2026</w:t>
      </w:r>
    </w:p>
    <w:p>
      <w:pPr>
        <w:spacing w:after="200"/>
        <w:jc w:val="center"/>
      </w:pPr>
      <w:r>
        <w:rPr>
          <w:rFonts w:ascii="Times New Roman" w:cs="Times New Roman" w:eastAsia="Times New Roman" w:hAnsi="Times New Roman"/>
          <w:color w:val="2D3329"/>
          <w:sz w:val="24"/>
          <w:szCs w:val="24"/>
        </w:rPr>
        <w:t xml:space="preserve">Incluye: Gobierno ADN, Golpe de Estado, Narcopolítica, Tránsfugas</w:t>
      </w:r>
    </w:p>
    <w:p>
      <w:pPr>
        <w:spacing w:before="2000"/>
      </w:pPr>
    </w:p>
    <w:p>
      <w:pPr>
        <w:jc w:val="center"/>
      </w:pPr>
      <w:r>
        <w:rPr>
          <w:rFonts w:ascii="Times New Roman" w:cs="Times New Roman" w:eastAsia="Times New Roman" w:hAnsi="Times New Roman"/>
          <w:color w:val="94A3B8"/>
          <w:sz w:val="24"/>
          <w:szCs w:val="24"/>
        </w:rPr>
        <w:t xml:space="preserve">154 personas identificadas | 59 casos documentados | USD 7,373 millones</w:t>
      </w:r>
    </w:p>
    <w:p>
      <w:r>
        <w:br w:type="page"/>
      </w:r>
    </w:p>
    <w:p>
      <w:pPr>
        <w:sectPr>
          <w:pgSz w:w="11906" w:h="16838" w:orient="portrait"/>
          <w:pgMar w:top="0" w:right="0" w:bottom="0" w:left="0" w:header="708" w:footer="708" w:gutter="0"/>
          <w:pgNumType/>
          <w:docGrid w:linePitch="360"/>
        </w:sectPr>
      </w:pPr>
    </w:p>
    <w:p>
      <w:pPr>
        <w:pStyle w:val="Heading1"/>
        <w:spacing w:after="200" w:before="300" w:line="250"/>
      </w:pPr>
      <w:r>
        <w:rPr>
          <w:rFonts w:ascii="Times New Roman" w:cs="Times New Roman" w:eastAsia="Times New Roman" w:hAnsi="Times New Roman"/>
          <w:b/>
          <w:bCs/>
          <w:color w:val="1A1F16"/>
          <w:sz w:val="32"/>
          <w:szCs w:val="32"/>
        </w:rPr>
        <w:t xml:space="preserve">TABLA DE CONTENIDOS</w:t>
      </w:r>
    </w:p>
    <w:sdt>
      <w:sdtPr>
        <w:alias w:val="Tabla de Contenidos"/>
      </w:sdtPr>
      <w:sdtContent>
        <w:p>
          <w:r>
            <w:fldChar w:fldCharType="begin" w:dirty="true"/>
            <w:instrText xml:space="preserve">TOC \h \o "1-3"</w:instrText>
            <w:fldChar w:fldCharType="separate"/>
          </w:r>
        </w:p>
        <w:p>
          <w:pPr>
            <w:pStyle w:val="9"/>
            <w:tabs>
              <w:tab w:val="right" w:leader="dot" w:pos="9026"/>
            </w:tabs>
          </w:pPr>
          <w:r>
            <w:t>CAPÍTULO I: INTRODUCCIÓN</w:t>
          </w:r>
          <w:r>
            <w:tab/>
          </w:r>
          <w:r>
            <w:t>1</w:t>
          </w:r>
        </w:p>
        <w:p>
          <w:pPr>
            <w:pStyle w:val="9"/>
            <w:tabs>
              <w:tab w:val="right" w:leader="dot" w:pos="9026"/>
            </w:tabs>
          </w:pPr>
          <w:r>
            <w:t>CAPÍTULO II: ENEMIGOS POLÍTICOS</w:t>
          </w:r>
          <w:r>
            <w:tab/>
          </w:r>
          <w:r>
            <w:t>3</w:t>
          </w:r>
        </w:p>
        <w:p>
          <w:pPr>
            <w:pStyle w:val="9"/>
            <w:tabs>
              <w:tab w:val="right" w:leader="dot" w:pos="9026"/>
            </w:tabs>
          </w:pPr>
          <w:r>
            <w:t>CAPÍTULO III: EL SISTEMA JUDICIAL Y EL LAWFARE</w:t>
          </w:r>
          <w:r>
            <w:tab/>
          </w:r>
          <w:r>
            <w:t>5</w:t>
          </w:r>
        </w:p>
        <w:p>
          <w:pPr>
            <w:pStyle w:val="9"/>
            <w:tabs>
              <w:tab w:val="right" w:leader="dot" w:pos="9026"/>
            </w:tabs>
          </w:pPr>
          <w:r>
            <w:t>CAPÍTULO IV: EL APARATO MEDIÁTICO ANTICORREISTA</w:t>
          </w:r>
          <w:r>
            <w:tab/>
          </w:r>
          <w:r>
            <w:t>7</w:t>
          </w:r>
        </w:p>
        <w:p>
          <w:pPr>
            <w:pStyle w:val="9"/>
            <w:tabs>
              <w:tab w:val="right" w:leader="dot" w:pos="9026"/>
            </w:tabs>
          </w:pPr>
          <w:r>
            <w:t>CAPÍTULO V: CASOS DE CORRUPCIÓN DE ANTICORREISTAS</w:t>
          </w:r>
          <w:r>
            <w:tab/>
          </w:r>
          <w:r>
            <w:t>8</w:t>
          </w:r>
        </w:p>
        <w:p>
          <w:pPr>
            <w:pStyle w:val="9"/>
            <w:tabs>
              <w:tab w:val="right" w:leader="dot" w:pos="9026"/>
            </w:tabs>
          </w:pPr>
          <w:r>
            <w:t>CAPÍTULO VI: LOS TRÁNSFUGAS DE LA REVOLUCIÓN CIUDADANA</w:t>
          </w:r>
          <w:r>
            <w:tab/>
          </w:r>
          <w:r>
            <w:t>10</w:t>
          </w:r>
        </w:p>
        <w:p>
          <w:pPr>
            <w:pStyle w:val="9"/>
            <w:tabs>
              <w:tab w:val="right" w:leader="dot" w:pos="9026"/>
            </w:tabs>
          </w:pPr>
          <w:r>
            <w:t>CAPÍTULO VII: CONEXIONES INTERNACIONALES DEL ANTICORREÍSMO</w:t>
          </w:r>
          <w:r>
            <w:tab/>
          </w:r>
          <w:r>
            <w:t>12</w:t>
          </w:r>
        </w:p>
        <w:p>
          <w:pPr>
            <w:pStyle w:val="9"/>
            <w:tabs>
              <w:tab w:val="right" w:leader="dot" w:pos="9026"/>
            </w:tabs>
          </w:pPr>
          <w:r>
            <w:t>CAPÍTULO IX: EL GOBIERNO DE NOBOA Y ADN</w:t>
          </w:r>
          <w:r>
            <w:tab/>
          </w:r>
          <w:r>
            <w:t>13</w:t>
          </w:r>
        </w:p>
        <w:p>
          <w:pPr>
            <w:pStyle w:val="9"/>
            <w:tabs>
              <w:tab w:val="right" w:leader="dot" w:pos="9026"/>
            </w:tabs>
          </w:pPr>
          <w:r>
            <w:t>CAPÍTULO X: EL GOLPE DE ESTADO Y LA MUERTE CRUZADA</w:t>
          </w:r>
          <w:r>
            <w:tab/>
          </w:r>
          <w:r>
            <w:t>15</w:t>
          </w:r>
        </w:p>
        <w:p>
          <w:pPr>
            <w:pStyle w:val="9"/>
            <w:tabs>
              <w:tab w:val="right" w:leader="dot" w:pos="9026"/>
            </w:tabs>
          </w:pPr>
          <w:r>
            <w:t>CAPÍTULO XI: NARCOPOLÍTICA EN ECUADOR</w:t>
          </w:r>
          <w:r>
            <w:tab/>
          </w:r>
          <w:r>
            <w:t>17</w:t>
          </w:r>
        </w:p>
        <w:p>
          <w:pPr>
            <w:pStyle w:val="9"/>
            <w:tabs>
              <w:tab w:val="right" w:leader="dot" w:pos="9026"/>
            </w:tabs>
          </w:pPr>
          <w:r>
            <w:t>CAPÍTULO XII: CONCLUSIONES</w:t>
          </w:r>
          <w:r>
            <w:tab/>
          </w:r>
          <w:r>
            <w:t>19</w:t>
          </w:r>
        </w:p>
        <w:p>
          <w:pPr>
            <w:pStyle w:val="9"/>
            <w:tabs>
              <w:tab w:val="right" w:leader="dot" w:pos="9026"/>
            </w:tabs>
          </w:pPr>
          <w:r>
            <w:t>ANEXOS</w:t>
          </w:r>
          <w:r>
            <w:tab/>
          </w:r>
          <w:r>
            <w:t>21</w:t>
          </w:r>
        </w:p>
        <w:p>
          <w:r>
            <w:fldChar w:fldCharType="end"/>
          </w:r>
        </w:p>
      </w:sdtContent>
    </w:sdt>
    <w:p>
      <w:pPr>
        <w:spacing w:before="200"/>
        <w:jc w:val="center"/>
      </w:pPr>
      <w:r>
        <w:rPr>
          <w:rFonts w:ascii="Times New Roman" w:cs="Times New Roman" w:eastAsia="Times New Roman" w:hAnsi="Times New Roman"/>
          <w:i/>
          <w:iCs/>
          <w:color w:val="999999"/>
          <w:sz w:val="18"/>
          <w:szCs w:val="18"/>
        </w:rPr>
        <w:t xml:space="preserve">Nota: Haga clic derecho en la tabla de contenidos y seleccione 'Actualizar campo' para ver los números de página correctos.</w:t>
      </w:r>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00" w:line="250"/>
      </w:pPr>
      <w:r>
        <w:rPr>
          <w:rFonts w:ascii="Times New Roman" w:cs="Times New Roman" w:eastAsia="Times New Roman" w:hAnsi="Times New Roman"/>
          <w:b/>
          <w:bCs/>
          <w:color w:val="1A1F16"/>
          <w:sz w:val="32"/>
          <w:szCs w:val="32"/>
        </w:rPr>
        <w:t xml:space="preserve">CAPÍTULO I: INTRODUCCIÓN</w:t>
      </w:r>
    </w:p>
    <w:p>
      <w:pPr>
        <w:pStyle w:val="Heading2"/>
        <w:spacing w:after="200" w:before="300" w:line="250"/>
      </w:pPr>
      <w:r>
        <w:rPr>
          <w:rFonts w:ascii="Times New Roman" w:cs="Times New Roman" w:eastAsia="Times New Roman" w:hAnsi="Times New Roman"/>
          <w:b/>
          <w:bCs/>
          <w:color w:val="1A1F16"/>
          <w:sz w:val="28"/>
          <w:szCs w:val="28"/>
        </w:rPr>
        <w:t xml:space="preserve">1.1 Resumen de la Investigación Actualizada</w:t>
      </w:r>
    </w:p>
    <w:p>
      <w:pPr>
        <w:spacing w:after="200" w:line="250"/>
        <w:ind w:firstLine="480"/>
        <w:jc w:val="both"/>
      </w:pPr>
      <w:r>
        <w:rPr>
          <w:rFonts w:ascii="Times New Roman" w:cs="Times New Roman" w:eastAsia="Times New Roman" w:hAnsi="Times New Roman"/>
          <w:color w:val="2D3329"/>
          <w:sz w:val="22"/>
          <w:szCs w:val="22"/>
        </w:rPr>
        <w:t xml:space="preserve">Esta edición actualizada de la investigación del anticorreísmo en Ecuador incluye información adicional sobre el gobierno de Daniel Noboa y ADN, los actores que avalaron el golpe de estado mediante la 'muerte cruzada', funcionarios vinculados a narcopolítica, y nuevos tránsfugas de la Revolución Ciudadana. La base de datos ahora contiene 154 personas identificadas, 59 casos de corrupción documentados por un monto superior a los 7,373 millones de dólares, y 20 tránsfugas que traicionaron al movimiento.</w:t>
      </w:r>
    </w:p>
    <w:p>
      <w:pPr>
        <w:pStyle w:val="Heading2"/>
        <w:spacing w:after="200" w:before="300" w:line="250"/>
      </w:pPr>
      <w:r>
        <w:rPr>
          <w:rFonts w:ascii="Times New Roman" w:cs="Times New Roman" w:eastAsia="Times New Roman" w:hAnsi="Times New Roman"/>
          <w:b/>
          <w:bCs/>
          <w:color w:val="1A1F16"/>
          <w:sz w:val="28"/>
          <w:szCs w:val="28"/>
        </w:rPr>
        <w:t xml:space="preserve">1.2 Novedades de Esta Edición</w:t>
      </w:r>
    </w:p>
    <w:p>
      <w:pPr>
        <w:spacing w:after="200" w:line="250"/>
        <w:ind w:firstLine="480"/>
        <w:jc w:val="both"/>
      </w:pPr>
      <w:r>
        <w:rPr>
          <w:rFonts w:ascii="Times New Roman" w:cs="Times New Roman" w:eastAsia="Times New Roman" w:hAnsi="Times New Roman"/>
          <w:color w:val="2D3329"/>
          <w:sz w:val="22"/>
          <w:szCs w:val="22"/>
        </w:rPr>
        <w:t xml:space="preserve">Esta edición incluye tres nuevos capítulos fundamentales: el Capítulo IX sobre el Gobierno de Noboa/ADN, que analiza a los ministros y funcionarios del actual gobierno; el Capítulo X sobre el Golpe de Estado, que documenta a los actores que facilitaron la 'muerte cruzada'; y el Capítulo XI sobre Narcopolítica, que revela los vínculos entre el crimen organizado y el sistema judicial ecuatoriano.</w:t>
      </w:r>
    </w:p>
    <w:p>
      <w:pPr>
        <w:pStyle w:val="Heading1"/>
        <w:spacing w:after="200" w:before="300" w:line="250"/>
      </w:pPr>
      <w:r>
        <w:rPr>
          <w:rFonts w:ascii="Times New Roman" w:cs="Times New Roman" w:eastAsia="Times New Roman" w:hAnsi="Times New Roman"/>
          <w:b/>
          <w:bCs/>
          <w:color w:val="1A1F16"/>
          <w:sz w:val="32"/>
          <w:szCs w:val="32"/>
        </w:rPr>
        <w:t xml:space="preserve">CAPÍTULO II: ENEMIGOS POLÍTICOS</w:t>
      </w:r>
    </w:p>
    <w:p>
      <w:pPr>
        <w:pStyle w:val="Heading2"/>
        <w:spacing w:after="200" w:before="300" w:line="250"/>
      </w:pPr>
      <w:r>
        <w:rPr>
          <w:rFonts w:ascii="Times New Roman" w:cs="Times New Roman" w:eastAsia="Times New Roman" w:hAnsi="Times New Roman"/>
          <w:b/>
          <w:bCs/>
          <w:color w:val="1A1F16"/>
          <w:sz w:val="28"/>
          <w:szCs w:val="28"/>
        </w:rPr>
        <w:t xml:space="preserve">2.1 Presidentes Anticorreistas</w:t>
      </w:r>
    </w:p>
    <w:p>
      <w:pPr>
        <w:spacing w:after="200" w:line="250"/>
        <w:ind w:firstLine="480"/>
        <w:jc w:val="both"/>
      </w:pPr>
      <w:r>
        <w:rPr>
          <w:rFonts w:ascii="Times New Roman" w:cs="Times New Roman" w:eastAsia="Times New Roman" w:hAnsi="Times New Roman"/>
          <w:color w:val="2D3329"/>
          <w:sz w:val="22"/>
          <w:szCs w:val="22"/>
        </w:rPr>
        <w:t xml:space="preserve">Guillermo Lasso Mendoza (2021-2023): Banquero que apareció en Pandora Papers por sus 14 empresas offshore. Disolvió inconstitucionalmente el Parlamento mediante 'muerte cruzada' para evitar juicio político por corrupción en el caso Ecuador Petrío. Su gobierno dejó al país sumido en una crisis de seguridad sin precedentes.</w:t>
      </w:r>
    </w:p>
    <w:p>
      <w:pPr>
        <w:spacing w:after="200" w:line="250"/>
        <w:ind w:firstLine="480"/>
        <w:jc w:val="both"/>
      </w:pPr>
      <w:r>
        <w:rPr>
          <w:rFonts w:ascii="Times New Roman" w:cs="Times New Roman" w:eastAsia="Times New Roman" w:hAnsi="Times New Roman"/>
          <w:color w:val="2D3329"/>
          <w:sz w:val="22"/>
          <w:szCs w:val="22"/>
        </w:rPr>
        <w:t xml:space="preserve">Lenin Moreno Garcés (2017-2021): La traición más devastadora en la historia política ecuatoriana. Electo como sucesor de Correa, transformó su gobierno en una máquina de persecución judicial contra su antecesor y más de 200 funcionarios. Coordinó con Estados Unidos y la oposición para desmantelar la Revolución Ciudadana.</w:t>
      </w:r>
    </w:p>
    <w:p>
      <w:pPr>
        <w:spacing w:after="200" w:line="250"/>
        <w:ind w:firstLine="480"/>
        <w:jc w:val="both"/>
      </w:pPr>
      <w:r>
        <w:rPr>
          <w:rFonts w:ascii="Times New Roman" w:cs="Times New Roman" w:eastAsia="Times New Roman" w:hAnsi="Times New Roman"/>
          <w:color w:val="2D3329"/>
          <w:sz w:val="22"/>
          <w:szCs w:val="22"/>
        </w:rPr>
        <w:t xml:space="preserve">Daniel Noboa Azín (2023-presente): Heredero del imperio bananero Noboa, llegó a la presidencia sin experiencia política tras el golpe de estado contra Lasso. Mantiene conflictos de interés por sus vínculos empresariales familiares mientras gobierna.</w:t>
      </w:r>
    </w:p>
    <w:p>
      <w:pPr>
        <w:pStyle w:val="Heading1"/>
        <w:spacing w:after="200" w:before="300" w:line="250"/>
      </w:pPr>
      <w:r>
        <w:rPr>
          <w:rFonts w:ascii="Times New Roman" w:cs="Times New Roman" w:eastAsia="Times New Roman" w:hAnsi="Times New Roman"/>
          <w:b/>
          <w:bCs/>
          <w:color w:val="1A1F16"/>
          <w:sz w:val="32"/>
          <w:szCs w:val="32"/>
        </w:rPr>
        <w:t xml:space="preserve">CAPÍTULO III: EL SISTEMA JUDICIAL Y EL LAWFARE</w:t>
      </w:r>
    </w:p>
    <w:p>
      <w:pPr>
        <w:pStyle w:val="Heading2"/>
        <w:spacing w:after="200" w:before="300" w:line="250"/>
      </w:pPr>
      <w:r>
        <w:rPr>
          <w:rFonts w:ascii="Times New Roman" w:cs="Times New Roman" w:eastAsia="Times New Roman" w:hAnsi="Times New Roman"/>
          <w:b/>
          <w:bCs/>
          <w:color w:val="1A1F16"/>
          <w:sz w:val="28"/>
          <w:szCs w:val="28"/>
        </w:rPr>
        <w:t xml:space="preserve">3.1 El Lawfare contra Rafael Correa</w:t>
      </w:r>
    </w:p>
    <w:p>
      <w:pPr>
        <w:spacing w:after="200" w:line="250"/>
        <w:ind w:firstLine="480"/>
        <w:jc w:val="both"/>
      </w:pPr>
      <w:r>
        <w:rPr>
          <w:rFonts w:ascii="Times New Roman" w:cs="Times New Roman" w:eastAsia="Times New Roman" w:hAnsi="Times New Roman"/>
          <w:color w:val="2D3329"/>
          <w:sz w:val="22"/>
          <w:szCs w:val="22"/>
        </w:rPr>
        <w:t xml:space="preserve">El lawfare contra Rafael Correa ha sido documentado por el Grupo de Puebla (270 páginas), el Lawfare Institute, y múltiples académicos internacionales. El 'Caso Sobornos 2012-2016' fue construido sobre declaraciones de testigos presionados y pruebas fabricadas. Audiofiltrados demostraron la coordinación entre fiscales, jueces y operadores políticos para armar el caso.</w:t>
      </w:r>
    </w:p>
    <w:p>
      <w:pPr>
        <w:pStyle w:val="Heading2"/>
        <w:spacing w:after="200" w:before="300" w:line="250"/>
      </w:pPr>
      <w:r>
        <w:rPr>
          <w:rFonts w:ascii="Times New Roman" w:cs="Times New Roman" w:eastAsia="Times New Roman" w:hAnsi="Times New Roman"/>
          <w:b/>
          <w:bCs/>
          <w:color w:val="1A1F16"/>
          <w:sz w:val="28"/>
          <w:szCs w:val="28"/>
        </w:rPr>
        <w:t xml:space="preserve">3.2 Operadores del Lawfare</w:t>
      </w:r>
    </w:p>
    <w:p>
      <w:pPr>
        <w:spacing w:after="200" w:line="250"/>
        <w:ind w:firstLine="480"/>
        <w:jc w:val="both"/>
      </w:pPr>
      <w:r>
        <w:rPr>
          <w:rFonts w:ascii="Times New Roman" w:cs="Times New Roman" w:eastAsia="Times New Roman" w:hAnsi="Times New Roman"/>
          <w:color w:val="2D3329"/>
          <w:sz w:val="22"/>
          <w:szCs w:val="22"/>
        </w:rPr>
        <w:t xml:space="preserve">Diana Salazar Méndez: Fiscal General 2023-2025, continuadora del lawfare. Renunció tras críticas internacionales. Correa la acusó de 'haber destrozado la justicia del país' y de proteger a Lasso y Moreno mientras perseguía a inocentes.</w:t>
      </w:r>
    </w:p>
    <w:p>
      <w:pPr>
        <w:spacing w:after="200" w:line="250"/>
        <w:ind w:firstLine="480"/>
        <w:jc w:val="both"/>
      </w:pPr>
      <w:r>
        <w:rPr>
          <w:rFonts w:ascii="Times New Roman" w:cs="Times New Roman" w:eastAsia="Times New Roman" w:hAnsi="Times New Roman"/>
          <w:color w:val="2D3329"/>
          <w:sz w:val="22"/>
          <w:szCs w:val="22"/>
        </w:rPr>
        <w:t xml:space="preserve">Paola Pérez Cajo: Fiscal General 2019-2023, arquitecta del lawfare contra Correa. Fabricó pruebas, presionó testigos y archivó sistemáticamente casos de corrupción de anticorreistas.</w:t>
      </w:r>
    </w:p>
    <w:p>
      <w:pPr>
        <w:spacing w:after="200" w:line="250"/>
        <w:ind w:firstLine="480"/>
        <w:jc w:val="both"/>
      </w:pPr>
      <w:r>
        <w:rPr>
          <w:rFonts w:ascii="Times New Roman" w:cs="Times New Roman" w:eastAsia="Times New Roman" w:hAnsi="Times New Roman"/>
          <w:color w:val="2D3329"/>
          <w:sz w:val="22"/>
          <w:szCs w:val="22"/>
        </w:rPr>
        <w:t xml:space="preserve">Wilmer Santacruz Zambrano: Presidente del Consejo de la Judicatura, operador clave que coordinó con la Fiscalía para armar casos contra correístas mientras otorgaba impunidad a tránsfugas.</w:t>
      </w:r>
    </w:p>
    <w:p>
      <w:pPr>
        <w:pStyle w:val="Heading1"/>
        <w:spacing w:after="200" w:before="300" w:line="250"/>
      </w:pPr>
      <w:r>
        <w:rPr>
          <w:rFonts w:ascii="Times New Roman" w:cs="Times New Roman" w:eastAsia="Times New Roman" w:hAnsi="Times New Roman"/>
          <w:b/>
          <w:bCs/>
          <w:color w:val="1A1F16"/>
          <w:sz w:val="32"/>
          <w:szCs w:val="32"/>
        </w:rPr>
        <w:t xml:space="preserve">CAPÍTULO IV: EL APARATO MEDIÁTICO ANTICORREISTA</w:t>
      </w:r>
    </w:p>
    <w:p>
      <w:pPr>
        <w:pStyle w:val="Heading2"/>
        <w:spacing w:after="200" w:before="300" w:line="250"/>
      </w:pPr>
      <w:r>
        <w:rPr>
          <w:rFonts w:ascii="Times New Roman" w:cs="Times New Roman" w:eastAsia="Times New Roman" w:hAnsi="Times New Roman"/>
          <w:b/>
          <w:bCs/>
          <w:color w:val="1A1F16"/>
          <w:sz w:val="28"/>
          <w:szCs w:val="28"/>
        </w:rPr>
        <w:t xml:space="preserve">4.1 Medios de Prófugos y Banqueros</w:t>
      </w:r>
    </w:p>
    <w:p>
      <w:pPr>
        <w:spacing w:after="200" w:line="250"/>
        <w:ind w:firstLine="480"/>
        <w:jc w:val="both"/>
      </w:pPr>
      <w:r>
        <w:rPr>
          <w:rFonts w:ascii="Times New Roman" w:cs="Times New Roman" w:eastAsia="Times New Roman" w:hAnsi="Times New Roman"/>
          <w:color w:val="2D3329"/>
          <w:sz w:val="22"/>
          <w:szCs w:val="22"/>
        </w:rPr>
        <w:t xml:space="preserve">Fidel Egas Grijalva: Dueño del Banco Guayaquil y una red de medios. Financista principal del anticorreísmo. Sus medios atacaron sistemáticamente a Correa en defensa de sus intereses bancarios.</w:t>
      </w:r>
    </w:p>
    <w:p>
      <w:pPr>
        <w:spacing w:after="200" w:line="250"/>
        <w:ind w:firstLine="480"/>
        <w:jc w:val="both"/>
      </w:pPr>
      <w:r>
        <w:rPr>
          <w:rFonts w:ascii="Times New Roman" w:cs="Times New Roman" w:eastAsia="Times New Roman" w:hAnsi="Times New Roman"/>
          <w:color w:val="2D3329"/>
          <w:sz w:val="22"/>
          <w:szCs w:val="22"/>
        </w:rPr>
        <w:t xml:space="preserve">Roberto Isaias Dassum: Prófugo por el desfalco de 660 millones de dólares del Banco Filanbanco. Utilizó sus medios como herramienta de chantaje: a cambio de financiar el anticorreísmo, obtuvo protección judicial e impunidad.</w:t>
      </w:r>
    </w:p>
    <w:p>
      <w:pPr>
        <w:spacing w:after="200" w:line="250"/>
        <w:ind w:firstLine="480"/>
        <w:jc w:val="both"/>
      </w:pPr>
      <w:r>
        <w:rPr>
          <w:rFonts w:ascii="Times New Roman" w:cs="Times New Roman" w:eastAsia="Times New Roman" w:hAnsi="Times New Roman"/>
          <w:color w:val="2D3329"/>
          <w:sz w:val="22"/>
          <w:szCs w:val="22"/>
        </w:rPr>
        <w:t xml:space="preserve">Remigio Ángel González: Dueño de canales de TV y prófugo de la justicia. Sus medios fueron utilizados para atacar al correísmo a cambio de protección.</w:t>
      </w:r>
    </w:p>
    <w:p>
      <w:pPr>
        <w:pStyle w:val="Heading1"/>
        <w:spacing w:after="200" w:before="300" w:line="250"/>
      </w:pPr>
      <w:r>
        <w:rPr>
          <w:rFonts w:ascii="Times New Roman" w:cs="Times New Roman" w:eastAsia="Times New Roman" w:hAnsi="Times New Roman"/>
          <w:b/>
          <w:bCs/>
          <w:color w:val="1A1F16"/>
          <w:sz w:val="32"/>
          <w:szCs w:val="32"/>
        </w:rPr>
        <w:t xml:space="preserve">CAPÍTULO V: CASOS DE CORRUPCIÓN DE ANTICORREISTAS</w:t>
      </w:r>
    </w:p>
    <w:p>
      <w:pPr>
        <w:pStyle w:val="Heading2"/>
        <w:spacing w:after="200" w:before="300" w:line="250"/>
      </w:pPr>
      <w:r>
        <w:rPr>
          <w:rFonts w:ascii="Times New Roman" w:cs="Times New Roman" w:eastAsia="Times New Roman" w:hAnsi="Times New Roman"/>
          <w:b/>
          <w:bCs/>
          <w:color w:val="1A1F16"/>
          <w:sz w:val="28"/>
          <w:szCs w:val="28"/>
        </w:rPr>
        <w:t xml:space="preserve">5.1 Casos Principales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200"/>
        <w:gridCol w:w="1500"/>
        <w:gridCol w:w="1500"/>
        <w:gridCol w:w="2000"/>
        <w:gridCol w:w="1800"/>
      </w:tblGrid>
      <w:tr>
        <w:trPr>
          <w:tblHeader/>
        </w:trPr>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Caso</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Monto USD</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Estado</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Responsable</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Descripción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Caso Metástasis - Narcopo...</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color w:val="2D3329"/>
                <w:sz w:val="16"/>
                <w:szCs w:val="16"/>
              </w:rPr>
              <w:t xml:space="preserve">200M</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En investigació</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Red judicial/política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Red de narcopolítica que involucró jueces, fiscale...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Caso Muerte Cruzada - Gol...</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color w:val="2D3329"/>
                <w:sz w:val="16"/>
                <w:szCs w:val="16"/>
              </w:rPr>
              <w:t xml:space="preserve">N/A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Golpe de Estado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Guillermo Lasso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Lasso disolvió inconstitucionalmente la Asamblea p...</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Caso Noboa - Conflicto de...</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color w:val="2D3329"/>
                <w:sz w:val="16"/>
                <w:szCs w:val="16"/>
              </w:rPr>
              <w:t xml:space="preserve">N/A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Investigado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Daniel Noboa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Noboa mantiene vínculos con empresas bananeras fam...</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Caso CPCCS - Captura...</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color w:val="2D3329"/>
                <w:sz w:val="16"/>
                <w:szCs w:val="16"/>
              </w:rPr>
              <w:t xml:space="preserve">N/A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Captura institu</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Moreno/ADN</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El CPCCS fue capturado por morenismo y ADN para co...</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Caso Norero - Narcopolíti...</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color w:val="2D3329"/>
                <w:sz w:val="16"/>
                <w:szCs w:val="16"/>
              </w:rPr>
              <w:t xml:space="preserve">30M</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En investigació</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Leandro Norero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Narcotraficante que corrompió jueces, fiscales y p...</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Caso Alimentos Cárceles...</w:t>
            </w:r>
          </w:p>
        </w:tc>
        <w:tc>
          <w:tcPr>
            <w:tcBorders>
              <w:top w:val="single" w:color="94A3B8" w:sz="1"/>
              <w:left w:val="single" w:color="94A3B8" w:sz="1"/>
              <w:bottom w:val="single" w:color="94A3B8" w:sz="1"/>
              <w:right w:val="single" w:color="94A3B8" w:sz="1"/>
            </w:tcBorders>
          </w:tcPr>
          <w:p>
            <w:pPr>
              <w:jc w:val="right"/>
            </w:pPr>
            <w:r>
              <w:rPr>
                <w:rFonts w:ascii="Times New Roman" w:cs="Times New Roman" w:eastAsia="Times New Roman" w:hAnsi="Times New Roman"/>
                <w:color w:val="2D3329"/>
                <w:sz w:val="16"/>
                <w:szCs w:val="16"/>
              </w:rPr>
              <w:t xml:space="preserve">25M</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Investigado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Gobierno Noboa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Contratos para alimentación en cárceles con sobrep...</w:t>
            </w:r>
          </w:p>
        </w:tc>
      </w:tr>
    </w:tbl>
    <w:p>
      <w:pPr>
        <w:spacing w:after="300" w:before="100"/>
        <w:jc w:val="center"/>
      </w:pPr>
      <w:r>
        <w:rPr>
          <w:rFonts w:ascii="Times New Roman" w:cs="Times New Roman" w:eastAsia="Times New Roman" w:hAnsi="Times New Roman"/>
          <w:i/>
          <w:iCs/>
          <w:color w:val="94A3B8"/>
          <w:sz w:val="18"/>
          <w:szCs w:val="18"/>
        </w:rPr>
        <w:t xml:space="preserve">Tabla 5.1: Casos adicionales de corrupción de anticorreistas</w:t>
      </w:r>
    </w:p>
    <w:p>
      <w:pPr>
        <w:pStyle w:val="Heading1"/>
        <w:spacing w:after="200" w:before="300" w:line="250"/>
      </w:pPr>
      <w:r>
        <w:rPr>
          <w:rFonts w:ascii="Times New Roman" w:cs="Times New Roman" w:eastAsia="Times New Roman" w:hAnsi="Times New Roman"/>
          <w:b/>
          <w:bCs/>
          <w:color w:val="1A1F16"/>
          <w:sz w:val="32"/>
          <w:szCs w:val="32"/>
        </w:rPr>
        <w:t xml:space="preserve">CAPÍTULO VI: LOS TRÁNSFUGAS DE LA REVOLUCIÓN CIUDADANA</w:t>
      </w:r>
    </w:p>
    <w:p>
      <w:pPr>
        <w:pStyle w:val="Heading2"/>
        <w:spacing w:after="200" w:before="300" w:line="250"/>
      </w:pPr>
      <w:r>
        <w:rPr>
          <w:rFonts w:ascii="Times New Roman" w:cs="Times New Roman" w:eastAsia="Times New Roman" w:hAnsi="Times New Roman"/>
          <w:b/>
          <w:bCs/>
          <w:color w:val="1A1F16"/>
          <w:sz w:val="28"/>
          <w:szCs w:val="28"/>
        </w:rPr>
        <w:t xml:space="preserve">6.1 La Traición desde Adentro</w:t>
      </w:r>
    </w:p>
    <w:p>
      <w:pPr>
        <w:spacing w:after="200" w:line="250"/>
        <w:ind w:firstLine="480"/>
        <w:jc w:val="both"/>
      </w:pPr>
      <w:r>
        <w:rPr>
          <w:rFonts w:ascii="Times New Roman" w:cs="Times New Roman" w:eastAsia="Times New Roman" w:hAnsi="Times New Roman"/>
          <w:color w:val="2D3329"/>
          <w:sz w:val="22"/>
          <w:szCs w:val="22"/>
        </w:rPr>
        <w:t xml:space="preserve">Los tránsfugas de la Revolución Ciudadana representan uno de los elementos más devastadores para el movimiento. Figuras que ocuparon cargos importantes, que conocían información confidencial del Estado, se convirtieron en los más feroces perseguidores de sus antiguos compañeros. Se han identificado 20 tránsfugas principales.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000"/>
        <w:gridCol w:w="2200"/>
        <w:gridCol w:w="5000"/>
      </w:tblGrid>
      <w:tr>
        <w:trPr>
          <w:tblHeader/>
        </w:trPr>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Nombre</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Cargo Original</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Descripción de la Traición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Betty Amores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Ex-asambleísta AP</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Tránsfuga de Alianza PAÍS que operó contra la Revolución Ciudadana desde la Asamblea.</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Luis Verdesoto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Ex-asambleísta AP</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Tránsfuga que traicionó a RC y apoyó las medidas anticonstitucionales de Moreno.</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Vicente Taiano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Ex-asambleísta AP</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Tránsfuga de AP que apoyó el lawfare contra sus ex-compañeros.</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Lida Moncayo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Ex-correista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Ex-correista que se convirtió en perseguidora activa del movimiento que la llevó al poder.</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Wilma Andrade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Ex-asambleísta AP</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Tránsfuga que votó sistemáticamente contra las leyes que ella misma había impulsado.</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Christian Viteri</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Ex-asambleísta AP</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Tránsfuga de AP que se unió al morenismo y traicionó al movimiento.</w:t>
            </w:r>
          </w:p>
        </w:tc>
      </w:tr>
    </w:tbl>
    <w:p>
      <w:pPr>
        <w:spacing w:after="300" w:before="100"/>
        <w:jc w:val="center"/>
      </w:pPr>
      <w:r>
        <w:rPr>
          <w:rFonts w:ascii="Times New Roman" w:cs="Times New Roman" w:eastAsia="Times New Roman" w:hAnsi="Times New Roman"/>
          <w:i/>
          <w:iCs/>
          <w:color w:val="94A3B8"/>
          <w:sz w:val="18"/>
          <w:szCs w:val="18"/>
        </w:rPr>
        <w:t xml:space="preserve">Tabla 6.1: Tránsfugas adicionales de la Revolución Ciudadana</w:t>
      </w:r>
    </w:p>
    <w:p>
      <w:pPr>
        <w:pStyle w:val="Heading1"/>
        <w:spacing w:after="200" w:before="300" w:line="250"/>
      </w:pPr>
      <w:r>
        <w:rPr>
          <w:rFonts w:ascii="Times New Roman" w:cs="Times New Roman" w:eastAsia="Times New Roman" w:hAnsi="Times New Roman"/>
          <w:b/>
          <w:bCs/>
          <w:color w:val="1A1F16"/>
          <w:sz w:val="32"/>
          <w:szCs w:val="32"/>
        </w:rPr>
        <w:t xml:space="preserve">CAPÍTULO VII: CONEXIONES INTERNACIONALES DEL ANTICORREÍSMO</w:t>
      </w:r>
    </w:p>
    <w:p>
      <w:pPr>
        <w:pStyle w:val="Heading2"/>
        <w:spacing w:after="200" w:before="300" w:line="250"/>
      </w:pPr>
      <w:r>
        <w:rPr>
          <w:rFonts w:ascii="Times New Roman" w:cs="Times New Roman" w:eastAsia="Times New Roman" w:hAnsi="Times New Roman"/>
          <w:b/>
          <w:bCs/>
          <w:color w:val="1A1F16"/>
          <w:sz w:val="28"/>
          <w:szCs w:val="28"/>
        </w:rPr>
        <w:t xml:space="preserve">7.1 Estados Unidos y el Cambio de Régime</w:t>
      </w:r>
    </w:p>
    <w:p>
      <w:pPr>
        <w:spacing w:after="200" w:line="250"/>
        <w:ind w:firstLine="480"/>
        <w:jc w:val="both"/>
      </w:pPr>
      <w:r>
        <w:rPr>
          <w:rFonts w:ascii="Times New Roman" w:cs="Times New Roman" w:eastAsia="Times New Roman" w:hAnsi="Times New Roman"/>
          <w:color w:val="2D3329"/>
          <w:sz w:val="22"/>
          <w:szCs w:val="22"/>
        </w:rPr>
        <w:t xml:space="preserve">Documentos desclasificados e investigaciones periodísticas han revelado el rol de Estados Unidos en la desestabilización del gobierno de Correa. A través del NED, USAID y otras agencias, se canalizaron al menos 50 millones de dólares hacia ONGs, medios y políticos opositores. Fundamedios, que se presentaba como defensora de libertad de expresión, recibió financiamiento sistemático del NED y la Embajada de EE.UU.</w:t>
      </w:r>
    </w:p>
    <w:p>
      <w:pPr>
        <w:pStyle w:val="Heading2"/>
        <w:spacing w:after="200" w:before="300" w:line="250"/>
      </w:pPr>
      <w:r>
        <w:rPr>
          <w:rFonts w:ascii="Times New Roman" w:cs="Times New Roman" w:eastAsia="Times New Roman" w:hAnsi="Times New Roman"/>
          <w:b/>
          <w:bCs/>
          <w:color w:val="1A1F16"/>
          <w:sz w:val="28"/>
          <w:szCs w:val="28"/>
        </w:rPr>
        <w:t xml:space="preserve">7.2 La OEA y Luis Almagro</w:t>
      </w:r>
    </w:p>
    <w:p>
      <w:pPr>
        <w:spacing w:after="200" w:line="250"/>
        <w:ind w:firstLine="480"/>
        <w:jc w:val="both"/>
      </w:pPr>
      <w:r>
        <w:rPr>
          <w:rFonts w:ascii="Times New Roman" w:cs="Times New Roman" w:eastAsia="Times New Roman" w:hAnsi="Times New Roman"/>
          <w:color w:val="2D3329"/>
          <w:sz w:val="22"/>
          <w:szCs w:val="22"/>
        </w:rPr>
        <w:t xml:space="preserve">Bajo Luis Almagro, la OEA se convirtió en instrumento de ataque contra gobiernos progresistas. Almagro emitió informes sesgados y declaraciones que contribuían a la narrativa de desestabilización contra Correa, como parte de una estrategia de 'guerra híbrida' para el cambio de régimen.</w:t>
      </w:r>
    </w:p>
    <w:p>
      <w:pPr>
        <w:pStyle w:val="Heading1"/>
        <w:spacing w:after="200" w:before="300" w:line="250"/>
      </w:pPr>
      <w:r>
        <w:rPr>
          <w:rFonts w:ascii="Times New Roman" w:cs="Times New Roman" w:eastAsia="Times New Roman" w:hAnsi="Times New Roman"/>
          <w:b/>
          <w:bCs/>
          <w:color w:val="1A1F16"/>
          <w:sz w:val="32"/>
          <w:szCs w:val="32"/>
        </w:rPr>
        <w:t xml:space="preserve">CAPÍTULO IX: EL GOBIERNO DE NOBOA Y ADN</w:t>
      </w:r>
    </w:p>
    <w:p>
      <w:pPr>
        <w:pStyle w:val="Heading2"/>
        <w:spacing w:after="200" w:before="300" w:line="250"/>
      </w:pPr>
      <w:r>
        <w:rPr>
          <w:rFonts w:ascii="Times New Roman" w:cs="Times New Roman" w:eastAsia="Times New Roman" w:hAnsi="Times New Roman"/>
          <w:b/>
          <w:bCs/>
          <w:color w:val="1A1F16"/>
          <w:sz w:val="28"/>
          <w:szCs w:val="28"/>
        </w:rPr>
        <w:t xml:space="preserve">9.1 Contexto del Gobierno de Noboa</w:t>
      </w:r>
    </w:p>
    <w:p>
      <w:pPr>
        <w:spacing w:after="200" w:line="250"/>
        <w:ind w:firstLine="480"/>
        <w:jc w:val="both"/>
      </w:pPr>
      <w:r>
        <w:rPr>
          <w:rFonts w:ascii="Times New Roman" w:cs="Times New Roman" w:eastAsia="Times New Roman" w:hAnsi="Times New Roman"/>
          <w:color w:val="2D3329"/>
          <w:sz w:val="22"/>
          <w:szCs w:val="22"/>
        </w:rPr>
        <w:t xml:space="preserve">Daniel Noboa asumió la presidencia el 23 de noviembre de 2023, tras las elecciones anticipadas convocadas por la 'muerte cruzada' de Guillermo Lasso. Su gobierno representa la continuación del anticorreísmo bajo una nueva sigla: Acción Democrática Nacional (ADN). Noboa llegó sin experiencia política, heredero del imperio bananero familiar, con múltiples conflictos de interés derivados de sus vínculos empresariales.</w:t>
      </w:r>
    </w:p>
    <w:p>
      <w:pPr>
        <w:pStyle w:val="Heading2"/>
        <w:spacing w:after="200" w:before="300" w:line="250"/>
      </w:pPr>
      <w:r>
        <w:rPr>
          <w:rFonts w:ascii="Times New Roman" w:cs="Times New Roman" w:eastAsia="Times New Roman" w:hAnsi="Times New Roman"/>
          <w:b/>
          <w:bCs/>
          <w:color w:val="1A1F16"/>
          <w:sz w:val="28"/>
          <w:szCs w:val="28"/>
        </w:rPr>
        <w:t xml:space="preserve">9.2 Gabinete Ministerial de Noboa</w:t>
      </w:r>
    </w:p>
    <w:p>
      <w:pPr>
        <w:spacing w:after="200" w:line="250"/>
        <w:ind w:firstLine="480"/>
        <w:jc w:val="both"/>
      </w:pPr>
      <w:r>
        <w:rPr>
          <w:rFonts w:ascii="Times New Roman" w:cs="Times New Roman" w:eastAsia="Times New Roman" w:hAnsi="Times New Roman"/>
          <w:color w:val="2D3329"/>
          <w:sz w:val="22"/>
          <w:szCs w:val="22"/>
        </w:rPr>
        <w:t xml:space="preserve">El gabinete de Noboa se caracteriza por su volatilidad: en dos años de gestión ha tenido siete ministros de Gobierno. Los ministros mantienen conflictos de interés documentados: 24 de los 35 ministros y secretarios tienen participación accionaria en empresas privadas que podrían beneficiarse de decisiones gubernamentales.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500"/>
        <w:gridCol w:w="2000"/>
        <w:gridCol w:w="1000"/>
        <w:gridCol w:w="3500"/>
      </w:tblGrid>
      <w:tr>
        <w:trPr>
          <w:tblHeader/>
        </w:trPr>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Nombre</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Cargo</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Nivel</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Descripción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Gabriela Sommerfeld</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Canciller</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4</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Canciller de Noboa, opera la política exterior alineada con Estados Unidos y coo...</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Mónica Palencia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Ministra del Interior</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4</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Ex-ministra del Interior de Noboa, responsable de la represión contra manifestan...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Fausto Buenaño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Ministro del Interior</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4</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Ministro del Interior de Noboa, continúa la política de represión y mano dura si...</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Gian Carlo Loffredo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Ministro de Defensa</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4</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Ministro de Defensa de Noboa, ha militarizado la respuesta a la crisis de seguri...</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Roberto Luque</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Secretario General</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4</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Secretario General de la Presidencia de Noboa, principal operador político del g...</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Sonsoles García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Ministra de Producción</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3</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Ministra de Producción de Noboa, cuestionada por conflictos de interés con empre...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Luis Jaramillo Granja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Ministro de Trabajo</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3</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Ministro de Trabajo de Noboa, ha implementado políticas laborales favorables a l...</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Sade Fierro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Secretaria de Comunicación</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3</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Secretaria de Comunicación de Noboa, controla la narrativa mediática del gobiern...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Nathaly Farinango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Asambleísta ADN</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3</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Asambleísta de ADN, operadora legislativa del gobierno de Noboa contra la oposic...</w:t>
            </w:r>
          </w:p>
        </w:tc>
      </w:tr>
    </w:tbl>
    <w:p>
      <w:pPr>
        <w:spacing w:after="300" w:before="100"/>
        <w:jc w:val="center"/>
      </w:pPr>
      <w:r>
        <w:rPr>
          <w:rFonts w:ascii="Times New Roman" w:cs="Times New Roman" w:eastAsia="Times New Roman" w:hAnsi="Times New Roman"/>
          <w:i/>
          <w:iCs/>
          <w:color w:val="94A3B8"/>
          <w:sz w:val="18"/>
          <w:szCs w:val="18"/>
        </w:rPr>
        <w:t xml:space="preserve">Tabla 9.1: Principales funcionarios del gobierno de Noboa/ADN</w:t>
      </w:r>
    </w:p>
    <w:p>
      <w:pPr>
        <w:pStyle w:val="Heading2"/>
        <w:spacing w:after="200" w:before="300" w:line="250"/>
      </w:pPr>
      <w:r>
        <w:rPr>
          <w:rFonts w:ascii="Times New Roman" w:cs="Times New Roman" w:eastAsia="Times New Roman" w:hAnsi="Times New Roman"/>
          <w:b/>
          <w:bCs/>
          <w:color w:val="1A1F16"/>
          <w:sz w:val="28"/>
          <w:szCs w:val="28"/>
        </w:rPr>
        <w:t xml:space="preserve">9.3 Políticas de Represión y Continuación del Lawfare</w:t>
      </w:r>
    </w:p>
    <w:p>
      <w:pPr>
        <w:spacing w:after="200" w:line="250"/>
        <w:ind w:firstLine="480"/>
        <w:jc w:val="both"/>
      </w:pPr>
      <w:r>
        <w:rPr>
          <w:rFonts w:ascii="Times New Roman" w:cs="Times New Roman" w:eastAsia="Times New Roman" w:hAnsi="Times New Roman"/>
          <w:color w:val="2D3329"/>
          <w:sz w:val="22"/>
          <w:szCs w:val="22"/>
        </w:rPr>
        <w:t xml:space="preserve">El gobierno de Noboa ha continuado la persecución judicial contra correístas mientras protege a funcionarios del gobierno de Moreno y Lasso. La política de 'mano dura' ha fracasado en resolver la crisis de seguridad: las tasas de homicidios continúan altas y el país permanece en estado de excepción permanente. La militarización de la seguridad pública no ha producido resultados, pero sí ha generado denuncias de violaciones a derechos humanos.</w:t>
      </w:r>
    </w:p>
    <w:p>
      <w:pPr>
        <w:pStyle w:val="Heading1"/>
        <w:spacing w:after="200" w:before="300" w:line="250"/>
      </w:pPr>
      <w:r>
        <w:rPr>
          <w:rFonts w:ascii="Times New Roman" w:cs="Times New Roman" w:eastAsia="Times New Roman" w:hAnsi="Times New Roman"/>
          <w:b/>
          <w:bCs/>
          <w:color w:val="1A1F16"/>
          <w:sz w:val="32"/>
          <w:szCs w:val="32"/>
        </w:rPr>
        <w:t xml:space="preserve">CAPÍTULO X: EL GOLPE DE ESTADO Y LA MUERTE CRUZADA</w:t>
      </w:r>
    </w:p>
    <w:p>
      <w:pPr>
        <w:pStyle w:val="Heading2"/>
        <w:spacing w:after="200" w:before="300" w:line="250"/>
      </w:pPr>
      <w:r>
        <w:rPr>
          <w:rFonts w:ascii="Times New Roman" w:cs="Times New Roman" w:eastAsia="Times New Roman" w:hAnsi="Times New Roman"/>
          <w:b/>
          <w:bCs/>
          <w:color w:val="1A1F16"/>
          <w:sz w:val="28"/>
          <w:szCs w:val="28"/>
        </w:rPr>
        <w:t xml:space="preserve">10.1 Contexto del Golpe</w:t>
      </w:r>
    </w:p>
    <w:p>
      <w:pPr>
        <w:spacing w:after="200" w:line="250"/>
        <w:ind w:firstLine="480"/>
        <w:jc w:val="both"/>
      </w:pPr>
      <w:r>
        <w:rPr>
          <w:rFonts w:ascii="Times New Roman" w:cs="Times New Roman" w:eastAsia="Times New Roman" w:hAnsi="Times New Roman"/>
          <w:color w:val="2D3329"/>
          <w:sz w:val="22"/>
          <w:szCs w:val="22"/>
        </w:rPr>
        <w:t xml:space="preserve">El 17 de mayo de 2023, Guillermo Lasso activó el mecanismo constitucional de 'muerte cruzada' (artículo 148) para disolver la Asamblea Nacional y evitar un juicio político por corrupción en el caso Ecuador Petrío. Este acto fue calificado por expertos constitucionalistas como un golpe de estado parlamentario, dado que Lasso no tenía mayoría legislativa y el proceso de juicio político estaba avanzando regularmente.</w:t>
      </w:r>
    </w:p>
    <w:p>
      <w:pPr>
        <w:spacing w:after="200" w:line="250"/>
        <w:ind w:firstLine="480"/>
        <w:jc w:val="both"/>
      </w:pPr>
      <w:r>
        <w:rPr>
          <w:rFonts w:ascii="Times New Roman" w:cs="Times New Roman" w:eastAsia="Times New Roman" w:hAnsi="Times New Roman"/>
          <w:color w:val="2D3329"/>
          <w:sz w:val="22"/>
          <w:szCs w:val="22"/>
        </w:rPr>
        <w:t xml:space="preserve">La 'muerte cruzada' estaba diseñada para resolver conflictos entre poderes del Estado, no para que un presidente evada la justicia. Lasso utilizó el mecanismo de manera fraudulenta: no había conflicto entre poderes, sino un proceso legítimo de fiscalización por presuntos actos de corrupción que incluían la venta de preferencias aduaneras y contratos irregulares.</w:t>
      </w:r>
    </w:p>
    <w:p>
      <w:pPr>
        <w:pStyle w:val="Heading2"/>
        <w:spacing w:after="200" w:before="300" w:line="250"/>
      </w:pPr>
      <w:r>
        <w:rPr>
          <w:rFonts w:ascii="Times New Roman" w:cs="Times New Roman" w:eastAsia="Times New Roman" w:hAnsi="Times New Roman"/>
          <w:b/>
          <w:bCs/>
          <w:color w:val="1A1F16"/>
          <w:sz w:val="28"/>
          <w:szCs w:val="28"/>
        </w:rPr>
        <w:t xml:space="preserve">10.2 Actores que Avalaron el Golpe</w:t>
      </w:r>
    </w:p>
    <w:p>
      <w:pPr>
        <w:spacing w:after="200" w:line="250"/>
        <w:ind w:firstLine="480"/>
        <w:jc w:val="both"/>
      </w:pPr>
      <w:r>
        <w:rPr>
          <w:rFonts w:ascii="Times New Roman" w:cs="Times New Roman" w:eastAsia="Times New Roman" w:hAnsi="Times New Roman"/>
          <w:color w:val="2D3329"/>
          <w:sz w:val="22"/>
          <w:szCs w:val="22"/>
        </w:rPr>
        <w:t xml:space="preserve">El golpe contó con el apoyo de asambleístas que votaron a favor de la disolución o que facilitaron el proceso, consejeros del CPCCS que capturaron las instituciones de control, jueces que legitimaron la medida inconstitucional, y medios de comunicación que construyeron la narrativa de que la disolución era necesaria para la 'paz' del país.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500"/>
        <w:gridCol w:w="2000"/>
        <w:gridCol w:w="1000"/>
        <w:gridCol w:w="3500"/>
      </w:tblGrid>
      <w:tr>
        <w:trPr>
          <w:tblHeader/>
        </w:trPr>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Nombre</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Cargo</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Nivel</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Rol en el Golpe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Virgilio Saucedo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Asambleísta</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5</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Asambleísta que apoyó activamente la muerte cruzada y facilitó el golpe contra l...</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Ana Belén Marín</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Asambleísta</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5</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Asambleísta que apoyó la disolución inconstitucional del Parlamento para protege...</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Gissela Molina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Asambleísta</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4</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Asambleísta que facilitó el golpe parlamentario votando a favor de medidas antic...</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David Rocero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Consejero CPCCS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4</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Consejero del CPCCS que facilitó la captura de instituciones del Estado para el ...</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Sofía Merchán</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Consejera CPCCS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4</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Consejera del CPCCS que apoyó el golpe institucional y la persecución de funcion...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Hernán Ulloa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Consejero CPCCS</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4</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Consejero del CPCCS golpista que participó en la captura de órganos de control....</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Ramiro Ríos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Juez</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5</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Juez que avaló la muerte cruzada inconstitucional, legitimando el golpe de Estad...</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Teresa Armas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Jueza</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5</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Jueza que legitimó el golpe parlamentario mediante fallos que ignoraron la const...</w:t>
            </w:r>
          </w:p>
        </w:tc>
      </w:tr>
    </w:tbl>
    <w:p>
      <w:pPr>
        <w:spacing w:after="300" w:before="100"/>
        <w:jc w:val="center"/>
      </w:pPr>
      <w:r>
        <w:rPr>
          <w:rFonts w:ascii="Times New Roman" w:cs="Times New Roman" w:eastAsia="Times New Roman" w:hAnsi="Times New Roman"/>
          <w:i/>
          <w:iCs/>
          <w:color w:val="94A3B8"/>
          <w:sz w:val="18"/>
          <w:szCs w:val="18"/>
        </w:rPr>
        <w:t xml:space="preserve">Tabla 10.1: Actores que avalaron el golpe de estado</w:t>
      </w:r>
    </w:p>
    <w:p>
      <w:pPr>
        <w:pStyle w:val="Heading2"/>
        <w:spacing w:after="200" w:before="300" w:line="250"/>
      </w:pPr>
      <w:r>
        <w:rPr>
          <w:rFonts w:ascii="Times New Roman" w:cs="Times New Roman" w:eastAsia="Times New Roman" w:hAnsi="Times New Roman"/>
          <w:b/>
          <w:bCs/>
          <w:color w:val="1A1F16"/>
          <w:sz w:val="28"/>
          <w:szCs w:val="28"/>
        </w:rPr>
        <w:t xml:space="preserve">10.3 Consecuencias del Golpe</w:t>
      </w:r>
    </w:p>
    <w:p>
      <w:pPr>
        <w:spacing w:after="200" w:line="250"/>
        <w:ind w:firstLine="480"/>
        <w:jc w:val="both"/>
      </w:pPr>
      <w:r>
        <w:rPr>
          <w:rFonts w:ascii="Times New Roman" w:cs="Times New Roman" w:eastAsia="Times New Roman" w:hAnsi="Times New Roman"/>
          <w:color w:val="2D3329"/>
          <w:sz w:val="22"/>
          <w:szCs w:val="22"/>
        </w:rPr>
        <w:t xml:space="preserve">El golpe de estado tuvo consecuencias devastadoras: la crisis de seguridad se agravó durante el gobierno interino, la institucionalidad quedó debilitada, se sentó un precedente peligroso de evasión de justicia presidencial, y el país quedó en manos de un gobierno sin legitimidad democrática plena. Las elecciones posteriores dieron ganador a Daniel Noboa, continuando el ciclo del anticorreísmo.</w:t>
      </w:r>
    </w:p>
    <w:p>
      <w:pPr>
        <w:pStyle w:val="Heading1"/>
        <w:spacing w:after="200" w:before="300" w:line="250"/>
      </w:pPr>
      <w:r>
        <w:rPr>
          <w:rFonts w:ascii="Times New Roman" w:cs="Times New Roman" w:eastAsia="Times New Roman" w:hAnsi="Times New Roman"/>
          <w:b/>
          <w:bCs/>
          <w:color w:val="1A1F16"/>
          <w:sz w:val="32"/>
          <w:szCs w:val="32"/>
        </w:rPr>
        <w:t xml:space="preserve">CAPÍTULO XI: NARCOPOLÍTICA EN ECUADOR</w:t>
      </w:r>
    </w:p>
    <w:p>
      <w:pPr>
        <w:pStyle w:val="Heading2"/>
        <w:spacing w:after="200" w:before="300" w:line="250"/>
      </w:pPr>
      <w:r>
        <w:rPr>
          <w:rFonts w:ascii="Times New Roman" w:cs="Times New Roman" w:eastAsia="Times New Roman" w:hAnsi="Times New Roman"/>
          <w:b/>
          <w:bCs/>
          <w:color w:val="1A1F16"/>
          <w:sz w:val="28"/>
          <w:szCs w:val="28"/>
        </w:rPr>
        <w:t xml:space="preserve">11.1 El Caso Metástasis</w:t>
      </w:r>
    </w:p>
    <w:p>
      <w:pPr>
        <w:spacing w:after="200" w:line="250"/>
        <w:ind w:firstLine="480"/>
        <w:jc w:val="both"/>
      </w:pPr>
      <w:r>
        <w:rPr>
          <w:rFonts w:ascii="Times New Roman" w:cs="Times New Roman" w:eastAsia="Times New Roman" w:hAnsi="Times New Roman"/>
          <w:color w:val="2D3329"/>
          <w:sz w:val="22"/>
          <w:szCs w:val="22"/>
        </w:rPr>
        <w:t xml:space="preserve">El caso Metástasis, descubierto en 2023, reveló una red de narcopolítica que había capturado parte del sistema judicial ecuatoriano. La operación involucraba narcotraficantes presos que, desde las cárceles, coordinaban con jueces, fiscales, policías y políticos para obtener beneficios judiciales a cambio de sobornos millonarios. Los narcotraficantes entregaban licores finos, joyas y fajos de billetes a cambio de fallos favorables y libertades anticipadas.</w:t>
      </w:r>
    </w:p>
    <w:p>
      <w:pPr>
        <w:spacing w:after="200" w:line="250"/>
        <w:ind w:firstLine="480"/>
        <w:jc w:val="both"/>
      </w:pPr>
      <w:r>
        <w:rPr>
          <w:rFonts w:ascii="Times New Roman" w:cs="Times New Roman" w:eastAsia="Times New Roman" w:hAnsi="Times New Roman"/>
          <w:color w:val="2D3329"/>
          <w:sz w:val="22"/>
          <w:szCs w:val="22"/>
        </w:rPr>
        <w:t xml:space="preserve">La investigación destapó que el narcotráfico había logrado infiltrar los tres poderes del Estado: el Judicial, a través de jueces y fiscales corruptos; el Ejecutivo, mediante funcionarios que facilitaban contratos y permisos; y el Legislativo, a través de políticos que obtenían financiamiento de estructuras criminales. Esta infiltración explica en parte el colapso del sistema de seguridad durante los gobiernos post-correístas.</w:t>
      </w:r>
    </w:p>
    <w:p>
      <w:pPr>
        <w:pStyle w:val="Heading2"/>
        <w:spacing w:after="200" w:before="300" w:line="250"/>
      </w:pPr>
      <w:r>
        <w:rPr>
          <w:rFonts w:ascii="Times New Roman" w:cs="Times New Roman" w:eastAsia="Times New Roman" w:hAnsi="Times New Roman"/>
          <w:b/>
          <w:bCs/>
          <w:color w:val="1A1F16"/>
          <w:sz w:val="28"/>
          <w:szCs w:val="28"/>
        </w:rPr>
        <w:t xml:space="preserve">11.2 Figuras Vinculadas a Narcopolítica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500"/>
        <w:gridCol w:w="2000"/>
        <w:gridCol w:w="1000"/>
        <w:gridCol w:w="3500"/>
      </w:tblGrid>
      <w:tr>
        <w:trPr>
          <w:tblHeader/>
        </w:trPr>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Nombre</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Cargo</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Nivel</w:t>
            </w:r>
          </w:p>
        </w:tc>
        <w:tc>
          <w:tcPr>
            <w:tcBorders>
              <w:top w:val="single" w:color="94A3B8" w:sz="1"/>
              <w:left w:val="single" w:color="94A3B8" w:sz="1"/>
              <w:bottom w:val="single" w:color="94A3B8" w:sz="1"/>
              <w:right w:val="single" w:color="94A3B8" w:sz="1"/>
            </w:tcBorders>
            <w:shd w:fill="F8FAF7" w:val="clear"/>
          </w:tcPr>
          <w:p>
            <w:pPr>
              <w:jc w:val="center"/>
            </w:pPr>
            <w:r>
              <w:rPr>
                <w:rFonts w:ascii="Times New Roman" w:cs="Times New Roman" w:eastAsia="Times New Roman" w:hAnsi="Times New Roman"/>
                <w:b/>
                <w:bCs/>
                <w:color w:val="1A1F16"/>
                <w:sz w:val="18"/>
                <w:szCs w:val="18"/>
              </w:rPr>
              <w:t xml:space="preserve">Vinculación</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Leandro Norero</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Narcotraficante</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5</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Narcotraficante que operó una red de corrupción desde la cárcel, involucrando ju...</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Washington Pérez</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Juez</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5</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Juez vinculado a la red de narcopolítica Metástasis. Procesado por recibir sobor...</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María Augusta Paredes</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Jueza</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5</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Jueza vinculada a narcotráfico, parte de la red que operaba desde el sistema jud...</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Danilo Carrera</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Empresario</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5</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Empresario vinculado a lavado de dinero proveniente del narcotráfico....</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Ximena Guerrón</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Fiscal</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5</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Fiscal vinculada a la red de narcopolítica, procesada por nexos con el crimen or...</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Carlos Villamar</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Funcionario</w:t>
            </w:r>
          </w:p>
        </w:tc>
        <w:tc>
          <w:tcPr>
            <w:tcBorders>
              <w:top w:val="single" w:color="94A3B8" w:sz="1"/>
              <w:left w:val="single" w:color="94A3B8" w:sz="1"/>
              <w:bottom w:val="single" w:color="94A3B8" w:sz="1"/>
              <w:right w:val="single" w:color="94A3B8" w:sz="1"/>
            </w:tcBorders>
          </w:tcPr>
          <w:p>
            <w:pPr>
              <w:jc w:val="center"/>
            </w:pPr>
            <w:r>
              <w:rPr>
                <w:rFonts w:ascii="Times New Roman" w:cs="Times New Roman" w:eastAsia="Times New Roman" w:hAnsi="Times New Roman"/>
                <w:color w:val="2D3329"/>
                <w:sz w:val="16"/>
                <w:szCs w:val="16"/>
              </w:rPr>
              <w:t xml:space="preserve">5</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2D3329"/>
                <w:sz w:val="16"/>
                <w:szCs w:val="16"/>
              </w:rPr>
              <w:t xml:space="preserve">Funcionario vinculado a estructuras narcotraficantes con influencia política....</w:t>
            </w:r>
          </w:p>
        </w:tc>
      </w:tr>
    </w:tbl>
    <w:p>
      <w:pPr>
        <w:spacing w:after="300" w:before="100"/>
        <w:jc w:val="center"/>
      </w:pPr>
      <w:r>
        <w:rPr>
          <w:rFonts w:ascii="Times New Roman" w:cs="Times New Roman" w:eastAsia="Times New Roman" w:hAnsi="Times New Roman"/>
          <w:i/>
          <w:iCs/>
          <w:color w:val="94A3B8"/>
          <w:sz w:val="18"/>
          <w:szCs w:val="18"/>
        </w:rPr>
        <w:t xml:space="preserve">Tabla 11.1: Figuras vinculadas a narcopolítica</w:t>
      </w:r>
    </w:p>
    <w:p>
      <w:pPr>
        <w:pStyle w:val="Heading2"/>
        <w:spacing w:after="200" w:before="300" w:line="250"/>
      </w:pPr>
      <w:r>
        <w:rPr>
          <w:rFonts w:ascii="Times New Roman" w:cs="Times New Roman" w:eastAsia="Times New Roman" w:hAnsi="Times New Roman"/>
          <w:b/>
          <w:bCs/>
          <w:color w:val="1A1F16"/>
          <w:sz w:val="28"/>
          <w:szCs w:val="28"/>
        </w:rPr>
        <w:t xml:space="preserve">11.3 El Caso Leandro Norero</w:t>
      </w:r>
    </w:p>
    <w:p>
      <w:pPr>
        <w:spacing w:after="200" w:line="250"/>
        <w:ind w:firstLine="480"/>
        <w:jc w:val="both"/>
      </w:pPr>
      <w:r>
        <w:rPr>
          <w:rFonts w:ascii="Times New Roman" w:cs="Times New Roman" w:eastAsia="Times New Roman" w:hAnsi="Times New Roman"/>
          <w:color w:val="2D3329"/>
          <w:sz w:val="22"/>
          <w:szCs w:val="22"/>
        </w:rPr>
        <w:t xml:space="preserve">Leandro Norero, narcotraficante preso, operó desde la cárcel una de las redes de corrupción más grandes descubiertas en Ecuador. Con la ayuda de abogados, jueces y funcionarios corruptos, Norero logró beneficios judiciales, comunicación sin restricciones, y hasta fiestas dentro del penal. Su red llegó a involucrar a más de 30 personas entre jueces, fiscales, policías y políticos.</w:t>
      </w:r>
    </w:p>
    <w:p>
      <w:pPr>
        <w:spacing w:after="200" w:line="250"/>
        <w:ind w:firstLine="480"/>
        <w:jc w:val="both"/>
      </w:pPr>
      <w:r>
        <w:rPr>
          <w:rFonts w:ascii="Times New Roman" w:cs="Times New Roman" w:eastAsia="Times New Roman" w:hAnsi="Times New Roman"/>
          <w:color w:val="2D3329"/>
          <w:sz w:val="22"/>
          <w:szCs w:val="22"/>
        </w:rPr>
        <w:t xml:space="preserve">El caso Norero demostró cómo el crimen organizado había logrado penetrar las instituciones del Estado ecuatoriano. La corrupción no se limitaba a sobornos aislados, sino que conformaba un sistema estructurado donde los narcotraficantes tenían acceso privilegiado al sistema judicial. Esta infiltración es una de las causas del colapso del sistema de seguridad que sufrió Ecuador a partir de 2020.</w:t>
      </w:r>
    </w:p>
    <w:p>
      <w:pPr>
        <w:pStyle w:val="Heading1"/>
        <w:spacing w:after="200" w:before="300" w:line="250"/>
      </w:pPr>
      <w:r>
        <w:rPr>
          <w:rFonts w:ascii="Times New Roman" w:cs="Times New Roman" w:eastAsia="Times New Roman" w:hAnsi="Times New Roman"/>
          <w:b/>
          <w:bCs/>
          <w:color w:val="1A1F16"/>
          <w:sz w:val="32"/>
          <w:szCs w:val="32"/>
        </w:rPr>
        <w:t xml:space="preserve">CAPÍTULO XII: CONCLUSIONES</w:t>
      </w:r>
    </w:p>
    <w:p>
      <w:pPr>
        <w:pStyle w:val="Heading2"/>
        <w:spacing w:after="200" w:before="300" w:line="250"/>
      </w:pPr>
      <w:r>
        <w:rPr>
          <w:rFonts w:ascii="Times New Roman" w:cs="Times New Roman" w:eastAsia="Times New Roman" w:hAnsi="Times New Roman"/>
          <w:b/>
          <w:bCs/>
          <w:color w:val="1A1F16"/>
          <w:sz w:val="28"/>
          <w:szCs w:val="28"/>
        </w:rPr>
        <w:t xml:space="preserve">12.1 Síntesis de Hallazgos Actualizados</w:t>
      </w:r>
    </w:p>
    <w:p>
      <w:pPr>
        <w:spacing w:after="200" w:line="250"/>
        <w:ind w:firstLine="480"/>
        <w:jc w:val="both"/>
      </w:pPr>
      <w:r>
        <w:rPr>
          <w:rFonts w:ascii="Times New Roman" w:cs="Times New Roman" w:eastAsia="Times New Roman" w:hAnsi="Times New Roman"/>
          <w:color w:val="2D3329"/>
          <w:sz w:val="22"/>
          <w:szCs w:val="22"/>
        </w:rPr>
        <w:t xml:space="preserve">Esta investigación actualizada ha documentado: 154 personas identificadas como parte de las redes anticorreistas, incluyendo el gobierno de Noboa/ADN, los actores del golpe de estado, y figuras de la narcopolítica; 59 casos de corrupción que involucran a figuras anticorreistas por un monto superior a 7,373 millones de dólares; 20 tránsfugas de la Revolución Ciudadana; y múltiples relaciones entre actores que demuestran la coordinación del anticorreísmo.</w:t>
      </w:r>
    </w:p>
    <w:p>
      <w:pPr>
        <w:pStyle w:val="Heading2"/>
        <w:spacing w:after="200" w:before="300" w:line="250"/>
      </w:pPr>
      <w:r>
        <w:rPr>
          <w:rFonts w:ascii="Times New Roman" w:cs="Times New Roman" w:eastAsia="Times New Roman" w:hAnsi="Times New Roman"/>
          <w:b/>
          <w:bCs/>
          <w:color w:val="1A1F16"/>
          <w:sz w:val="28"/>
          <w:szCs w:val="28"/>
        </w:rPr>
        <w:t xml:space="preserve">12.2 Sobre el Gobierno de Noboa/ADN</w:t>
      </w:r>
    </w:p>
    <w:p>
      <w:pPr>
        <w:spacing w:after="200" w:line="250"/>
        <w:ind w:firstLine="480"/>
        <w:jc w:val="both"/>
      </w:pPr>
      <w:r>
        <w:rPr>
          <w:rFonts w:ascii="Times New Roman" w:cs="Times New Roman" w:eastAsia="Times New Roman" w:hAnsi="Times New Roman"/>
          <w:color w:val="2D3329"/>
          <w:sz w:val="22"/>
          <w:szCs w:val="22"/>
        </w:rPr>
        <w:t xml:space="preserve">El gobierno de Daniel Noboa representa la continuación del anticorreísmo bajo una nueva sigla. Caracterizado por su inestabilidad ministerial, conflictos de interés generalizados, y la continuación de políticas de represión sin resultados efectivos en materia de seguridad, el gobierno de ADN ha profundizado la crisis institucional heredada de Lasso y Moreno.</w:t>
      </w:r>
    </w:p>
    <w:p>
      <w:pPr>
        <w:pStyle w:val="Heading2"/>
        <w:spacing w:after="200" w:before="300" w:line="250"/>
      </w:pPr>
      <w:r>
        <w:rPr>
          <w:rFonts w:ascii="Times New Roman" w:cs="Times New Roman" w:eastAsia="Times New Roman" w:hAnsi="Times New Roman"/>
          <w:b/>
          <w:bCs/>
          <w:color w:val="1A1F16"/>
          <w:sz w:val="28"/>
          <w:szCs w:val="28"/>
        </w:rPr>
        <w:t xml:space="preserve">12.3 Sobre el Golpe de Estado</w:t>
      </w:r>
    </w:p>
    <w:p>
      <w:pPr>
        <w:spacing w:after="200" w:line="250"/>
        <w:ind w:firstLine="480"/>
        <w:jc w:val="both"/>
      </w:pPr>
      <w:r>
        <w:rPr>
          <w:rFonts w:ascii="Times New Roman" w:cs="Times New Roman" w:eastAsia="Times New Roman" w:hAnsi="Times New Roman"/>
          <w:color w:val="2D3329"/>
          <w:sz w:val="22"/>
          <w:szCs w:val="22"/>
        </w:rPr>
        <w:t xml:space="preserve">La 'muerte cruzada' de Guillermo Lasso constituyó un golpe de estado parlamentario que debilitó definitivamente la institucionalidad ecuatoriana. Los actores que avalaron el golpe, incluyendo asambleístas, consejeros del CPCCS, jueces y medios de comunicación, forman parte de la red anticorreista documentada en esta investigación.</w:t>
      </w:r>
    </w:p>
    <w:p>
      <w:pPr>
        <w:pStyle w:val="Heading2"/>
        <w:spacing w:after="200" w:before="300" w:line="250"/>
      </w:pPr>
      <w:r>
        <w:rPr>
          <w:rFonts w:ascii="Times New Roman" w:cs="Times New Roman" w:eastAsia="Times New Roman" w:hAnsi="Times New Roman"/>
          <w:b/>
          <w:bCs/>
          <w:color w:val="1A1F16"/>
          <w:sz w:val="28"/>
          <w:szCs w:val="28"/>
        </w:rPr>
        <w:t xml:space="preserve">12.4 Sobre la Narcopolítica</w:t>
      </w:r>
    </w:p>
    <w:p>
      <w:pPr>
        <w:spacing w:after="200" w:line="250"/>
        <w:ind w:firstLine="480"/>
        <w:jc w:val="both"/>
      </w:pPr>
      <w:r>
        <w:rPr>
          <w:rFonts w:ascii="Times New Roman" w:cs="Times New Roman" w:eastAsia="Times New Roman" w:hAnsi="Times New Roman"/>
          <w:color w:val="2D3329"/>
          <w:sz w:val="22"/>
          <w:szCs w:val="22"/>
        </w:rPr>
        <w:t xml:space="preserve">El caso Metástasis reveló la captura del sistema judicial por parte del crimen organizado. Esta infiltración explica en parte el colapso de la seguridad durante los gobiernos post-correístas, cuando las instituciones encargadas de la justicia estaban siendo corrompidas por el narcotráfico. La lucha contra el correísmo sirvió de distracción mientras el crimen organizado tomaba control de instituciones clave.</w:t>
      </w:r>
    </w:p>
    <w:p>
      <w:pPr>
        <w:pStyle w:val="Heading2"/>
        <w:spacing w:after="200" w:before="300" w:line="250"/>
      </w:pPr>
      <w:r>
        <w:rPr>
          <w:rFonts w:ascii="Times New Roman" w:cs="Times New Roman" w:eastAsia="Times New Roman" w:hAnsi="Times New Roman"/>
          <w:b/>
          <w:bCs/>
          <w:color w:val="1A1F16"/>
          <w:sz w:val="28"/>
          <w:szCs w:val="28"/>
        </w:rPr>
        <w:t xml:space="preserve">12.5 Reflexión Final</w:t>
      </w:r>
    </w:p>
    <w:p>
      <w:pPr>
        <w:spacing w:after="200" w:line="250"/>
        <w:ind w:firstLine="480"/>
        <w:jc w:val="both"/>
      </w:pPr>
      <w:r>
        <w:rPr>
          <w:rFonts w:ascii="Times New Roman" w:cs="Times New Roman" w:eastAsia="Times New Roman" w:hAnsi="Times New Roman"/>
          <w:color w:val="2D3329"/>
          <w:sz w:val="22"/>
          <w:szCs w:val="22"/>
        </w:rPr>
        <w:t xml:space="preserve">El anticorreísmo en Ecuador no ha sido solo una oposición política legítima, sino una operación coordinada de cambio de régimen que incluyó golpe de estado, lawfare, captura de instituciones, y alianzas con el crimen organizado. La documentación de estas redes es esencial para la memoria histórica y la eventual reconstrucción institucional del país.</w:t>
      </w:r>
    </w:p>
    <w:p>
      <w:pPr>
        <w:pStyle w:val="Heading1"/>
        <w:spacing w:after="200" w:before="300" w:line="250"/>
      </w:pPr>
      <w:r>
        <w:rPr>
          <w:rFonts w:ascii="Times New Roman" w:cs="Times New Roman" w:eastAsia="Times New Roman" w:hAnsi="Times New Roman"/>
          <w:b/>
          <w:bCs/>
          <w:color w:val="1A1F16"/>
          <w:sz w:val="32"/>
          <w:szCs w:val="32"/>
        </w:rPr>
        <w:t xml:space="preserve">ANEXOS</w:t>
      </w:r>
    </w:p>
    <w:p>
      <w:pPr>
        <w:pStyle w:val="Heading2"/>
        <w:spacing w:after="200" w:before="300" w:line="250"/>
      </w:pPr>
      <w:r>
        <w:rPr>
          <w:rFonts w:ascii="Times New Roman" w:cs="Times New Roman" w:eastAsia="Times New Roman" w:hAnsi="Times New Roman"/>
          <w:b/>
          <w:bCs/>
          <w:color w:val="1A1F16"/>
          <w:sz w:val="28"/>
          <w:szCs w:val="28"/>
        </w:rPr>
        <w:t xml:space="preserve">Anexo A: Estadísticas Finales</w:t>
      </w:r>
    </w:p>
    <w:p>
      <w:pPr>
        <w:spacing w:after="200" w:line="250"/>
        <w:ind w:firstLine="480"/>
        <w:jc w:val="both"/>
      </w:pPr>
      <w:r>
        <w:rPr>
          <w:rFonts w:ascii="Times New Roman" w:cs="Times New Roman" w:eastAsia="Times New Roman" w:hAnsi="Times New Roman"/>
          <w:color w:val="2D3329"/>
          <w:sz w:val="22"/>
          <w:szCs w:val="22"/>
        </w:rPr>
        <w:t xml:space="preserve">Personas identificadas: 154. Casos de corrupción documentados: 59. Monto total en casos de corrupción: USD 7,373,700,000.00. Tránsfugas identificados: 20. Organizaciones políticas: 17. Relaciones mapeadas: más de 30.</w:t>
      </w:r>
    </w:p>
    <w:p>
      <w:pPr>
        <w:pStyle w:val="Heading2"/>
        <w:spacing w:after="200" w:before="300" w:line="250"/>
      </w:pPr>
      <w:r>
        <w:rPr>
          <w:rFonts w:ascii="Times New Roman" w:cs="Times New Roman" w:eastAsia="Times New Roman" w:hAnsi="Times New Roman"/>
          <w:b/>
          <w:bCs/>
          <w:color w:val="1A1F16"/>
          <w:sz w:val="28"/>
          <w:szCs w:val="28"/>
        </w:rPr>
        <w:t xml:space="preserve">Anexo B: Categorías de Personas</w:t>
      </w:r>
    </w:p>
    <w:p>
      <w:pPr>
        <w:spacing w:after="200" w:line="250"/>
        <w:ind w:firstLine="480"/>
        <w:jc w:val="both"/>
      </w:pPr>
      <w:r>
        <w:rPr>
          <w:rFonts w:ascii="Times New Roman" w:cs="Times New Roman" w:eastAsia="Times New Roman" w:hAnsi="Times New Roman"/>
          <w:color w:val="2D3329"/>
          <w:sz w:val="22"/>
          <w:szCs w:val="22"/>
        </w:rPr>
        <w:t xml:space="preserve">Políticos: 45. Figuras judiciales: 23. Medios de comunicación: 22. Empresarios: 17. Internacionales: 8. Académicos: 7. Militares/policías: 4. Sociales/ONGs: 3. Religiosos: 2. Narcotraficantes/funcionarios narco: 6. Golpistas: 8. Gobierno ADN: 14.</w:t>
      </w:r>
    </w:p>
    <w:p>
      <w:pPr>
        <w:pStyle w:val="Heading2"/>
        <w:spacing w:after="200" w:before="300" w:line="250"/>
      </w:pPr>
      <w:r>
        <w:rPr>
          <w:rFonts w:ascii="Times New Roman" w:cs="Times New Roman" w:eastAsia="Times New Roman" w:hAnsi="Times New Roman"/>
          <w:b/>
          <w:bCs/>
          <w:color w:val="1A1F16"/>
          <w:sz w:val="28"/>
          <w:szCs w:val="28"/>
        </w:rPr>
        <w:t xml:space="preserve">Anexo C: Base de Datos</w:t>
      </w:r>
    </w:p>
    <w:p>
      <w:pPr>
        <w:spacing w:after="200" w:line="250"/>
        <w:ind w:firstLine="480"/>
        <w:jc w:val="both"/>
      </w:pPr>
      <w:r>
        <w:rPr>
          <w:rFonts w:ascii="Times New Roman" w:cs="Times New Roman" w:eastAsia="Times New Roman" w:hAnsi="Times New Roman"/>
          <w:color w:val="2D3329"/>
          <w:sz w:val="22"/>
          <w:szCs w:val="22"/>
        </w:rPr>
        <w:t xml:space="preserve">La base de datos SQLite completa está disponible en el archivo anticorreismo.db. Contiene 22 tablas relacionales que permiten consultas detalladas por persona, organización, caso de corrupción, o tipo de relación. La base de datos puede ser utilizada para generar análisis adicionales, visualizaciones de redes, y actualizaciones futuras.</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8"/>
        <w:szCs w:val="18"/>
      </w:rPr>
      <w:t xml:space="preserve">Página </w:t>
    </w:r>
    <w:r>
      <w:rPr>
        <w:rFonts w:ascii="Times New Roman" w:cs="Times New Roman" w:eastAsia="Times New Roman" w:hAnsi="Times New Roman"/>
        <w:color w:val="94A3B8"/>
        <w:sz w:val="18"/>
        <w:szCs w:val="18"/>
      </w:rPr>
      <w:fldChar w:fldCharType="begin"/>
      <w:instrText xml:space="preserve">PAGE</w:instrText>
      <w:fldChar w:fldCharType="separate"/>
      <w:fldChar w:fldCharType="end"/>
    </w:r>
    <w:r>
      <w:rPr>
        <w:rFonts w:ascii="Times New Roman" w:cs="Times New Roman" w:eastAsia="Times New Roman" w:hAnsi="Times New Roman"/>
        <w:color w:val="94A3B8"/>
        <w:sz w:val="18"/>
        <w:szCs w:val="18"/>
      </w:rPr>
      <w:t xml:space="preserve"> de </w:t>
    </w:r>
    <w:r>
      <w:rPr>
        <w:rFonts w:ascii="Times New Roman" w:cs="Times New Roman" w:eastAsia="Times New Roman" w:hAnsi="Times New Roman"/>
        <w:color w:val="94A3B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8"/>
        <w:szCs w:val="18"/>
      </w:rPr>
      <w:t xml:space="preserve">— </w:t>
    </w:r>
    <w:r>
      <w:rPr>
        <w:rFonts w:ascii="Times New Roman" w:cs="Times New Roman" w:eastAsia="Times New Roman" w:hAnsi="Times New Roman"/>
        <w:color w:val="94A3B8"/>
        <w:sz w:val="18"/>
        <w:szCs w:val="18"/>
      </w:rPr>
      <w:fldChar w:fldCharType="begin"/>
      <w:instrText xml:space="preserve">PAGE</w:instrText>
      <w:fldChar w:fldCharType="separate"/>
      <w:fldChar w:fldCharType="end"/>
    </w:r>
    <w:r>
      <w:rPr>
        <w:rFonts w:ascii="Times New Roman" w:cs="Times New Roman" w:eastAsia="Times New Roman" w:hAnsi="Times New Roman"/>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El Anticorreísmo en Ecuador - Investigación Actualizada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El Anticorreísmo en Ecuador - Edición Actualizada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D33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1A1F16"/>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F16"/>
      <w:sz w:val="32"/>
      <w:szCs w:val="32"/>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color w:val="1A1F16"/>
      <w:sz w:val="28"/>
      <w:szCs w:val="28"/>
    </w:rPr>
  </w:style>
  <w:style w:type="paragraph" w:styleId="Heading3">
    <w:name w:val="Heading 3"/>
    <w:basedOn w:val="Normal"/>
    <w:next w:val="Normal"/>
    <w:qFormat/>
    <w:pPr>
      <w:spacing w:after="150" w:before="200"/>
      <w:outlineLvl w:val="2"/>
    </w:pPr>
    <w:rPr>
      <w:rFonts w:ascii="Times New Roman" w:cs="Times New Roman" w:eastAsia="Times New Roman" w:hAnsi="Times New Roman"/>
      <w:b/>
      <w:bCs/>
      <w:color w:val="4A55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2026-03-23T18:50:23.024Z</dcterms:created>
  <dcterms:modified xsi:type="dcterms:W3CDTF">2026-03-23T18:50:23.024Z</dcterms:modified>
</cp:coreProperties>
</file>

<file path=docProps/custom.xml><?xml version="1.0" encoding="utf-8"?>
<Properties xmlns="http://schemas.openxmlformats.org/officeDocument/2006/custom-properties" xmlns:vt="http://schemas.openxmlformats.org/officeDocument/2006/docPropsVTypes"/>
</file>