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pStyle w:val="Title"/>
        <w:jc w:val="left"/>
      </w:pPr>
      <w:r>
        <w:t>Especificação de Requisitos de Software</w:t>
      </w:r>
    </w:p>
    <w:p>
      <w:pPr>
        <w:pStyle w:val="Subtitle"/>
      </w:pPr>
      <w:r>
        <w:t>SIMPA Sistema Integrado de Monitoramento e Performance Acadêmica</w:t>
      </w:r>
    </w:p>
    <w:p>
      <w:pPr>
        <w:spacing w:after="8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r>
              <w:rPr>
                <w:rFonts w:ascii="Aptos" w:hAnsi="Aptos"/>
                <w:b/>
                <w:i w:val="0"/>
                <w:color w:val="000000"/>
                <w:sz w:val="20"/>
              </w:rPr>
              <w:t>Projeto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20"/>
              </w:rPr>
              <w:t>SIMPA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r>
              <w:rPr>
                <w:rFonts w:ascii="Aptos" w:hAnsi="Aptos"/>
                <w:b/>
                <w:i w:val="0"/>
                <w:color w:val="000000"/>
                <w:sz w:val="20"/>
              </w:rPr>
              <w:t>Versão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20"/>
              </w:rPr>
              <w:t>1.0.0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r>
              <w:rPr>
                <w:rFonts w:ascii="Aptos" w:hAnsi="Aptos"/>
                <w:b/>
                <w:i w:val="0"/>
                <w:color w:val="000000"/>
                <w:sz w:val="20"/>
              </w:rPr>
              <w:t>Status informado na fonte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20"/>
              </w:rPr>
              <w:t>Revisado e pronto para desenvolvimento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r>
              <w:rPr>
                <w:rFonts w:ascii="Aptos" w:hAnsi="Aptos"/>
                <w:b/>
                <w:i w:val="0"/>
                <w:color w:val="000000"/>
                <w:sz w:val="20"/>
              </w:rPr>
              <w:t>Data de preparação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20"/>
              </w:rPr>
              <w:t>15 de setembro de 2026</w:t>
            </w:r>
          </w:p>
        </w:tc>
      </w:tr>
    </w:tbl>
    <w:p>
      <w:pPr>
        <w:spacing w:after="360"/>
      </w:pPr>
    </w:p>
    <w:p>
      <w:r>
        <w:rPr>
          <w:rFonts w:ascii="Aptos" w:hAnsi="Aptos"/>
          <w:b w:val="0"/>
          <w:i w:val="0"/>
          <w:color w:val="000000"/>
          <w:sz w:val="22"/>
        </w:rPr>
        <w:t>Documento preparado para apresentação aos stakeholders e orientação do desenvolvimento, dos testes e da rastreabilidade do projeto.</w:t>
      </w:r>
    </w:p>
    <w:p>
      <w:r>
        <w:br w:type="page"/>
      </w:r>
    </w:p>
    <w:p>
      <w:pPr>
        <w:pStyle w:val="Heading1"/>
      </w:pPr>
      <w:r>
        <w:t>Controle do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 w:val="true"/>
        </w:trPr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77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Informação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20"/>
              </w:rPr>
              <w:t>Nome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20"/>
              </w:rPr>
              <w:t>Especificação de Requisitos de Software do SIMPA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20"/>
              </w:rPr>
              <w:t>Versão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20"/>
              </w:rPr>
              <w:t>1.0.0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20"/>
              </w:rPr>
              <w:t>Finalidade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20"/>
              </w:rPr>
              <w:t>Formalizar requisitos funcionais e não funcionais para desenvolvimento e testes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20"/>
              </w:rPr>
              <w:t>Situação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20"/>
              </w:rPr>
              <w:t>Documento consolidado para apresentação</w:t>
            </w:r>
          </w:p>
        </w:tc>
      </w:tr>
    </w:tbl>
    <w:p>
      <w:pPr>
        <w:spacing w:after="0"/>
      </w:pPr>
    </w:p>
    <w:p>
      <w:pPr>
        <w:pStyle w:val="Heading1"/>
      </w:pPr>
      <w:r>
        <w:t>Sumário</w:t>
      </w:r>
    </w:p>
    <w:p>
      <w:pPr>
        <w:tabs>
          <w:tab w:pos="9504" w:val="right" w:leader="dot"/>
        </w:tabs>
        <w:spacing w:after="40"/>
      </w:pPr>
      <w:r>
        <w:rPr>
          <w:rFonts w:ascii="Aptos" w:hAnsi="Aptos"/>
          <w:b w:val="0"/>
          <w:i w:val="0"/>
          <w:color w:val="000000"/>
          <w:sz w:val="20"/>
        </w:rPr>
        <w:t>1  Visão geral do projeto</w:t>
      </w:r>
      <w:r>
        <w:rPr>
          <w:rFonts w:ascii="Aptos" w:hAnsi="Aptos"/>
          <w:b w:val="0"/>
          <w:i w:val="0"/>
          <w:color w:val="000000"/>
          <w:sz w:val="20"/>
        </w:rPr>
        <w:tab/>
        <w:t>3</w:t>
      </w:r>
    </w:p>
    <w:p>
      <w:pPr>
        <w:tabs>
          <w:tab w:pos="9504" w:val="right" w:leader="dot"/>
        </w:tabs>
        <w:spacing w:after="40"/>
      </w:pPr>
      <w:r>
        <w:rPr>
          <w:rFonts w:ascii="Aptos" w:hAnsi="Aptos"/>
          <w:b w:val="0"/>
          <w:i w:val="0"/>
          <w:color w:val="000000"/>
          <w:sz w:val="20"/>
        </w:rPr>
        <w:t>2  Escopo</w:t>
      </w:r>
      <w:r>
        <w:rPr>
          <w:rFonts w:ascii="Aptos" w:hAnsi="Aptos"/>
          <w:b w:val="0"/>
          <w:i w:val="0"/>
          <w:color w:val="000000"/>
          <w:sz w:val="20"/>
        </w:rPr>
        <w:tab/>
        <w:t>3</w:t>
      </w:r>
    </w:p>
    <w:p>
      <w:pPr>
        <w:tabs>
          <w:tab w:pos="9504" w:val="right" w:leader="dot"/>
        </w:tabs>
        <w:spacing w:after="40"/>
      </w:pPr>
      <w:r>
        <w:rPr>
          <w:rFonts w:ascii="Aptos" w:hAnsi="Aptos"/>
          <w:b w:val="0"/>
          <w:i w:val="0"/>
          <w:color w:val="000000"/>
          <w:sz w:val="20"/>
        </w:rPr>
        <w:t>3  Premissas</w:t>
      </w:r>
      <w:r>
        <w:rPr>
          <w:rFonts w:ascii="Aptos" w:hAnsi="Aptos"/>
          <w:b w:val="0"/>
          <w:i w:val="0"/>
          <w:color w:val="000000"/>
          <w:sz w:val="20"/>
        </w:rPr>
        <w:tab/>
        <w:t>3</w:t>
      </w:r>
    </w:p>
    <w:p>
      <w:pPr>
        <w:tabs>
          <w:tab w:pos="9504" w:val="right" w:leader="dot"/>
        </w:tabs>
        <w:spacing w:after="40"/>
      </w:pPr>
      <w:r>
        <w:rPr>
          <w:rFonts w:ascii="Aptos" w:hAnsi="Aptos"/>
          <w:b w:val="0"/>
          <w:i w:val="0"/>
          <w:color w:val="000000"/>
          <w:sz w:val="20"/>
        </w:rPr>
        <w:t>4  Restrições</w:t>
      </w:r>
      <w:r>
        <w:rPr>
          <w:rFonts w:ascii="Aptos" w:hAnsi="Aptos"/>
          <w:b w:val="0"/>
          <w:i w:val="0"/>
          <w:color w:val="000000"/>
          <w:sz w:val="20"/>
        </w:rPr>
        <w:tab/>
        <w:t>4</w:t>
      </w:r>
    </w:p>
    <w:p>
      <w:pPr>
        <w:tabs>
          <w:tab w:pos="9504" w:val="right" w:leader="dot"/>
        </w:tabs>
        <w:spacing w:after="40"/>
      </w:pPr>
      <w:r>
        <w:rPr>
          <w:rFonts w:ascii="Aptos" w:hAnsi="Aptos"/>
          <w:b w:val="0"/>
          <w:i w:val="0"/>
          <w:color w:val="000000"/>
          <w:sz w:val="20"/>
        </w:rPr>
        <w:t>5  Matriz resumida de requisitos</w:t>
      </w:r>
      <w:r>
        <w:rPr>
          <w:rFonts w:ascii="Aptos" w:hAnsi="Aptos"/>
          <w:b w:val="0"/>
          <w:i w:val="0"/>
          <w:color w:val="000000"/>
          <w:sz w:val="20"/>
        </w:rPr>
        <w:tab/>
        <w:t>4</w:t>
      </w:r>
    </w:p>
    <w:p>
      <w:pPr>
        <w:tabs>
          <w:tab w:pos="9504" w:val="right" w:leader="dot"/>
        </w:tabs>
        <w:spacing w:after="40"/>
      </w:pPr>
      <w:r>
        <w:rPr>
          <w:rFonts w:ascii="Aptos" w:hAnsi="Aptos"/>
          <w:b w:val="0"/>
          <w:i w:val="0"/>
          <w:color w:val="000000"/>
          <w:sz w:val="20"/>
        </w:rPr>
        <w:t>6  Requisitos funcionais</w:t>
      </w:r>
      <w:r>
        <w:rPr>
          <w:rFonts w:ascii="Aptos" w:hAnsi="Aptos"/>
          <w:b w:val="0"/>
          <w:i w:val="0"/>
          <w:color w:val="000000"/>
          <w:sz w:val="20"/>
        </w:rPr>
        <w:tab/>
        <w:t>6</w:t>
      </w:r>
    </w:p>
    <w:p>
      <w:pPr>
        <w:tabs>
          <w:tab w:pos="9504" w:val="right" w:leader="dot"/>
        </w:tabs>
        <w:spacing w:after="40"/>
      </w:pPr>
      <w:r>
        <w:rPr>
          <w:rFonts w:ascii="Aptos" w:hAnsi="Aptos"/>
          <w:b w:val="0"/>
          <w:i w:val="0"/>
          <w:color w:val="000000"/>
          <w:sz w:val="20"/>
        </w:rPr>
        <w:t>7  Requisitos não funcionais</w:t>
      </w:r>
      <w:r>
        <w:rPr>
          <w:rFonts w:ascii="Aptos" w:hAnsi="Aptos"/>
          <w:b w:val="0"/>
          <w:i w:val="0"/>
          <w:color w:val="000000"/>
          <w:sz w:val="20"/>
        </w:rPr>
        <w:tab/>
        <w:t>10</w:t>
      </w:r>
    </w:p>
    <w:p>
      <w:pPr>
        <w:tabs>
          <w:tab w:pos="9504" w:val="right" w:leader="dot"/>
        </w:tabs>
        <w:spacing w:after="40"/>
      </w:pPr>
      <w:r>
        <w:rPr>
          <w:rFonts w:ascii="Aptos" w:hAnsi="Aptos"/>
          <w:b w:val="0"/>
          <w:i w:val="0"/>
          <w:color w:val="000000"/>
          <w:sz w:val="20"/>
        </w:rPr>
        <w:t>8  Critérios de aceitação críticos</w:t>
      </w:r>
      <w:r>
        <w:rPr>
          <w:rFonts w:ascii="Aptos" w:hAnsi="Aptos"/>
          <w:b w:val="0"/>
          <w:i w:val="0"/>
          <w:color w:val="000000"/>
          <w:sz w:val="20"/>
        </w:rPr>
        <w:tab/>
        <w:t>14</w:t>
      </w:r>
    </w:p>
    <w:p>
      <w:pPr>
        <w:tabs>
          <w:tab w:pos="9504" w:val="right" w:leader="dot"/>
        </w:tabs>
        <w:spacing w:after="40"/>
      </w:pPr>
      <w:r>
        <w:rPr>
          <w:rFonts w:ascii="Aptos" w:hAnsi="Aptos"/>
          <w:b w:val="0"/>
          <w:i w:val="0"/>
          <w:color w:val="000000"/>
          <w:sz w:val="20"/>
        </w:rPr>
        <w:t>9  Matriz de rastreabilidade</w:t>
      </w:r>
      <w:r>
        <w:rPr>
          <w:rFonts w:ascii="Aptos" w:hAnsi="Aptos"/>
          <w:b w:val="0"/>
          <w:i w:val="0"/>
          <w:color w:val="000000"/>
          <w:sz w:val="20"/>
        </w:rPr>
        <w:tab/>
        <w:t>14</w:t>
      </w:r>
    </w:p>
    <w:p>
      <w:pPr>
        <w:tabs>
          <w:tab w:pos="9504" w:val="right" w:leader="dot"/>
        </w:tabs>
        <w:spacing w:after="40"/>
      </w:pPr>
      <w:r>
        <w:rPr>
          <w:rFonts w:ascii="Aptos" w:hAnsi="Aptos"/>
          <w:b w:val="0"/>
          <w:i w:val="0"/>
          <w:color w:val="000000"/>
          <w:sz w:val="20"/>
        </w:rPr>
        <w:t>10  Glossário</w:t>
      </w:r>
      <w:r>
        <w:rPr>
          <w:rFonts w:ascii="Aptos" w:hAnsi="Aptos"/>
          <w:b w:val="0"/>
          <w:i w:val="0"/>
          <w:color w:val="000000"/>
          <w:sz w:val="20"/>
        </w:rPr>
        <w:tab/>
        <w:t>15</w:t>
      </w:r>
    </w:p>
    <w:p>
      <w:r>
        <w:br w:type="page"/>
      </w:r>
    </w:p>
    <w:p>
      <w:pPr>
        <w:pStyle w:val="Heading1"/>
      </w:pPr>
      <w:r>
        <w:t>1 Visão geral do projeto</w:t>
      </w:r>
    </w:p>
    <w:p>
      <w:pPr>
        <w:pStyle w:val="Heading2"/>
      </w:pPr>
      <w:r>
        <w:t>1.1 Contexto e finalidade</w:t>
      </w:r>
    </w:p>
    <w:p>
      <w:r>
        <w:t>O SIMPA é uma plataforma acadêmica destinada ao registro, ao cálculo, à análise e ao monitoramento do desempenho estatístico e da frequência de estudantes em disciplinas e turmas. A solução reúne informações acadêmicas, calcula indicadores, apresenta visualizações explicativas, classifica riscos e gera relatórios operacionais e gerenciais.</w:t>
      </w:r>
    </w:p>
    <w:p>
      <w:pPr>
        <w:pStyle w:val="Heading2"/>
      </w:pPr>
      <w:r>
        <w:t>1.2 Objetivos</w:t>
      </w:r>
    </w:p>
    <w:p>
      <w:pPr>
        <w:pStyle w:val="ListBullet"/>
      </w:pPr>
      <w:r>
        <w:t>Centralizar os dados cadastrais e acadêmicos de alunos, turmas e disciplinas.</w:t>
      </w:r>
    </w:p>
    <w:p>
      <w:pPr>
        <w:pStyle w:val="ListBullet"/>
      </w:pPr>
      <w:r>
        <w:t>Automatizar o cálculo de indicadores estatísticos de desempenho e frequência.</w:t>
      </w:r>
    </w:p>
    <w:p>
      <w:pPr>
        <w:pStyle w:val="ListBullet"/>
      </w:pPr>
      <w:r>
        <w:t>Identificar alunos em risco acadêmico com justificativas compreensíveis.</w:t>
      </w:r>
    </w:p>
    <w:p>
      <w:pPr>
        <w:pStyle w:val="ListBullet"/>
      </w:pPr>
      <w:r>
        <w:t>Disponibilizar consultas integradas, visualizações gráficas e relatórios exportáveis.</w:t>
      </w:r>
    </w:p>
    <w:p>
      <w:pPr>
        <w:pStyle w:val="ListBullet"/>
      </w:pPr>
      <w:r>
        <w:t>Assegurar validação de entradas, controle de acesso, auditoria e proteção de dados pessoais.</w:t>
      </w:r>
    </w:p>
    <w:p>
      <w:pPr>
        <w:pStyle w:val="Heading2"/>
      </w:pPr>
      <w:r>
        <w:t>1.3 Público e uso do documento</w:t>
      </w:r>
    </w:p>
    <w:p>
      <w:r>
        <w:t>Este documento orienta a implementação, a elaboração dos testes e a rastreabilidade dos requisitos do SIMPA.</w:t>
      </w:r>
    </w:p>
    <w:p>
      <w:pPr>
        <w:pStyle w:val="Heading1"/>
      </w:pPr>
      <w:r>
        <w:t>2 Escopo</w:t>
      </w:r>
    </w:p>
    <w:p>
      <w:pPr>
        <w:pStyle w:val="Heading2"/>
      </w:pPr>
      <w:r>
        <w:t>2.1 Escopo incluído</w:t>
      </w:r>
    </w:p>
    <w:p>
      <w:pPr>
        <w:pStyle w:val="ListBullet"/>
      </w:pPr>
      <w:r>
        <w:t>Cadastro e manutenção de alunos, turmas e disciplinas.</w:t>
      </w:r>
    </w:p>
    <w:p>
      <w:pPr>
        <w:pStyle w:val="ListBullet"/>
      </w:pPr>
      <w:r>
        <w:t>Registro e manutenção de avaliações e frequência.</w:t>
      </w:r>
    </w:p>
    <w:p>
      <w:pPr>
        <w:pStyle w:val="ListBullet"/>
      </w:pPr>
      <w:r>
        <w:t>Consulta acadêmica integrada por aluno.</w:t>
      </w:r>
    </w:p>
    <w:p>
      <w:pPr>
        <w:pStyle w:val="ListBullet"/>
      </w:pPr>
      <w:r>
        <w:t>Cálculo de indicadores estatísticos em diferentes níveis de agregação.</w:t>
      </w:r>
    </w:p>
    <w:p>
      <w:pPr>
        <w:pStyle w:val="ListBullet"/>
      </w:pPr>
      <w:r>
        <w:t>Visualizações gráficas operacionais e analíticas.</w:t>
      </w:r>
    </w:p>
    <w:p>
      <w:pPr>
        <w:pStyle w:val="ListBullet"/>
      </w:pPr>
      <w:r>
        <w:t>Classificação automática de risco acadêmico.</w:t>
      </w:r>
    </w:p>
    <w:p>
      <w:pPr>
        <w:pStyle w:val="ListBullet"/>
      </w:pPr>
      <w:r>
        <w:t>API RESTful com autenticação, autorização, validação e respostas padronizadas.</w:t>
      </w:r>
    </w:p>
    <w:p>
      <w:pPr>
        <w:pStyle w:val="ListBullet"/>
      </w:pPr>
      <w:r>
        <w:t>Geração e exportação de relatórios.</w:t>
      </w:r>
    </w:p>
    <w:p>
      <w:pPr>
        <w:pStyle w:val="ListBullet"/>
      </w:pPr>
      <w:r>
        <w:t>Auditoria de requisições e logs estruturados.</w:t>
      </w:r>
    </w:p>
    <w:p>
      <w:pPr>
        <w:pStyle w:val="Heading1"/>
      </w:pPr>
      <w:r>
        <w:t>3 Premissas</w:t>
      </w:r>
    </w:p>
    <w:p>
      <w:pPr>
        <w:ind w:left="425" w:hanging="425"/>
      </w:pPr>
      <w:r>
        <w:t>1.  A instituição utiliza escala numérica de notas de 0,00 a 10,00 e apuração de frequência de 0,00% a 100,00%.</w:t>
      </w:r>
    </w:p>
    <w:p>
      <w:pPr>
        <w:ind w:left="425" w:hanging="425"/>
      </w:pPr>
      <w:r>
        <w:t>2.  O banco de dados inicial de demonstração e os ambientes de desenvolvimento e teste utilizam dados totalmente sintéticos ou anonimizados, em conformidade com a LGPD.</w:t>
      </w:r>
    </w:p>
    <w:p>
      <w:pPr>
        <w:ind w:left="425" w:hanging="425"/>
      </w:pPr>
      <w:r>
        <w:t>3.  A persistência é relacional, com PostgreSQL em produção ou SQLite no ambiente acadêmico e de desenvolvimento.</w:t>
      </w:r>
    </w:p>
    <w:p>
      <w:pPr>
        <w:pStyle w:val="Heading1"/>
      </w:pPr>
      <w:r>
        <w:t>4 Restrições</w:t>
      </w:r>
    </w:p>
    <w:p>
      <w:pPr>
        <w:ind w:left="425" w:hanging="425"/>
      </w:pPr>
      <w:r>
        <w:t>1.  Nenhuma senha pode ser persistida em texto simples; devem ser utilizados algoritmos de hash forte, como Argon2 ou bcrypt.</w:t>
      </w:r>
    </w:p>
    <w:p>
      <w:pPr>
        <w:ind w:left="425" w:hanging="425"/>
      </w:pPr>
      <w:r>
        <w:t>2.  Turmas com status encerrada não permitem novos alunos nem novos lançamentos de notas ou frequência.</w:t>
      </w:r>
    </w:p>
    <w:p>
      <w:pPr>
        <w:ind w:left="425" w:hanging="425"/>
      </w:pPr>
      <w:r>
        <w:t>3.  Entidades com histórico ativo não podem ser excluídas fisicamente; alunos com avaliações e turmas com matrículas somente podem ter o status alterado para inativo.</w:t>
      </w:r>
    </w:p>
    <w:p>
      <w:pPr>
        <w:pStyle w:val="Heading1"/>
      </w:pPr>
      <w:r>
        <w:t>5 Matriz resumida de requisitos</w:t>
      </w:r>
    </w:p>
    <w:p>
      <w:pPr>
        <w:pStyle w:val="Heading2"/>
      </w:pPr>
      <w:r>
        <w:t>5.1 Requisitos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 w:val="true"/>
        </w:trPr>
        <w:tc>
          <w:tcPr>
            <w:tcW w:type="dxa" w:w="12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86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Título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RF01</w:t>
            </w:r>
          </w:p>
        </w:tc>
        <w:tc>
          <w:tcPr>
            <w:tcW w:type="dxa" w:w="86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Cadastro de alunos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RF02</w:t>
            </w:r>
          </w:p>
        </w:tc>
        <w:tc>
          <w:tcPr>
            <w:tcW w:type="dxa" w:w="86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Cadastro de turmas e disciplinas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RF03</w:t>
            </w:r>
          </w:p>
        </w:tc>
        <w:tc>
          <w:tcPr>
            <w:tcW w:type="dxa" w:w="86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Registro de avaliações e frequência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RF04</w:t>
            </w:r>
          </w:p>
        </w:tc>
        <w:tc>
          <w:tcPr>
            <w:tcW w:type="dxa" w:w="86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Consulta acadêmica integrada do aluno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RF05</w:t>
            </w:r>
          </w:p>
        </w:tc>
        <w:tc>
          <w:tcPr>
            <w:tcW w:type="dxa" w:w="86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Cálculo de indicadores estatísticos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RF06</w:t>
            </w:r>
          </w:p>
        </w:tc>
        <w:tc>
          <w:tcPr>
            <w:tcW w:type="dxa" w:w="86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Visualização gráfica informativa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RF07</w:t>
            </w:r>
          </w:p>
        </w:tc>
        <w:tc>
          <w:tcPr>
            <w:tcW w:type="dxa" w:w="86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Classificação automática de risco acadêmico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RF08</w:t>
            </w:r>
          </w:p>
        </w:tc>
        <w:tc>
          <w:tcPr>
            <w:tcW w:type="dxa" w:w="86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API RESTful estruturada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RF09</w:t>
            </w:r>
          </w:p>
        </w:tc>
        <w:tc>
          <w:tcPr>
            <w:tcW w:type="dxa" w:w="86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Autenticação e controle de acesso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RF10</w:t>
            </w:r>
          </w:p>
        </w:tc>
        <w:tc>
          <w:tcPr>
            <w:tcW w:type="dxa" w:w="86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Validação universal de entrada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RF11</w:t>
            </w:r>
          </w:p>
        </w:tc>
        <w:tc>
          <w:tcPr>
            <w:tcW w:type="dxa" w:w="86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Geração e exportação de relatórios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RF12</w:t>
            </w:r>
          </w:p>
        </w:tc>
        <w:tc>
          <w:tcPr>
            <w:tcW w:type="dxa" w:w="86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Auditoria e logs de requisições</w:t>
            </w:r>
          </w:p>
        </w:tc>
      </w:tr>
    </w:tbl>
    <w:p>
      <w:pPr>
        <w:spacing w:after="0"/>
      </w:pPr>
    </w:p>
    <w:p>
      <w:pPr>
        <w:pStyle w:val="Heading2"/>
      </w:pPr>
      <w:r>
        <w:t>5.2 Requisitos não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 w:val="true"/>
        </w:trPr>
        <w:tc>
          <w:tcPr>
            <w:tcW w:type="dxa" w:w="10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68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Categoria</w:t>
            </w:r>
          </w:p>
        </w:tc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Prioridade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RNF01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Arquitetura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RNF02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Manutenibilidade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RNF03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Contrato de API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RNF04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Privacidade e LGPD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RNF05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Documentação técnica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RNF06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Organização de pastas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Média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RNF07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Testabilidade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Média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RNF08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Persistência e integridade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Média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RNF09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Interpretabilidade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RNF10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Desempenho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Baixa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RNF11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Usabilidade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Média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RNF12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Acessibilidade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Média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RNF13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Rastreabilidade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Média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RNF14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Confiabilidade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RNF15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Segurança de entrada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Alta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RNF16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Logs estruturados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Média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 Requisitos funcionais</w:t>
      </w:r>
    </w:p>
    <w:p>
      <w:r>
        <w:t>Cada requisito apresenta uma declaração objetiva, as regras aplicáveis e os respectivos critérios de aceitação.</w:t>
      </w:r>
    </w:p>
    <w:p>
      <w:pPr>
        <w:pStyle w:val="Heading2"/>
        <w:keepNext/>
        <w:spacing w:before="200" w:after="80"/>
      </w:pPr>
      <w:r>
        <w:rPr>
          <w:sz w:val="23"/>
        </w:rPr>
        <w:t>RF01  Cadastro de alunos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rPr>
          <w:cantSplit w:val="true"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0000"/>
                <w:sz w:val="19"/>
              </w:rPr>
              <w:t>Declaração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O sistema deve permitir cadastrar, atualizar, inativar e consultar alunos.</w:t>
            </w:r>
          </w:p>
        </w:tc>
      </w:tr>
      <w:tr>
        <w:trPr>
          <w:cantSplit w:val="true"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0000"/>
                <w:sz w:val="19"/>
              </w:rPr>
              <w:t>Regras e dados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Atributos: nome_completo, cpf opcional, email, telefone opcional, matricula, data_nascimento opcional, turma_id, curso e status. Status permitidos: ativo, inativo, transferido, concluido e evadido. A matrícula deve ser única. O CPF, quando informado, deve ter sintaxe válida e ser único.</w:t>
            </w:r>
          </w:p>
        </w:tc>
      </w:tr>
    </w:tbl>
    <w:p>
      <w:pPr>
        <w:spacing w:before="100" w:after="40"/>
      </w:pPr>
      <w:r>
        <w:rPr>
          <w:rFonts w:ascii="Aptos" w:hAnsi="Aptos"/>
          <w:b/>
          <w:i w:val="0"/>
          <w:color w:val="000000"/>
          <w:sz w:val="21"/>
        </w:rPr>
        <w:t>Critérios de aceitação</w:t>
      </w:r>
    </w:p>
    <w:p>
      <w:pPr>
        <w:pStyle w:val="ListBullet"/>
        <w:ind w:left="397" w:hanging="198"/>
      </w:pPr>
      <w:r>
        <w:t>Um aluno com os campos exigidos e valores válidos deve ser cadastrado e ficar disponível para consulta.</w:t>
      </w:r>
    </w:p>
    <w:p>
      <w:pPr>
        <w:pStyle w:val="ListBullet"/>
        <w:ind w:left="397" w:hanging="198"/>
      </w:pPr>
      <w:r>
        <w:t>Uma tentativa de cadastro ou atualização com matrícula já existente deve ser rejeitada.</w:t>
      </w:r>
    </w:p>
    <w:p>
      <w:pPr>
        <w:pStyle w:val="ListBullet"/>
        <w:ind w:left="397" w:hanging="198"/>
      </w:pPr>
      <w:r>
        <w:t>Um CPF informado com sintaxe inválida ou já existente deve ser rejeitado.</w:t>
      </w:r>
    </w:p>
    <w:p>
      <w:pPr>
        <w:pStyle w:val="ListBullet"/>
        <w:ind w:left="397" w:hanging="198"/>
      </w:pPr>
      <w:r>
        <w:t>O sistema deve permitir atualizar os dados e alterar o status do aluno para um dos valores previstos.</w:t>
      </w:r>
    </w:p>
    <w:p>
      <w:pPr>
        <w:pStyle w:val="Heading2"/>
        <w:keepNext/>
        <w:spacing w:before="200" w:after="80"/>
      </w:pPr>
      <w:r>
        <w:rPr>
          <w:sz w:val="23"/>
        </w:rPr>
        <w:t>RF02  Cadastro de turmas e disciplinas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rPr>
          <w:cantSplit w:val="true"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0000"/>
                <w:sz w:val="19"/>
              </w:rPr>
              <w:t>Declaração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O sistema deve permitir cadastrar, atualizar, inativar e consultar turmas e disciplinas.</w:t>
            </w:r>
          </w:p>
        </w:tc>
      </w:tr>
      <w:tr>
        <w:trPr>
          <w:cantSplit w:val="true"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0000"/>
                <w:sz w:val="19"/>
              </w:rPr>
              <w:t>Regras e dados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Atributos: nome, codigo, curso, periodo_letivo, turno, carga_horaria, professor_responsavel, sala e status. Status permitidos: ativa, inativa e encerrada. O código, quando informado, deve ser único. Turmas com alunos ou registros vinculados não podem ser excluídas fisicamente.</w:t>
            </w:r>
          </w:p>
        </w:tc>
      </w:tr>
    </w:tbl>
    <w:p>
      <w:pPr>
        <w:spacing w:before="100" w:after="40"/>
      </w:pPr>
      <w:r>
        <w:rPr>
          <w:rFonts w:ascii="Aptos" w:hAnsi="Aptos"/>
          <w:b/>
          <w:i w:val="0"/>
          <w:color w:val="000000"/>
          <w:sz w:val="21"/>
        </w:rPr>
        <w:t>Critérios de aceitação</w:t>
      </w:r>
    </w:p>
    <w:p>
      <w:pPr>
        <w:pStyle w:val="ListBullet"/>
        <w:ind w:left="397" w:hanging="198"/>
      </w:pPr>
      <w:r>
        <w:t>Uma turma ou disciplina com dados válidos deve ser cadastrada e ficar disponível para consulta.</w:t>
      </w:r>
    </w:p>
    <w:p>
      <w:pPr>
        <w:pStyle w:val="ListBullet"/>
        <w:ind w:left="397" w:hanging="198"/>
      </w:pPr>
      <w:r>
        <w:t>Um código informado que já exista deve ser rejeitado.</w:t>
      </w:r>
    </w:p>
    <w:p>
      <w:pPr>
        <w:pStyle w:val="ListBullet"/>
        <w:ind w:left="397" w:hanging="198"/>
      </w:pPr>
      <w:r>
        <w:t>A exclusão física de turma com aluno ou registro vinculado deve ser impedida.</w:t>
      </w:r>
    </w:p>
    <w:p>
      <w:pPr>
        <w:pStyle w:val="ListBullet"/>
        <w:ind w:left="397" w:hanging="198"/>
      </w:pPr>
      <w:r>
        <w:t>O sistema deve permitir atualizar os dados e inativar o cadastro.</w:t>
      </w:r>
    </w:p>
    <w:p>
      <w:pPr>
        <w:pStyle w:val="Heading2"/>
        <w:keepNext/>
        <w:spacing w:before="200" w:after="80"/>
      </w:pPr>
      <w:r>
        <w:rPr>
          <w:sz w:val="23"/>
        </w:rPr>
        <w:t>RF03  Registro de avaliações e frequência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rPr>
          <w:cantSplit w:val="true"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0000"/>
                <w:sz w:val="19"/>
              </w:rPr>
              <w:t>Declaração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O sistema deve permitir lançar e manter notas e frequências vinculadas a um aluno e a uma disciplina.</w:t>
            </w:r>
          </w:p>
        </w:tc>
      </w:tr>
      <w:tr>
        <w:trPr>
          <w:cantSplit w:val="true"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0000"/>
                <w:sz w:val="19"/>
              </w:rPr>
              <w:t>Regras e dados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Campos informados: aluno_id, disciplina_id, tipo_avaliacao, periodo_avaliacao, nota de 0,00 a 10,00, peso maior que zero, frequencia_percentual de 0,00% a 100,00%, faltas e aulas_previstas. Cada alteração deve disparar o recálculo dos indicadores e da classificação de risco.</w:t>
            </w:r>
          </w:p>
        </w:tc>
      </w:tr>
    </w:tbl>
    <w:p>
      <w:pPr>
        <w:spacing w:before="100" w:after="40"/>
      </w:pPr>
      <w:r>
        <w:rPr>
          <w:rFonts w:ascii="Aptos" w:hAnsi="Aptos"/>
          <w:b/>
          <w:i w:val="0"/>
          <w:color w:val="000000"/>
          <w:sz w:val="21"/>
        </w:rPr>
        <w:t>Critérios de aceitação</w:t>
      </w:r>
    </w:p>
    <w:p>
      <w:pPr>
        <w:pStyle w:val="ListBullet"/>
        <w:ind w:left="397" w:hanging="198"/>
      </w:pPr>
      <w:r>
        <w:t>Valores de nota fora do intervalo de 0,00 a 10,00 devem ser rejeitados.</w:t>
      </w:r>
    </w:p>
    <w:p>
      <w:pPr>
        <w:pStyle w:val="ListBullet"/>
        <w:ind w:left="397" w:hanging="198"/>
      </w:pPr>
      <w:r>
        <w:t>Valores de frequência fora do intervalo de 0,00% a 100,00% e pesos menores ou iguais a zero devem ser rejeitados.</w:t>
      </w:r>
    </w:p>
    <w:p>
      <w:pPr>
        <w:pStyle w:val="ListBullet"/>
        <w:ind w:left="397" w:hanging="198"/>
      </w:pPr>
      <w:r>
        <w:t>Uma alteração válida em nota ou frequência deve acionar o recálculo dos indicadores estatísticos e do risco acadêmico.</w:t>
      </w:r>
    </w:p>
    <w:p>
      <w:pPr>
        <w:pStyle w:val="Heading2"/>
        <w:keepNext/>
        <w:spacing w:before="200" w:after="80"/>
      </w:pPr>
      <w:r>
        <w:rPr>
          <w:sz w:val="23"/>
        </w:rPr>
        <w:t>RF04  Consulta acadêmica integrada do aluno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rPr>
          <w:cantSplit w:val="true"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0000"/>
                <w:sz w:val="19"/>
              </w:rPr>
              <w:t>Declaração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O sistema deve oferecer endpoint e interface para consulta consolidada do aluno por id ou matrícula.</w:t>
            </w:r>
          </w:p>
        </w:tc>
      </w:tr>
      <w:tr>
        <w:trPr>
          <w:cantSplit w:val="true"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0000"/>
                <w:sz w:val="19"/>
              </w:rPr>
              <w:t>Regras e dados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 resposta deve agrupar dados cadastrais, histórico completo de notas, histórico de frequência, indicadores estatísticos consolidados e diagnóstico atualizado de risco acadêmico.</w:t>
            </w:r>
          </w:p>
        </w:tc>
      </w:tr>
    </w:tbl>
    <w:p>
      <w:pPr>
        <w:spacing w:before="100" w:after="40"/>
      </w:pPr>
      <w:r>
        <w:rPr>
          <w:rFonts w:ascii="Aptos" w:hAnsi="Aptos"/>
          <w:b/>
          <w:i w:val="0"/>
          <w:color w:val="000000"/>
          <w:sz w:val="21"/>
        </w:rPr>
        <w:t>Critérios de aceitação</w:t>
      </w:r>
    </w:p>
    <w:p>
      <w:pPr>
        <w:pStyle w:val="ListBullet"/>
        <w:ind w:left="397" w:hanging="198"/>
      </w:pPr>
      <w:r>
        <w:t>A consulta por id ou matrícula existente deve retornar a visão consolidada definida.</w:t>
      </w:r>
    </w:p>
    <w:p>
      <w:pPr>
        <w:pStyle w:val="ListBullet"/>
        <w:ind w:left="397" w:hanging="198"/>
      </w:pPr>
      <w:r>
        <w:t>A consulta de aluno inexistente deve retornar o código HTTP 404.</w:t>
      </w:r>
    </w:p>
    <w:p>
      <w:pPr>
        <w:pStyle w:val="Heading2"/>
        <w:keepNext/>
        <w:spacing w:before="200" w:after="80"/>
      </w:pPr>
      <w:r>
        <w:rPr>
          <w:sz w:val="23"/>
        </w:rPr>
        <w:t>RF05  Cálculo de indicadores estatísticos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rPr>
          <w:cantSplit w:val="true"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0000"/>
                <w:sz w:val="19"/>
              </w:rPr>
              <w:t>Declaração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O sistema deve calcular automaticamente os indicadores estatísticos acadêmicos definidos.</w:t>
            </w:r>
          </w:p>
        </w:tc>
      </w:tr>
      <w:tr>
        <w:trPr>
          <w:cantSplit w:val="true"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0000"/>
                <w:sz w:val="19"/>
              </w:rPr>
              <w:t>Regras e dados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Indicadores: média simples, média ponderada quando houver pesos, mediana, variância, desvio padrão, maior nota, menor nota e frequência média. Agregações: aluno, turma, disciplina e período letivo. Resultados com duas casas decimais. Variância amostral para análises parciais de turmas pequenas e populacional para o universo completo de alunos ativos da turma ou disciplina.</w:t>
            </w:r>
          </w:p>
        </w:tc>
      </w:tr>
    </w:tbl>
    <w:p>
      <w:pPr>
        <w:spacing w:before="100" w:after="40"/>
      </w:pPr>
      <w:r>
        <w:rPr>
          <w:rFonts w:ascii="Aptos" w:hAnsi="Aptos"/>
          <w:b/>
          <w:i w:val="0"/>
          <w:color w:val="000000"/>
          <w:sz w:val="21"/>
        </w:rPr>
        <w:t>Critérios de aceitação</w:t>
      </w:r>
    </w:p>
    <w:p>
      <w:pPr>
        <w:pStyle w:val="ListBullet"/>
        <w:ind w:left="397" w:hanging="198"/>
      </w:pPr>
      <w:r>
        <w:t>A inclusão ou alteração de dados acadêmicos deve produzir os indicadores previstos em cada nível de agregação.</w:t>
      </w:r>
    </w:p>
    <w:p>
      <w:pPr>
        <w:pStyle w:val="ListBullet"/>
        <w:ind w:left="397" w:hanging="198"/>
      </w:pPr>
      <w:r>
        <w:t>Quando houver pesos, a média ponderada deve ser calculada; os resultados devem ser apresentados com duas casas decimais.</w:t>
      </w:r>
    </w:p>
    <w:p>
      <w:pPr>
        <w:pStyle w:val="ListBullet"/>
        <w:ind w:left="397" w:hanging="198"/>
      </w:pPr>
      <w:r>
        <w:t>A variância deve usar a modalidade amostral em análise parcial e a populacional quando o conjunto corresponder ao universo completo definido.</w:t>
      </w:r>
    </w:p>
    <w:p>
      <w:pPr>
        <w:pStyle w:val="Heading2"/>
        <w:keepNext/>
        <w:spacing w:before="200" w:after="80"/>
      </w:pPr>
      <w:r>
        <w:rPr>
          <w:sz w:val="23"/>
        </w:rPr>
        <w:t>RF06  Visualização gráfica informativa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rPr>
          <w:cantSplit w:val="true"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0000"/>
                <w:sz w:val="19"/>
              </w:rPr>
              <w:t>Declaração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O sistema deve exibir gráficos operacionais e analíticos gerados dinamicamente a partir dos dados persistidos.</w:t>
            </w:r>
          </w:p>
        </w:tc>
      </w:tr>
      <w:tr>
        <w:trPr>
          <w:cantSplit w:val="true"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0000"/>
                <w:sz w:val="19"/>
              </w:rPr>
              <w:t>Regras e dados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Tipos previstos: histograma, dispersão, barras, linhas, ranking e pizza. Todo gráfico deve conter título, rótulos dos eixos X e Y, legendas e cores semânticas: vermelho para risco, amarelo para atenção, verde para adequado ou sem risco e azul para informação.</w:t>
            </w:r>
          </w:p>
        </w:tc>
      </w:tr>
    </w:tbl>
    <w:p>
      <w:pPr>
        <w:spacing w:before="100" w:after="40"/>
      </w:pPr>
      <w:r>
        <w:rPr>
          <w:rFonts w:ascii="Aptos" w:hAnsi="Aptos"/>
          <w:b/>
          <w:i w:val="0"/>
          <w:color w:val="000000"/>
          <w:sz w:val="21"/>
        </w:rPr>
        <w:t>Critérios de aceitação</w:t>
      </w:r>
    </w:p>
    <w:p>
      <w:pPr>
        <w:pStyle w:val="ListBullet"/>
        <w:ind w:left="397" w:hanging="198"/>
      </w:pPr>
      <w:r>
        <w:t>Os gráficos devem refletir os dados consultados no banco.</w:t>
      </w:r>
    </w:p>
    <w:p>
      <w:pPr>
        <w:pStyle w:val="ListBullet"/>
        <w:ind w:left="397" w:hanging="198"/>
      </w:pPr>
      <w:r>
        <w:t>Cada gráfico deve exibir os elementos de identificação aplicáveis: título, eixos e legenda.</w:t>
      </w:r>
    </w:p>
    <w:p>
      <w:pPr>
        <w:pStyle w:val="ListBullet"/>
        <w:ind w:left="397" w:hanging="198"/>
      </w:pPr>
      <w:r>
        <w:t>A representação de status deve seguir o padrão semântico de cores especificado.</w:t>
      </w:r>
    </w:p>
    <w:p>
      <w:pPr>
        <w:pStyle w:val="Heading2"/>
        <w:keepNext/>
        <w:spacing w:before="200" w:after="80"/>
      </w:pPr>
      <w:r>
        <w:rPr>
          <w:sz w:val="23"/>
        </w:rPr>
        <w:t>RF07  Classificação automática de risco acadêmico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rPr>
          <w:cantSplit w:val="true"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0000"/>
                <w:sz w:val="19"/>
              </w:rPr>
              <w:t>Declaração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O sistema deve avaliar média final e frequência final de cada aluno com matrícula ativa e atribuir uma classificação de risco.</w:t>
            </w:r>
          </w:p>
        </w:tc>
      </w:tr>
      <w:tr>
        <w:trPr>
          <w:cantSplit w:val="true"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0000"/>
                <w:sz w:val="19"/>
              </w:rPr>
              <w:t>Regras e dados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Em Risco: média_final menor que 6,0 ou frequencia_final menor que 75,0%. Sem Risco: média_final igual ou superior a 6,0 e frequencia_final igual ou superior a 75,0%. O resultado deve registrar criterio_violado e justificativa legível.</w:t>
            </w:r>
          </w:p>
        </w:tc>
      </w:tr>
    </w:tbl>
    <w:p>
      <w:pPr>
        <w:spacing w:before="100" w:after="40"/>
      </w:pPr>
      <w:r>
        <w:rPr>
          <w:rFonts w:ascii="Aptos" w:hAnsi="Aptos"/>
          <w:b/>
          <w:i w:val="0"/>
          <w:color w:val="000000"/>
          <w:sz w:val="21"/>
        </w:rPr>
        <w:t>Critérios de aceitação</w:t>
      </w:r>
    </w:p>
    <w:p>
      <w:pPr>
        <w:pStyle w:val="ListBullet"/>
        <w:ind w:left="397" w:hanging="198"/>
      </w:pPr>
      <w:r>
        <w:t>Média inferior a 6,0, com frequência igual ou superior a 75,0%, deve produzir Em Risco e incluir media_baixa na justificativa.</w:t>
      </w:r>
    </w:p>
    <w:p>
      <w:pPr>
        <w:pStyle w:val="ListBullet"/>
        <w:ind w:left="397" w:hanging="198"/>
      </w:pPr>
      <w:r>
        <w:t>Média igual ou superior a 6,0, com frequência inferior a 75,0%, deve produzir Em Risco e incluir frequencia_baixa na justificativa.</w:t>
      </w:r>
    </w:p>
    <w:p>
      <w:pPr>
        <w:pStyle w:val="ListBullet"/>
        <w:ind w:left="397" w:hanging="198"/>
      </w:pPr>
      <w:r>
        <w:t>Média igual a 6,0 e frequência igual a 75,0% devem produzir Sem Risco.</w:t>
      </w:r>
    </w:p>
    <w:p>
      <w:pPr>
        <w:pStyle w:val="ListBullet"/>
        <w:ind w:left="397" w:hanging="198"/>
      </w:pPr>
      <w:r>
        <w:t>A classificação deve registrar o critério violado e uma justificativa compreensível.</w:t>
      </w:r>
    </w:p>
    <w:p>
      <w:pPr>
        <w:pStyle w:val="Heading2"/>
        <w:keepNext/>
        <w:spacing w:before="200" w:after="80"/>
      </w:pPr>
      <w:r>
        <w:rPr>
          <w:sz w:val="23"/>
        </w:rPr>
        <w:t>RF08  API RESTful estruturada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rPr>
          <w:cantSplit w:val="true"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0000"/>
                <w:sz w:val="19"/>
              </w:rPr>
              <w:t>Declaração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O sistema deve disponibilizar uma API RESTful com respostas JSON padronizadas.</w:t>
            </w:r>
          </w:p>
        </w:tc>
      </w:tr>
      <w:tr>
        <w:trPr>
          <w:cantSplit w:val="true"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0000"/>
                <w:sz w:val="19"/>
              </w:rPr>
              <w:t>Regras e dados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Nós previstos no contrato: status, mensagem, dados, erro, pagina, limite e total_registros. Rotas de listagem devem aceitar paginação, ordenação e filtros.</w:t>
            </w:r>
          </w:p>
        </w:tc>
      </w:tr>
    </w:tbl>
    <w:p>
      <w:pPr>
        <w:spacing w:before="100" w:after="40"/>
      </w:pPr>
      <w:r>
        <w:rPr>
          <w:rFonts w:ascii="Aptos" w:hAnsi="Aptos"/>
          <w:b/>
          <w:i w:val="0"/>
          <w:color w:val="000000"/>
          <w:sz w:val="21"/>
        </w:rPr>
        <w:t>Critérios de aceitação</w:t>
      </w:r>
    </w:p>
    <w:p>
      <w:pPr>
        <w:pStyle w:val="ListBullet"/>
        <w:ind w:left="397" w:hanging="198"/>
      </w:pPr>
      <w:r>
        <w:t>As respostas da API devem utilizar JSON e seguir o contrato padronizado definido.</w:t>
      </w:r>
    </w:p>
    <w:p>
      <w:pPr>
        <w:pStyle w:val="ListBullet"/>
        <w:ind w:left="397" w:hanging="198"/>
      </w:pPr>
      <w:r>
        <w:t>Toda rota de listagem deve aceitar parâmetros de paginação, ordenação e filtro.</w:t>
      </w:r>
    </w:p>
    <w:p>
      <w:pPr>
        <w:pStyle w:val="Heading2"/>
        <w:keepNext/>
        <w:spacing w:before="200" w:after="80"/>
      </w:pPr>
      <w:r>
        <w:rPr>
          <w:sz w:val="23"/>
        </w:rPr>
        <w:t>RF09  Autenticação e controle de acesso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rPr>
          <w:cantSplit w:val="true"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0000"/>
                <w:sz w:val="19"/>
              </w:rPr>
              <w:t>Declaração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O sistema deve autenticar usuários e controlar o acesso às rotas protegidas por token JWT.</w:t>
            </w:r>
          </w:p>
        </w:tc>
      </w:tr>
      <w:tr>
        <w:trPr>
          <w:cantSplit w:val="true"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0000"/>
                <w:sz w:val="19"/>
              </w:rPr>
              <w:t>Regras e dados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Dados de usuário: nome_usuario, email e senha. A senha deve ser armazenada por hash seguro. O token deve ter expiração definida e suportar roles para RBAC. Requisições protegidas devem enviar token válido no cabeçalho Authorization.</w:t>
            </w:r>
          </w:p>
        </w:tc>
      </w:tr>
    </w:tbl>
    <w:p>
      <w:pPr>
        <w:spacing w:before="100" w:after="40"/>
      </w:pPr>
      <w:r>
        <w:rPr>
          <w:rFonts w:ascii="Aptos" w:hAnsi="Aptos"/>
          <w:b/>
          <w:i w:val="0"/>
          <w:color w:val="000000"/>
          <w:sz w:val="21"/>
        </w:rPr>
        <w:t>Critérios de aceitação</w:t>
      </w:r>
    </w:p>
    <w:p>
      <w:pPr>
        <w:pStyle w:val="ListBullet"/>
        <w:ind w:left="397" w:hanging="198"/>
      </w:pPr>
      <w:r>
        <w:t>Credenciais válidas devem resultar na emissão de token JWT com prazo de expiração.</w:t>
      </w:r>
    </w:p>
    <w:p>
      <w:pPr>
        <w:pStyle w:val="ListBullet"/>
        <w:ind w:left="397" w:hanging="198"/>
      </w:pPr>
      <w:r>
        <w:t>E-mail inexistente ou senha incorreta em POST /auth/login deve retornar HTTP 401 com contrato de erro padronizado, sem revelar qual credencial falhou.</w:t>
      </w:r>
    </w:p>
    <w:p>
      <w:pPr>
        <w:pStyle w:val="ListBullet"/>
        <w:ind w:left="397" w:hanging="198"/>
      </w:pPr>
      <w:r>
        <w:t>Rota protegida sem token válido deve retornar HTTP 401.</w:t>
      </w:r>
    </w:p>
    <w:p>
      <w:pPr>
        <w:pStyle w:val="Heading2"/>
        <w:keepNext/>
        <w:spacing w:before="200" w:after="80"/>
      </w:pPr>
      <w:r>
        <w:rPr>
          <w:sz w:val="23"/>
        </w:rPr>
        <w:t>RF10  Validação universal de entrada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rPr>
          <w:cantSplit w:val="true"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0000"/>
                <w:sz w:val="19"/>
              </w:rPr>
              <w:t>Declaração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O sistema deve validar toda requisição de entrada antes da persistência.</w:t>
            </w:r>
          </w:p>
        </w:tc>
      </w:tr>
      <w:tr>
        <w:trPr>
          <w:cantSplit w:val="true"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0000"/>
                <w:sz w:val="19"/>
              </w:rPr>
              <w:t>Regras e dados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Devem ser rejeitados dados ausentes, fora de faixa, com tipo incorreto ou que violem restrições de integridade. O erro deve identificar o campo, a regra descumprida e o código interno.</w:t>
            </w:r>
          </w:p>
        </w:tc>
      </w:tr>
    </w:tbl>
    <w:p>
      <w:pPr>
        <w:spacing w:before="100" w:after="40"/>
      </w:pPr>
      <w:r>
        <w:rPr>
          <w:rFonts w:ascii="Aptos" w:hAnsi="Aptos"/>
          <w:b/>
          <w:i w:val="0"/>
          <w:color w:val="000000"/>
          <w:sz w:val="21"/>
        </w:rPr>
        <w:t>Critérios de aceitação</w:t>
      </w:r>
    </w:p>
    <w:p>
      <w:pPr>
        <w:pStyle w:val="ListBullet"/>
        <w:ind w:left="397" w:hanging="198"/>
      </w:pPr>
      <w:r>
        <w:t>Payload inválido deve ser rejeitado antes de qualquer persistência.</w:t>
      </w:r>
    </w:p>
    <w:p>
      <w:pPr>
        <w:pStyle w:val="ListBullet"/>
        <w:ind w:left="397" w:hanging="198"/>
      </w:pPr>
      <w:r>
        <w:t>A resposta de validação deve informar o campo violado, a regra descumprida e o código interno do erro.</w:t>
      </w:r>
    </w:p>
    <w:p>
      <w:pPr>
        <w:pStyle w:val="Heading2"/>
        <w:keepNext/>
        <w:spacing w:before="200" w:after="80"/>
      </w:pPr>
      <w:r>
        <w:rPr>
          <w:sz w:val="23"/>
        </w:rPr>
        <w:t>RF11  Geração e exportação de relatórios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rPr>
          <w:cantSplit w:val="true"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0000"/>
                <w:sz w:val="19"/>
              </w:rPr>
              <w:t>Declaração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O sistema deve permitir consultar e exportar relatórios customizados.</w:t>
            </w:r>
          </w:p>
        </w:tc>
      </w:tr>
      <w:tr>
        <w:trPr>
          <w:cantSplit w:val="true"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0000"/>
                <w:sz w:val="19"/>
              </w:rPr>
              <w:t>Regras e dados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Filtros: período, turma, disciplina e status de risco. Formatos: CSV, XLSX e PDF. O cabeçalho deve incluir data e hora da geração e o identificador do usuário gerador.</w:t>
            </w:r>
          </w:p>
        </w:tc>
      </w:tr>
    </w:tbl>
    <w:p>
      <w:pPr>
        <w:spacing w:before="100" w:after="40"/>
      </w:pPr>
      <w:r>
        <w:rPr>
          <w:rFonts w:ascii="Aptos" w:hAnsi="Aptos"/>
          <w:b/>
          <w:i w:val="0"/>
          <w:color w:val="000000"/>
          <w:sz w:val="21"/>
        </w:rPr>
        <w:t>Critérios de aceitação</w:t>
      </w:r>
    </w:p>
    <w:p>
      <w:pPr>
        <w:pStyle w:val="ListBullet"/>
        <w:ind w:left="397" w:hanging="198"/>
      </w:pPr>
      <w:r>
        <w:t>O relatório deve respeitar os filtros selecionados.</w:t>
      </w:r>
    </w:p>
    <w:p>
      <w:pPr>
        <w:pStyle w:val="ListBullet"/>
        <w:ind w:left="397" w:hanging="198"/>
      </w:pPr>
      <w:r>
        <w:t>O usuário deve conseguir baixar o resultado nos formatos CSV, XLSX e PDF.</w:t>
      </w:r>
    </w:p>
    <w:p>
      <w:pPr>
        <w:pStyle w:val="ListBullet"/>
        <w:ind w:left="397" w:hanging="198"/>
      </w:pPr>
      <w:r>
        <w:t>O arquivo exportado deve identificar data, hora e usuário responsável pela geração.</w:t>
      </w:r>
    </w:p>
    <w:p>
      <w:pPr>
        <w:pStyle w:val="Heading2"/>
        <w:keepNext/>
        <w:spacing w:before="200" w:after="80"/>
      </w:pPr>
      <w:r>
        <w:rPr>
          <w:sz w:val="23"/>
        </w:rPr>
        <w:t>RF12  Auditoria e logs de requisições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rPr>
          <w:cantSplit w:val="true"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0000"/>
                <w:sz w:val="19"/>
              </w:rPr>
              <w:t>Declaração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O sistema deve registrar automaticamente cada requisição HTTP recebida pela API.</w:t>
            </w:r>
          </w:p>
        </w:tc>
      </w:tr>
      <w:tr>
        <w:trPr>
          <w:cantSplit w:val="true"/>
        </w:trP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0000"/>
                <w:sz w:val="19"/>
              </w:rPr>
              <w:t>Regras e dados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Campos: id, usuario_id quando autenticado, rota, metodo_http, status_http, ip_origem, tempo_resposta_ms e timestamp. Senhas, tokens e CPFs completos devem ser omitidos.</w:t>
            </w:r>
          </w:p>
        </w:tc>
      </w:tr>
    </w:tbl>
    <w:p>
      <w:pPr>
        <w:spacing w:before="100" w:after="40"/>
      </w:pPr>
      <w:r>
        <w:rPr>
          <w:rFonts w:ascii="Aptos" w:hAnsi="Aptos"/>
          <w:b/>
          <w:i w:val="0"/>
          <w:color w:val="000000"/>
          <w:sz w:val="21"/>
        </w:rPr>
        <w:t>Critérios de aceitação</w:t>
      </w:r>
    </w:p>
    <w:p>
      <w:pPr>
        <w:pStyle w:val="ListBullet"/>
        <w:ind w:left="397" w:hanging="198"/>
      </w:pPr>
      <w:r>
        <w:t>Cada requisição HTTP deve gerar um registro com os campos definidos.</w:t>
      </w:r>
    </w:p>
    <w:p>
      <w:pPr>
        <w:pStyle w:val="ListBullet"/>
        <w:ind w:left="397" w:hanging="198"/>
      </w:pPr>
      <w:r>
        <w:t>Logs de usuário autenticado devem conter usuario_id.</w:t>
      </w:r>
    </w:p>
    <w:p>
      <w:pPr>
        <w:pStyle w:val="ListBullet"/>
        <w:ind w:left="397" w:hanging="198"/>
      </w:pPr>
      <w:r>
        <w:t>Nenhum registro deve expor senha, token ou CPF completo.</w:t>
      </w:r>
    </w:p>
    <w:p>
      <w:r>
        <w:br w:type="page"/>
      </w:r>
    </w:p>
    <w:p>
      <w:pPr>
        <w:pStyle w:val="Heading1"/>
      </w:pPr>
      <w:r>
        <w:t>7 Requisitos não funcionais</w:t>
      </w:r>
    </w:p>
    <w:p>
      <w:r>
        <w:t>Os requisitos não funcionais definem atributos de qualidade, arquitetura, segurança, operação e documentação. O método de verificação indicado utiliza somente o conteúdo disponível e não acrescenta metas além das já estabelecidas.</w:t>
      </w:r>
    </w:p>
    <w:p>
      <w:pPr>
        <w:pStyle w:val="Heading2"/>
        <w:keepNext/>
        <w:spacing w:before="200" w:after="80"/>
      </w:pPr>
      <w:r>
        <w:rPr>
          <w:sz w:val="23"/>
        </w:rPr>
        <w:t>RNF01  Arquitetura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 w:val="true"/>
        </w:trPr>
        <w:tc>
          <w:tcPr>
            <w:tcW w:type="dxa" w:w="12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Prioridade</w:t>
            </w:r>
          </w:p>
        </w:tc>
        <w:tc>
          <w:tcPr>
            <w:tcW w:type="dxa" w:w="57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Requisito</w:t>
            </w:r>
          </w:p>
        </w:tc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Verificação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Alta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O backend deve aplicar orientação a objetos e separação estrita nas camadas models, services, repositories, controllers/api, schemas e tests.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Inspeção da estrutura e revisão do código.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sz w:val="23"/>
        </w:rPr>
        <w:t>RNF02  Manutenibilidade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 w:val="true"/>
        </w:trPr>
        <w:tc>
          <w:tcPr>
            <w:tcW w:type="dxa" w:w="12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Prioridade</w:t>
            </w:r>
          </w:p>
        </w:tc>
        <w:tc>
          <w:tcPr>
            <w:tcW w:type="dxa" w:w="57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Requisito</w:t>
            </w:r>
          </w:p>
        </w:tc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Verificação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Alta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O código deve adotar nomenclatura limpa, linters configurados, tratamento centralizado de exceções e README.md com instruções detalhadas de configuração.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Execução dos linters e revisão do repositório e do README.md.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sz w:val="23"/>
        </w:rPr>
        <w:t>RNF03  Contrato de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 w:val="true"/>
        </w:trPr>
        <w:tc>
          <w:tcPr>
            <w:tcW w:type="dxa" w:w="12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Prioridade</w:t>
            </w:r>
          </w:p>
        </w:tc>
        <w:tc>
          <w:tcPr>
            <w:tcW w:type="dxa" w:w="57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Requisito</w:t>
            </w:r>
          </w:p>
        </w:tc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Verificação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Alta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 API deve seguir OpenAPI 3.0 e disponibilizar documentação interativa com esquemas de requisição e resposta para os códigos 200, 201, 400, 401, 404 e 500.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Validação do documento OpenAPI e inspeção da documentação interativa.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sz w:val="23"/>
        </w:rPr>
        <w:t>RNF04  Privacidade e LGPD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 w:val="true"/>
        </w:trPr>
        <w:tc>
          <w:tcPr>
            <w:tcW w:type="dxa" w:w="12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Prioridade</w:t>
            </w:r>
          </w:p>
        </w:tc>
        <w:tc>
          <w:tcPr>
            <w:tcW w:type="dxa" w:w="57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Requisito</w:t>
            </w:r>
          </w:p>
        </w:tc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Verificação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Alta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Dados pessoais de alunos devem ser protegidos contra exposição desnecessária em painéis públicos. Ambientes de desenvolvimento e teste devem usar exclusivamente dados sintéticos ou anonimizados; CPF e e-mail devem ser anonimizados em logs e ambientes não produtivos.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Inspeção de painéis, logs e bases não produtivas.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sz w:val="23"/>
        </w:rPr>
        <w:t>RNF05  Documentação técnica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 w:val="true"/>
        </w:trPr>
        <w:tc>
          <w:tcPr>
            <w:tcW w:type="dxa" w:w="12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Prioridade</w:t>
            </w:r>
          </w:p>
        </w:tc>
        <w:tc>
          <w:tcPr>
            <w:tcW w:type="dxa" w:w="57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Requisito</w:t>
            </w:r>
          </w:p>
        </w:tc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Verificação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Alta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O repositório deve conter pasta docs com diagramas UML de casos de uso e classes, DER e especificação completa de requisitos.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Verificação dos artefatos na pasta docs.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sz w:val="23"/>
        </w:rPr>
        <w:t>RNF06  Organização de pastas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 w:val="true"/>
        </w:trPr>
        <w:tc>
          <w:tcPr>
            <w:tcW w:type="dxa" w:w="12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Prioridade</w:t>
            </w:r>
          </w:p>
        </w:tc>
        <w:tc>
          <w:tcPr>
            <w:tcW w:type="dxa" w:w="57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Requisito</w:t>
            </w:r>
          </w:p>
        </w:tc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Verificação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Média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O repositório deve usar diretórios modulares e previsíveis, separando regras de negócio, persistência, rotas, esquemas DTO, testes e documentação.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Inspeção da árvore do repositório.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sz w:val="23"/>
        </w:rPr>
        <w:t>RNF07  Testabilidade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 w:val="true"/>
        </w:trPr>
        <w:tc>
          <w:tcPr>
            <w:tcW w:type="dxa" w:w="12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Prioridade</w:t>
            </w:r>
          </w:p>
        </w:tc>
        <w:tc>
          <w:tcPr>
            <w:tcW w:type="dxa" w:w="57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Requisito</w:t>
            </w:r>
          </w:p>
        </w:tc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Verificação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Média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O sistema deve possuir testes unitários e de integração para serviços estatísticos, cálculo de risco, validações de entrada e contratos das principais rotas da API.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Execução da suíte e verificação do escopo coberto.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</w:p>
    <w:p>
      <w:pPr>
        <w:pStyle w:val="Heading2"/>
        <w:keepNext/>
        <w:spacing w:before="200" w:after="80"/>
      </w:pPr>
      <w:r>
        <w:rPr>
          <w:sz w:val="23"/>
        </w:rPr>
        <w:t>RNF08  Persistência e integridade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 w:val="true"/>
        </w:trPr>
        <w:tc>
          <w:tcPr>
            <w:tcW w:type="dxa" w:w="12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Prioridade</w:t>
            </w:r>
          </w:p>
        </w:tc>
        <w:tc>
          <w:tcPr>
            <w:tcW w:type="dxa" w:w="57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Requisito</w:t>
            </w:r>
          </w:p>
        </w:tc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Verificação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Média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PostgreSQL ou SQLite deve aplicar chaves estrangeiras, restrições de unicidade e migrações automatizadas para criação e carga inicial de dados.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Execução das migrações e testes de integridade referencial e unicidade.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sz w:val="23"/>
        </w:rPr>
        <w:t>RNF09  Interpretabilidade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 w:val="true"/>
        </w:trPr>
        <w:tc>
          <w:tcPr>
            <w:tcW w:type="dxa" w:w="12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Prioridade</w:t>
            </w:r>
          </w:p>
        </w:tc>
        <w:tc>
          <w:tcPr>
            <w:tcW w:type="dxa" w:w="57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Requisito</w:t>
            </w:r>
          </w:p>
        </w:tc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Verificação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Alta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Toda informação de risco ou gráfico deve apresentar texto explicativo e justificativa objetiva, indicando notas ou frequências que determinaram a condição.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Inspeção funcional das telas e resultados de risco.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sz w:val="23"/>
        </w:rPr>
        <w:t>RNF10  Desempenho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 w:val="true"/>
        </w:trPr>
        <w:tc>
          <w:tcPr>
            <w:tcW w:type="dxa" w:w="12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Prioridade</w:t>
            </w:r>
          </w:p>
        </w:tc>
        <w:tc>
          <w:tcPr>
            <w:tcW w:type="dxa" w:w="57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Requisito</w:t>
            </w:r>
          </w:p>
        </w:tc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Verificação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Baixa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Consultas simples de busca e listagem paginada devem responder em menos de 300 ms em condições normais de uso e demonstração.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Teste de desempenho no ambiente a ser definido.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sz w:val="23"/>
        </w:rPr>
        <w:t>RNF11  Usabilidade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 w:val="true"/>
        </w:trPr>
        <w:tc>
          <w:tcPr>
            <w:tcW w:type="dxa" w:w="12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Prioridade</w:t>
            </w:r>
          </w:p>
        </w:tc>
        <w:tc>
          <w:tcPr>
            <w:tcW w:type="dxa" w:w="57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Requisito</w:t>
            </w:r>
          </w:p>
        </w:tc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Verificação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Média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 interface deve possuir navegação clara, indicar campos obrigatórios e fornecer retorno imediato para sucesso ou falha.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Teste funcional e avaliação da interface.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sz w:val="23"/>
        </w:rPr>
        <w:t>RNF12  Acessibilidade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 w:val="true"/>
        </w:trPr>
        <w:tc>
          <w:tcPr>
            <w:tcW w:type="dxa" w:w="12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Prioridade</w:t>
            </w:r>
          </w:p>
        </w:tc>
        <w:tc>
          <w:tcPr>
            <w:tcW w:type="dxa" w:w="57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Requisito</w:t>
            </w:r>
          </w:p>
        </w:tc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Verificação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Média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 interface deve apresentar contraste adequado e não usar cor como único meio de diferenciação; o status Em Risco deve ser exibido em texto junto à cor vermelha.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Inspeção visual e teste de apresentação dos status.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sz w:val="23"/>
        </w:rPr>
        <w:t>RNF13  Rastreabilidade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 w:val="true"/>
        </w:trPr>
        <w:tc>
          <w:tcPr>
            <w:tcW w:type="dxa" w:w="12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Prioridade</w:t>
            </w:r>
          </w:p>
        </w:tc>
        <w:tc>
          <w:tcPr>
            <w:tcW w:type="dxa" w:w="57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Requisito</w:t>
            </w:r>
          </w:p>
        </w:tc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Verificação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Média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Entidades, classes, rotas e casos de teste devem ser associados aos identificadores RF e RNF em uma matriz de rastreabilidade.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Revisão da matriz e amostragem dos vínculos com implementação e testes.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sz w:val="23"/>
        </w:rPr>
        <w:t>RNF14  Confiabilidade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 w:val="true"/>
        </w:trPr>
        <w:tc>
          <w:tcPr>
            <w:tcW w:type="dxa" w:w="12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Prioridade</w:t>
            </w:r>
          </w:p>
        </w:tc>
        <w:tc>
          <w:tcPr>
            <w:tcW w:type="dxa" w:w="57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Requisito</w:t>
            </w:r>
          </w:p>
        </w:tc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Verificação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Alta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Exceções não tratadas devem retornar mensagem padronizada, código HTTP 500 e nunca expor o stack trace ao cliente.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Teste de falha controlada e inspeção da resposta.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sz w:val="23"/>
        </w:rPr>
        <w:t>RNF15  Segurança de entrada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 w:val="true"/>
        </w:trPr>
        <w:tc>
          <w:tcPr>
            <w:tcW w:type="dxa" w:w="12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Prioridade</w:t>
            </w:r>
          </w:p>
        </w:tc>
        <w:tc>
          <w:tcPr>
            <w:tcW w:type="dxa" w:w="57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Requisito</w:t>
            </w:r>
          </w:p>
        </w:tc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Verificação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Alta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Todas as entradas devem ser sanitizadas para prevenir SQL Injection, XSS e Parameter Pollution.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Testes de segurança sobre entradas da API.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80"/>
      </w:pPr>
      <w:r>
        <w:rPr>
          <w:sz w:val="23"/>
        </w:rPr>
        <w:t>RNF16  Logs estruturados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 w:val="true"/>
        </w:trPr>
        <w:tc>
          <w:tcPr>
            <w:tcW w:type="dxa" w:w="12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Prioridade</w:t>
            </w:r>
          </w:p>
        </w:tc>
        <w:tc>
          <w:tcPr>
            <w:tcW w:type="dxa" w:w="57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Requisito</w:t>
            </w:r>
          </w:p>
        </w:tc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Verificação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Média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Os logs devem ser gerados em JSON estruturado e incluir um Correlation ID único por requisição.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Inspeção dos logs de múltiplas requisições.</w:t>
            </w:r>
          </w:p>
        </w:tc>
      </w:tr>
    </w:tbl>
    <w:p>
      <w:pPr>
        <w:spacing w:after="0"/>
      </w:pPr>
    </w:p>
    <w:p>
      <w:pPr>
        <w:pStyle w:val="Heading1"/>
      </w:pPr>
      <w:r>
        <w:t>8 Critérios de aceitação críticos</w:t>
      </w:r>
    </w:p>
    <w:p>
      <w:pPr>
        <w:pStyle w:val="Heading2"/>
      </w:pPr>
      <w:r>
        <w:t>8.1 RF07 Classificação de risco acadêmico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 w:val="true"/>
        </w:trPr>
        <w:tc>
          <w:tcPr>
            <w:tcW w:type="dxa" w:w="10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5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Cenário</w:t>
            </w:r>
          </w:p>
        </w:tc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Dado</w:t>
            </w:r>
          </w:p>
        </w:tc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Quando</w:t>
            </w:r>
          </w:p>
        </w:tc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RF07 CA01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Risco por média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Aluno com média_final menor que 6,0 e frequencia_final igual ou superior a 75,0%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 sistema calcula o risco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Retornar Em Risco e incluir media_baixa na justificativa.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RF07 CA02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Risco por frequência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Aluno com média_final igual ou superior a 6,0 e frequencia_final menor que 75,0%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 sistema calcula o risco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Retornar Em Risco e incluir frequencia_baixa na justificativa.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RF07 CA03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Fronteira de aprovação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Aluno com média_final igual a 6,0 e frequencia_final igual a 75,0%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 sistema avalia o risco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Retornar Sem Risco.</w:t>
            </w:r>
          </w:p>
        </w:tc>
      </w:tr>
    </w:tbl>
    <w:p>
      <w:pPr>
        <w:spacing w:after="0"/>
      </w:pPr>
    </w:p>
    <w:p>
      <w:pPr>
        <w:pStyle w:val="Heading2"/>
      </w:pPr>
      <w:r>
        <w:t>8.2 RF09 Autenticação e autorização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 w:val="true"/>
        </w:trPr>
        <w:tc>
          <w:tcPr>
            <w:tcW w:type="dxa" w:w="10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5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Cenário</w:t>
            </w:r>
          </w:p>
        </w:tc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Dado</w:t>
            </w:r>
          </w:p>
        </w:tc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Quando</w:t>
            </w:r>
          </w:p>
        </w:tc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RF09 CA01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Login inválido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E-mail não cadastrado ou senha incorreta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POST /auth/login é acionado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Retornar HTTP 401 e contrato JSON de erro sem indicar qual credencial falhou.</w:t>
            </w:r>
          </w:p>
        </w:tc>
      </w:tr>
    </w:tbl>
    <w:p>
      <w:pPr>
        <w:spacing w:after="0"/>
      </w:pPr>
    </w:p>
    <w:p>
      <w:pPr>
        <w:pStyle w:val="Heading1"/>
      </w:pPr>
      <w:r>
        <w:t>9 Matriz de rastreabilidade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 w:val="true"/>
        </w:trPr>
        <w:tc>
          <w:tcPr>
            <w:tcW w:type="dxa" w:w="8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3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Requisito</w:t>
            </w:r>
          </w:p>
        </w:tc>
        <w:tc>
          <w:tcPr>
            <w:tcW w:type="dxa" w:w="39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Componente ou artefato relacionado</w:t>
            </w:r>
          </w:p>
        </w:tc>
        <w:tc>
          <w:tcPr>
            <w:tcW w:type="dxa" w:w="26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Evidência de aceitação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RF01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Cadastro de alunos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Cadastro de aluno e validações de matrícula e CPF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Critérios da seção 6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RF02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Cadastro de turmas e disciplinas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Cadastro de turma e disciplina e restrição de exclusão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Critérios da seção 6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RF03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Registro de avaliações e frequência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Lançamentos acadêmicos e recálculo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Critérios da seção 6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RF04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Consulta acadêmica integrada do aluno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Endpoint e interface de consulta consolidada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Critérios da seção 6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RF05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Cálculo de indicadores estatísticos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Serviço estatístico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Critérios da seção 6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RF06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Visualização gráfica informativa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Painéis e gráficos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Critérios da seção 6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RF07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Classificação automática de risco acadêmico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Serviço de classificação de risco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Critérios da seção 6 e cenários da seção 8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RF08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API RESTful estruturada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Contrato e rotas da API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Critérios da seção 6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RF09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Autenticação e controle de acesso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Autenticação JWT e autorização RBAC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Critérios da seção 6 e cenários da seção 8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RF10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Validação universal de entrada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Camada de validação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Critérios da seção 6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RF11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Geração e exportação de relatórios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Relatórios e exportadores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Critérios da seção 6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RF12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Auditoria e logs de requisições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Middleware de auditoria e logs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Critérios da seção 6</w:t>
            </w:r>
          </w:p>
        </w:tc>
      </w:tr>
    </w:tbl>
    <w:p>
      <w:pPr>
        <w:spacing w:after="0"/>
      </w:pPr>
    </w:p>
    <w:p>
      <w:pPr>
        <w:pStyle w:val="Heading1"/>
      </w:pPr>
      <w:r>
        <w:t>10 Glossário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Termo</w:t>
            </w:r>
          </w:p>
        </w:tc>
        <w:tc>
          <w:tcPr>
            <w:tcW w:type="dxa" w:w="79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Definição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API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Interface de Programação de Aplicações.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Correlation ID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Identificador único utilizado para rastrear uma requisição entre registros de log.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DER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Diagrama de Entidade Relacionamento.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DTO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Objeto utilizado para transferência estruturada de dados entre camadas ou interfaces.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HTTP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Protocolo de comunicação utilizado pela API.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JSON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Formato textual estruturado de intercâmbio de dados.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JWT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Token assinado utilizado para autenticação e autorização.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LGPD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Lei Geral de Proteção de Dados Pessoais.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OpenAPI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Especificação para descrição de contratos de APIs.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RBAC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Controle de acesso baseado em papéis ou perfis.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RESTful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Estilo arquitetural aplicado à organização dos recursos e operações da API.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SRS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Especificação de Requisitos de Software.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UML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Linguagem de modelagem utilizada na documentação de sistemas.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23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6666"/>
        <w:sz w:val="17"/>
      </w:rPr>
      <w:t xml:space="preserve">SIMPA  |  Especificação de Requisitos de Software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8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Requisitos de Software do SIMPA</dc:title>
  <dc:subject>Requisitos funcionais e não funcionais do SIMPA</dc:subject>
  <dc:creator>python-docx</dc:creator>
  <cp:keywords>SIMPA, requisitos, SRS, software, desempenho acadêmico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