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tulo"/>
        <w:spacing w:after="240"/>
        <w:jc w:val="center"/>
        <w:pBdr>
          <w:bottom w:val="nil"/>
        </w:pBdr>
      </w:pPr>
      <w:r>
        <w:rPr>
          <w:color w:val="000000"/>
          <w:sz w:val="52"/>
        </w:rPr>
        <w:t>Relatório de Laboratório</w:t>
      </w:r>
    </w:p>
    <w:p>
      <w:pPr>
        <w:spacing w:after="360"/>
        <w:jc w:val="center"/>
      </w:pPr>
      <w:r>
        <w:rPr>
          <w:i/>
          <w:color w:val="1F6E63"/>
          <w:sz w:val="24"/>
        </w:rPr>
        <w:t>Laboratório de Experimentação de Software — Lab02: assistentes de IA versus codificação manual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Engenharia de Software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Disciplina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Laboratório de Experimentação de Software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Turno / Período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Noite / 6º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Professor(a)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Danilo Maia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Laboratório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Lab02 — Assistentes de IA versus codificação manual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Grupo (trio)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Víctor Gabriel Cruz Pereira · Jonathan Sena da Silva · Matheus Fernandes de Oliveira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Link do repositório / GitHub Projects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https://github.com/Victorgabrielcruz/lab-medicao-e-experimentacao-de-software · https://github.com/users/Victorgabrielcruz/projects/6/views/1</w:t>
            </w:r>
          </w:p>
        </w:tc>
      </w:tr>
      <w:tr>
        <w:tc>
          <w:tcPr>
            <w:tcW w:type="dxa" w:w="4703"/>
            <w:vAlign w:val="center"/>
            <w:shd w:fill="F0F0EC"/>
          </w:tcPr>
          <w:p>
            <w:pPr>
              <w:spacing w:after="0"/>
            </w:pPr>
            <w:r>
              <w:rPr>
                <w:b/>
                <w:color w:val="000000"/>
                <w:sz w:val="20"/>
              </w:rPr>
              <w:t>Data de entrega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color w:val="000000"/>
                <w:sz w:val="19"/>
              </w:rPr>
              <w:t>24/09/2026 — primeira versão completa</w:t>
            </w:r>
          </w:p>
        </w:tc>
      </w:tr>
    </w:tbl>
    <w:p>
      <w:r>
        <w:br w:type="page"/>
      </w:r>
    </w:p>
    <w:p>
      <w:pPr>
        <w:pStyle w:val="Ttulo1"/>
        <w:pBdr>
          <w:bottom w:val="nil"/>
        </w:pBdr>
      </w:pPr>
      <w:r>
        <w:rPr>
          <w:color w:val="000000"/>
        </w:rPr>
        <w:t>1. Introdução</w:t>
      </w:r>
    </w:p>
    <w:p>
      <w:pPr/>
      <w:r>
        <w:rPr>
          <w:color w:val="000000"/>
        </w:rPr>
        <w:t>Assistentes de IA generativa passaram a fazer parte do fluxo de desenvolvimento de software, mas seu efeito depende da tarefa, da pessoa, do modelo e das condições de uso. Este laboratório investigou, em um cenário controlado de katas curtas, como a resolução com assistente de IA se compara à codificação manual em tempo, qualidade funcional e características estruturais do código. O objetivo não é estimar um efeito universal da IA, mas documentar de forma reproduzível o que ocorreu nos trials registrados pelo grupo.</w:t>
      </w:r>
    </w:p>
    <w:p>
      <w:pPr/>
      <w:r>
        <w:rPr>
          <w:color w:val="000000"/>
        </w:rPr>
        <w:t xml:space="preserve">O estudo responde às três questões de pesquisa pré-registradas em </w:t>
      </w:r>
      <w:r>
        <w:rPr>
          <w:color w:val="000000"/>
        </w:rPr>
        <w:t>`Docs/methodology.md` (../../Docs/methodology.md)</w:t>
      </w:r>
      <w:r>
        <w:rPr>
          <w:color w:val="000000"/>
        </w:rPr>
        <w:t>: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RQ1 — Tempo:</w:t>
      </w:r>
      <w:r>
        <w:rPr>
          <w:color w:val="000000"/>
        </w:rPr>
        <w:t xml:space="preserve"> o uso de assistente de IA reduz o tempo necessário para resolver uma tarefa de programação?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RQ2 — Defeitos:</w:t>
      </w:r>
      <w:r>
        <w:rPr>
          <w:color w:val="000000"/>
        </w:rPr>
        <w:t xml:space="preserve"> o uso de assistente de IA aumenta a taxa de testes de aceitação passando ao fim do trial?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RQ3 — Estrutura:</w:t>
      </w:r>
      <w:r>
        <w:rPr>
          <w:color w:val="000000"/>
        </w:rPr>
        <w:t xml:space="preserve"> o uso de assistente de IA altera a complexidade ciclomática ou a duplicação do código produzido?</w:t>
      </w:r>
    </w:p>
    <w:p>
      <w:pPr/>
      <w:r>
        <w:rPr>
          <w:color w:val="000000"/>
        </w:rPr>
        <w:t xml:space="preserve">As hipóteses foram definidas antes da execução. Para RQ1, </w:t>
      </w:r>
      <w:r>
        <w:rPr>
          <w:b/>
          <w:color w:val="000000"/>
        </w:rPr>
        <w:t>H0₁</w:t>
      </w:r>
      <w:r>
        <w:rPr>
          <w:color w:val="000000"/>
        </w:rPr>
        <w:t xml:space="preserve"> afirma que a mediana de </w:t>
      </w:r>
      <w:r>
        <w:rPr>
          <w:rFonts w:ascii="Consolas" w:hAnsi="Consolas" w:eastAsia="Consolas"/>
          <w:color w:val="000000"/>
        </w:rPr>
        <w:t>T_manual − T_IA</w:t>
      </w:r>
      <w:r>
        <w:rPr>
          <w:color w:val="000000"/>
        </w:rPr>
        <w:t xml:space="preserve"> é zero, e </w:t>
      </w:r>
      <w:r>
        <w:rPr>
          <w:b/>
          <w:color w:val="000000"/>
        </w:rPr>
        <w:t>H1₁</w:t>
      </w:r>
      <w:r>
        <w:rPr>
          <w:color w:val="000000"/>
        </w:rPr>
        <w:t xml:space="preserve"> que ela é maior que zero. Para RQ2, </w:t>
      </w:r>
      <w:r>
        <w:rPr>
          <w:b/>
          <w:color w:val="000000"/>
        </w:rPr>
        <w:t>H0₂</w:t>
      </w:r>
      <w:r>
        <w:rPr>
          <w:color w:val="000000"/>
        </w:rPr>
        <w:t xml:space="preserve"> afirma que a mediana de </w:t>
      </w:r>
      <w:r>
        <w:rPr>
          <w:rFonts w:ascii="Consolas" w:hAnsi="Consolas" w:eastAsia="Consolas"/>
          <w:color w:val="000000"/>
        </w:rPr>
        <w:t>S_IA − S_manual</w:t>
      </w:r>
      <w:r>
        <w:rPr>
          <w:color w:val="000000"/>
        </w:rPr>
        <w:t xml:space="preserve"> é zero, e </w:t>
      </w:r>
      <w:r>
        <w:rPr>
          <w:b/>
          <w:color w:val="000000"/>
        </w:rPr>
        <w:t>H1₂</w:t>
      </w:r>
      <w:r>
        <w:rPr>
          <w:color w:val="000000"/>
        </w:rPr>
        <w:t xml:space="preserve"> que ela é maior que zero. Para RQ3, as hipóteses são bicaudais: </w:t>
      </w:r>
      <w:r>
        <w:rPr>
          <w:b/>
          <w:color w:val="000000"/>
        </w:rPr>
        <w:t>H0₃a/H0₃b</w:t>
      </w:r>
      <w:r>
        <w:rPr>
          <w:color w:val="000000"/>
        </w:rPr>
        <w:t xml:space="preserve"> afirmam que as medianas de </w:t>
      </w:r>
      <w:r>
        <w:rPr>
          <w:rFonts w:ascii="Consolas" w:hAnsi="Consolas" w:eastAsia="Consolas"/>
          <w:color w:val="000000"/>
        </w:rPr>
        <w:t>CC_IA − CC_manual</w:t>
      </w:r>
      <w:r>
        <w:rPr>
          <w:color w:val="000000"/>
        </w:rPr>
        <w:t xml:space="preserve"> e de </w:t>
      </w:r>
      <w:r>
        <w:rPr>
          <w:rFonts w:ascii="Consolas" w:hAnsi="Consolas" w:eastAsia="Consolas"/>
          <w:color w:val="000000"/>
        </w:rPr>
        <w:t>DUP_IA − DUP_manual</w:t>
      </w:r>
      <w:r>
        <w:rPr>
          <w:color w:val="000000"/>
        </w:rPr>
        <w:t xml:space="preserve"> são zero; </w:t>
      </w:r>
      <w:r>
        <w:rPr>
          <w:b/>
          <w:color w:val="000000"/>
        </w:rPr>
        <w:t>H1₃a/H1₃b</w:t>
      </w:r>
      <w:r>
        <w:rPr>
          <w:color w:val="000000"/>
        </w:rPr>
        <w:t xml:space="preserve"> afirmam que são diferentes de zero. As direções são importantes: diferença positiva em RQ1 favorece IA; em RQ2 e RQ3, ela indica maior valor com IA.</w:t>
      </w:r>
    </w:p>
    <w:p>
      <w:pPr>
        <w:pStyle w:val="Ttulo1"/>
        <w:pBdr>
          <w:bottom w:val="nil"/>
        </w:pBdr>
      </w:pPr>
      <w:r>
        <w:rPr>
          <w:color w:val="000000"/>
        </w:rPr>
        <w:t>2. Contexto</w:t>
      </w:r>
    </w:p>
    <w:p>
      <w:pPr/>
      <w:r>
        <w:rPr>
          <w:color w:val="000000"/>
        </w:rPr>
        <w:t xml:space="preserve">O Lab02 foi executado por três estudantes de graduação identificados, nas análises, como P01, P02 e P03. Cada participante realizou seis trials em seis katas inéditas, organizadas em três blocos de dificuldade equivalente: B1 (K01/K02), B2 (K03/K04) e B3 (K05/K06). Cada bloco fornece um par: uma kata sob tratamento IA e a outra sob tratamento Manual. O desenho é, portanto, </w:t>
      </w:r>
      <w:r>
        <w:rPr>
          <w:b/>
          <w:color w:val="000000"/>
        </w:rPr>
        <w:t>crossover within-subject</w:t>
      </w:r>
      <w:r>
        <w:rPr>
          <w:color w:val="000000"/>
        </w:rPr>
        <w:t>, com nove comparações participante × bloco e 18 trials no total.</w:t>
      </w:r>
    </w:p>
    <w:p>
      <w:pPr/>
      <w:r>
        <w:rPr>
          <w:color w:val="000000"/>
        </w:rPr>
        <w:t xml:space="preserve">A alocação foi congelada em 10/09/2026 com a semente </w:t>
      </w:r>
      <w:r>
        <w:rPr>
          <w:rFonts w:ascii="Consolas" w:hAnsi="Consolas" w:eastAsia="Consolas"/>
          <w:color w:val="000000"/>
        </w:rPr>
        <w:t>20260910</w:t>
      </w:r>
      <w:r>
        <w:rPr>
          <w:color w:val="000000"/>
        </w:rPr>
        <w:t>. O plano contrabalanceou a sequência de tratamentos; a ordem efetivamente executada foi registrada para não ocultar desvios.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Participante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Sequência planejada de tratamentos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Ordem efetiva das katas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P01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IA → Manual → IA → Manual → IA → Manual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 → 4 → 5 → 3 → 2 → 6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P02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Manual → IA → Manual → IA → Manual → IA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 → 3 → 5 → 4 → 2 → 6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P03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IA → Manual → Manual → IA → IA → Manual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 → 2 → 3 → 4 → 5 → 6</w:t>
            </w:r>
          </w:p>
        </w:tc>
      </w:tr>
    </w:tbl>
    <w:p>
      <w:pPr/>
      <w:r>
        <w:rPr>
          <w:color w:val="000000"/>
        </w:rPr>
        <w:t xml:space="preserve">O time-box foi de 35 minutos (2.100 s) por trial. Um trial que alcançasse o limite deveria permanecer no dataset como censurado, com tempo observado de 2.100 s; nenhum dos 18 trials oficiais foi censurado. Pausas registradas ficaram abaixo de 15 minutos. O dataset mantém a cadeia </w:t>
      </w:r>
      <w:r>
        <w:rPr>
          <w:rFonts w:ascii="Consolas" w:hAnsi="Consolas" w:eastAsia="Consolas"/>
          <w:color w:val="000000"/>
        </w:rPr>
        <w:t>Issue → trial_id → commit → dados brutos → dataset processado → análise/figura</w:t>
      </w:r>
      <w:r>
        <w:rPr>
          <w:color w:val="000000"/>
        </w:rPr>
        <w:t xml:space="preserve">, o que permite localizar o </w:t>
      </w:r>
      <w:r>
        <w:rPr>
          <w:rFonts w:ascii="Consolas" w:hAnsi="Consolas" w:eastAsia="Consolas"/>
          <w:color w:val="000000"/>
        </w:rPr>
        <w:t>trial.json</w:t>
      </w:r>
      <w:r>
        <w:rPr>
          <w:color w:val="000000"/>
        </w:rPr>
        <w:t>, o JUnit final, as métricas estáticas e o código preservado de cada observação.</w:t>
      </w:r>
    </w:p>
    <w:p>
      <w:pPr>
        <w:pStyle w:val="Ttulo1"/>
        <w:pBdr>
          <w:bottom w:val="nil"/>
        </w:pBdr>
      </w:pPr>
      <w:r>
        <w:rPr>
          <w:color w:val="000000"/>
        </w:rPr>
        <w:t>3. Metodologia</w:t>
      </w:r>
    </w:p>
    <w:p>
      <w:pPr>
        <w:pStyle w:val="Ttulo2"/>
        <w:pBdr>
          <w:bottom w:val="nil"/>
        </w:pBdr>
      </w:pPr>
      <w:r>
        <w:rPr>
          <w:color w:val="000000"/>
        </w:rPr>
        <w:t>3.1 Principais desafios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Disponibilidade desigual de métricas estruturais.</w:t>
      </w:r>
      <w:r>
        <w:rPr>
          <w:color w:val="000000"/>
        </w:rPr>
        <w:t xml:space="preserve"> Oito trials não têm métricas de LOC, complexidade, duplicação e manutenibilidade; assim, RQ3 tem 10/18 observações de tratamento e apenas 4/9 pares completos. Essas lacunas foram preservadas como ausentes, sem imputação e sem conversão para zero.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Conflito de evidências em P01-K02-manual.</w:t>
      </w:r>
      <w:r>
        <w:rPr>
          <w:color w:val="000000"/>
        </w:rPr>
        <w:t xml:space="preserve"> O JUnit final bruto registra 0/5, enquanto o </w:t>
      </w:r>
      <w:r>
        <w:rPr>
          <w:rFonts w:ascii="Consolas" w:hAnsi="Consolas" w:eastAsia="Consolas"/>
          <w:color w:val="000000"/>
        </w:rPr>
        <w:t>poll</w:t>
      </w:r>
      <w:r>
        <w:rPr>
          <w:color w:val="000000"/>
        </w:rPr>
        <w:t xml:space="preserve"> documentado registra 5/5 a 884,796 s. A nota de qualidade preservada explica a condição de corrida do coletor; o dataset oficial utiliza 5/5, mas a ressalva permanece explícita no relatório.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Aderência parcial ao tratamento planejado.</w:t>
      </w:r>
      <w:r>
        <w:rPr>
          <w:color w:val="000000"/>
        </w:rPr>
        <w:t xml:space="preserve"> O protocolo pré-registrou Codex CLI, mas cinco trials IA usaram Claude e quatro usaram Codex. Há também desvios de versão e registros de prompts não exportáveis. Esses fatos reduzem a capacidade de atribuir resultados a um único modelo.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Amostra pequena e dependência entre pares.</w:t>
      </w:r>
      <w:r>
        <w:rPr>
          <w:color w:val="000000"/>
        </w:rPr>
        <w:t xml:space="preserve"> Nove pares vêm de apenas três participantes; os pares de uma mesma pessoa não são independentes. Por isso, valores de p e intervalos são apresentados como evidência exploratória, complementados por uma análise de sensibilidade com uma mediana por participante.</w:t>
      </w:r>
    </w:p>
    <w:p>
      <w:pPr>
        <w:pStyle w:val="Ttulo2"/>
        <w:pBdr>
          <w:bottom w:val="nil"/>
        </w:pBdr>
      </w:pPr>
      <w:r>
        <w:rPr>
          <w:color w:val="000000"/>
        </w:rPr>
        <w:t>3.2 Tomadas de decisão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A unidade experimental é um </w:t>
      </w:r>
      <w:r>
        <w:rPr>
          <w:b/>
          <w:color w:val="000000"/>
        </w:rPr>
        <w:t>trial</w:t>
      </w:r>
      <w:r>
        <w:rPr>
          <w:color w:val="000000"/>
        </w:rPr>
        <w:t>: uma pessoa, uma kata, um tratamento e um limite de tempo. A comparação pareada usa participante e bloco de dificuldade, não a mesma kata repetida.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rFonts w:ascii="Consolas" w:hAnsi="Consolas" w:eastAsia="Consolas"/>
          <w:color w:val="000000"/>
        </w:rPr>
        <w:t>duration_seconds</w:t>
      </w:r>
      <w:r>
        <w:rPr>
          <w:color w:val="000000"/>
        </w:rPr>
        <w:t xml:space="preserve"> mede tempo até todos os testes passarem; </w:t>
      </w:r>
      <w:r>
        <w:rPr>
          <w:rFonts w:ascii="Consolas" w:hAnsi="Consolas" w:eastAsia="Consolas"/>
          <w:color w:val="000000"/>
        </w:rPr>
        <w:t>success_rate = passed_tests / total_tests × 100</w:t>
      </w:r>
      <w:r>
        <w:rPr>
          <w:color w:val="000000"/>
        </w:rPr>
        <w:t xml:space="preserve"> é a métrica funcional primária. Testes falhando são complementares.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>• Para RQ3, a complexidade ciclomática média e a duplicação são confirmatórias; LOC é controle obrigatório e o Índice de Manutenibilidade (MI) é exploratório. Métricas ausentes excluem apenas o par daquela métrica.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>• A análise usa Wilcoxon exato por permutação de sinais dos postos não nulos, com α = 0,05. RQ1/RQ2 usam alternativa unilateral; RQ3 é bicaudal e ajusta complexidade/duplicação por Holm. Os ICs bootstrap de 95% são exploratórios.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O outlier </w:t>
      </w:r>
      <w:r>
        <w:rPr>
          <w:rFonts w:ascii="Consolas" w:hAnsi="Consolas" w:eastAsia="Consolas"/>
          <w:color w:val="000000"/>
        </w:rPr>
        <w:t>P02-K02-manual</w:t>
      </w:r>
      <w:r>
        <w:rPr>
          <w:color w:val="000000"/>
        </w:rPr>
        <w:t xml:space="preserve"> (1.191 s) foi mantido. A validação encontrou 0 erro crítico, 31 avisos e 1 observação extrema preservada; não houve limpeza manual dos valores que favorecessem uma hipótese.</w:t>
      </w:r>
    </w:p>
    <w:p>
      <w:pPr>
        <w:pStyle w:val="Ttulo2"/>
        <w:pBdr>
          <w:bottom w:val="nil"/>
        </w:pBdr>
      </w:pPr>
      <w:r>
        <w:rPr>
          <w:color w:val="000000"/>
        </w:rPr>
        <w:t>3.3 Etapas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Entrega rastreável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Evidência principal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Planejamento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protocolo, katas, blocos e alocação congelada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Docs/methodology.md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data/metadata/allocation.csv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Execução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18 registros de trial, código final e testes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data/raw/trials/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trials/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Consolidação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dataset único, erros e validação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data/processed/trials.csv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consolidation-errors.csv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reports/drafts/data-validation.md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Análise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RQ1–RQ3, resultados estatísticos e dashboard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scripts/run_analysis.py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scripts/generate_dashboard.py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reports/figures/dashboard/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Relatório final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tabela reproduzível, figuras e documento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scripts/generate_final_report_table.py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00000"/>
                <w:sz w:val="17"/>
              </w:rPr>
              <w:t>reports/final/</w:t>
            </w:r>
          </w:p>
        </w:tc>
      </w:tr>
    </w:tbl>
    <w:p>
      <w:pPr>
        <w:pStyle w:val="Ttulo2"/>
        <w:pBdr>
          <w:bottom w:val="nil"/>
        </w:pBdr>
      </w:pPr>
      <w:r>
        <w:rPr>
          <w:color w:val="000000"/>
        </w:rPr>
        <w:t>3.4 Ferramentas e ambiente</w:t>
      </w:r>
    </w:p>
    <w:p>
      <w:pPr/>
      <w:r>
        <w:rPr>
          <w:color w:val="000000"/>
        </w:rPr>
        <w:t xml:space="preserve">O ambiente planejado foi Python 3.12.14, pytest 9.1.1, Radon 6.0.1, JSCPD 5.2.0, Node 24.19.0, npm 11.17.0, uv 0.12.10 e VS Code 1.137.0. Para análise e visualização foram usados SciPy 1.16.2, Matplotlib 3.10.6 e Streamlit 1.64.0. As versões, configurações e dependências permanecem em </w:t>
      </w:r>
      <w:r>
        <w:rPr>
          <w:rFonts w:ascii="Consolas" w:hAnsi="Consolas" w:eastAsia="Consolas"/>
          <w:color w:val="000000"/>
        </w:rPr>
        <w:t>data/metadata/environment.json</w:t>
      </w:r>
      <w:r>
        <w:rPr>
          <w:color w:val="000000"/>
        </w:rPr>
        <w:t xml:space="preserve">, </w:t>
      </w:r>
      <w:r>
        <w:rPr>
          <w:rFonts w:ascii="Consolas" w:hAnsi="Consolas" w:eastAsia="Consolas"/>
          <w:color w:val="000000"/>
        </w:rPr>
        <w:t>requirements*.txt</w:t>
      </w:r>
      <w:r>
        <w:rPr>
          <w:color w:val="000000"/>
        </w:rPr>
        <w:t xml:space="preserve">, </w:t>
      </w:r>
      <w:r>
        <w:rPr>
          <w:rFonts w:ascii="Consolas" w:hAnsi="Consolas" w:eastAsia="Consolas"/>
          <w:color w:val="000000"/>
        </w:rPr>
        <w:t>requirements.lock</w:t>
      </w:r>
      <w:r>
        <w:rPr>
          <w:color w:val="000000"/>
        </w:rPr>
        <w:t xml:space="preserve">, </w:t>
      </w:r>
      <w:r>
        <w:rPr>
          <w:rFonts w:ascii="Consolas" w:hAnsi="Consolas" w:eastAsia="Consolas"/>
          <w:color w:val="000000"/>
        </w:rPr>
        <w:t>radon.cfg</w:t>
      </w:r>
      <w:r>
        <w:rPr>
          <w:color w:val="000000"/>
        </w:rPr>
        <w:t xml:space="preserve"> e </w:t>
      </w:r>
      <w:r>
        <w:rPr>
          <w:rFonts w:ascii="Consolas" w:hAnsi="Consolas" w:eastAsia="Consolas"/>
          <w:color w:val="000000"/>
        </w:rPr>
        <w:t>.jscpd.json</w:t>
      </w:r>
      <w:r>
        <w:rPr>
          <w:color w:val="000000"/>
        </w:rPr>
        <w:t>.</w:t>
      </w:r>
    </w:p>
    <w:p>
      <w:pPr/>
      <w:r>
        <w:rPr>
          <w:color w:val="000000"/>
        </w:rPr>
        <w:t xml:space="preserve">O tratamento IA pré-registrado foi Codex CLI 0.154.0, modelo </w:t>
      </w:r>
      <w:r>
        <w:rPr>
          <w:rFonts w:ascii="Consolas" w:hAnsi="Consolas" w:eastAsia="Consolas"/>
          <w:color w:val="000000"/>
        </w:rPr>
        <w:t>gpt-5.3-codex</w:t>
      </w:r>
      <w:r>
        <w:rPr>
          <w:color w:val="000000"/>
        </w:rPr>
        <w:t xml:space="preserve">, via ChatGPT Pro, em modo chat/agente pelo terminal, com acesso verificado em 10/09/2026 e contexto novo a cada trial. A execução real contém exceções: P01 usou Claude Code 2.1.273 com </w:t>
      </w:r>
      <w:r>
        <w:rPr>
          <w:rFonts w:ascii="Consolas" w:hAnsi="Consolas" w:eastAsia="Consolas"/>
          <w:color w:val="000000"/>
        </w:rPr>
        <w:t>claude-sonnet-5</w:t>
      </w:r>
      <w:r>
        <w:rPr>
          <w:color w:val="000000"/>
        </w:rPr>
        <w:t>; P02-K01-ai e P02-K04-ai também registram Claude, com versão esperada 2.1.273 e detectada 2.1.276. O relatório trata o tratamento como “uso de assistente de IA” e não como um efeito exclusivo de uma ferramenta.</w:t>
      </w:r>
    </w:p>
    <w:p>
      <w:pPr>
        <w:pStyle w:val="Ttulo2"/>
        <w:pBdr>
          <w:bottom w:val="nil"/>
        </w:pBdr>
      </w:pPr>
      <w:r>
        <w:rPr>
          <w:color w:val="000000"/>
        </w:rPr>
        <w:t>3.5 Tabela de métricas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RQ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Definição operacional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Unidade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RQ1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Tempo até verde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Tempo observado até todos os testes de aceitação passarem; 2.100 s se censurado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segundos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trial.json</w:t>
            </w:r>
            <w:r>
              <w:rPr>
                <w:color w:val="000000"/>
                <w:sz w:val="17"/>
              </w:rPr>
              <w:t>, logs e dataset consolidado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RQ2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Taxa de sucesso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passed_tests / total_tests × 100</w:t>
            </w:r>
            <w:r>
              <w:rPr>
                <w:color w:val="000000"/>
                <w:sz w:val="17"/>
              </w:rPr>
              <w:t xml:space="preserve"> ao fim do trial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percentual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 xml:space="preserve">JUnit final, </w:t>
            </w:r>
            <w:r>
              <w:rPr>
                <w:rFonts w:ascii="Consolas" w:hAnsi="Consolas" w:eastAsia="Consolas"/>
                <w:color w:val="000000"/>
                <w:sz w:val="17"/>
              </w:rPr>
              <w:t>trial.json</w:t>
            </w:r>
            <w:r>
              <w:rPr>
                <w:color w:val="000000"/>
                <w:sz w:val="17"/>
              </w:rPr>
              <w:t xml:space="preserve"> e nota de qualidade quando aplicável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Complexidade média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Média da complexidade ciclomática por função/método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pontos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 xml:space="preserve">Radon em </w:t>
            </w:r>
            <w:r>
              <w:rPr>
                <w:rFonts w:ascii="Consolas" w:hAnsi="Consolas" w:eastAsia="Consolas"/>
                <w:color w:val="000000"/>
                <w:sz w:val="17"/>
              </w:rPr>
              <w:t>metrics.json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Duplicação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Linhas duplicadas relativas ao código de produção final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percentual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 xml:space="preserve">JSCPD em </w:t>
            </w:r>
            <w:r>
              <w:rPr>
                <w:rFonts w:ascii="Consolas" w:hAnsi="Consolas" w:eastAsia="Consolas"/>
                <w:color w:val="000000"/>
                <w:sz w:val="17"/>
              </w:rPr>
              <w:t>metrics.json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LOC e MI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Controles de tamanho e análise exploratória de manutenibilidade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linhas / pontos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000000"/>
                <w:sz w:val="17"/>
              </w:rPr>
              <w:t>metrics.json</w:t>
            </w:r>
          </w:p>
        </w:tc>
      </w:tr>
    </w:tbl>
    <w:p>
      <w:pPr>
        <w:pStyle w:val="Ttulo2"/>
        <w:pBdr>
          <w:bottom w:val="nil"/>
        </w:pBdr>
      </w:pPr>
      <w:r>
        <w:rPr>
          <w:color w:val="000000"/>
        </w:rPr>
        <w:t>3.6 Reprodutibilidade e contribuição técnica</w:t>
      </w:r>
    </w:p>
    <w:p>
      <w:pPr/>
      <w:r>
        <w:rPr>
          <w:color w:val="000000"/>
        </w:rPr>
        <w:t xml:space="preserve">O pipeline é executado da pasta </w:t>
      </w:r>
      <w:r>
        <w:rPr>
          <w:rFonts w:ascii="Consolas" w:hAnsi="Consolas" w:eastAsia="Consolas"/>
          <w:color w:val="000000"/>
        </w:rPr>
        <w:t>Lab02</w:t>
      </w:r>
      <w:r>
        <w:rPr>
          <w:color w:val="000000"/>
        </w:rPr>
        <w:t xml:space="preserve"> e não requer edição manual do dataset: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scripts/build_dataset.py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scripts/validate_dataset.py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scripts/run_analysis.py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scripts/generate_dashboard.py --dataset data/processed/trials.csv --output reports/figures/dashboard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scripts/generate_final_report_table.py --input data/processed/statistical-results.csv --output-dir reports/final/figures</w:t>
      </w:r>
    </w:p>
    <w:p>
      <w:pPr>
        <w:spacing w:after="0"/>
        <w:ind w:left="317"/>
        <w:shd w:fill="F3F5F7"/>
      </w:pPr>
      <w:r>
        <w:rPr>
          <w:rFonts w:ascii="Consolas" w:hAnsi="Consolas" w:eastAsia="Consolas"/>
          <w:color w:val="000000"/>
          <w:sz w:val="17"/>
        </w:rPr>
        <w:t>python scripts/generate_final_report_docx.py --template Docs/templates/Template_Relatorio_Laboratorio.docx</w:t>
      </w:r>
    </w:p>
    <w:p>
      <w:pPr/>
      <w:r>
        <w:rPr>
          <w:color w:val="000000"/>
        </w:rPr>
        <w:t xml:space="preserve">O novo </w:t>
      </w:r>
      <w:r>
        <w:rPr>
          <w:rFonts w:ascii="Consolas" w:hAnsi="Consolas" w:eastAsia="Consolas"/>
          <w:color w:val="000000"/>
        </w:rPr>
        <w:t>scripts/generate_final_report_table.py</w:t>
      </w:r>
      <w:r>
        <w:rPr>
          <w:color w:val="000000"/>
        </w:rPr>
        <w:t xml:space="preserve"> gera a Tabela 1 em CSV e Markdown diretamente de </w:t>
      </w:r>
      <w:r>
        <w:rPr>
          <w:rFonts w:ascii="Consolas" w:hAnsi="Consolas" w:eastAsia="Consolas"/>
          <w:color w:val="000000"/>
        </w:rPr>
        <w:t>data/processed/statistical-results.csv</w:t>
      </w:r>
      <w:r>
        <w:rPr>
          <w:color w:val="000000"/>
        </w:rPr>
        <w:t xml:space="preserve">; seus testes ficam em </w:t>
      </w:r>
      <w:r>
        <w:rPr>
          <w:rFonts w:ascii="Consolas" w:hAnsi="Consolas" w:eastAsia="Consolas"/>
          <w:color w:val="000000"/>
        </w:rPr>
        <w:t>tests/test_final_report_table.py</w:t>
      </w:r>
      <w:r>
        <w:rPr>
          <w:color w:val="000000"/>
        </w:rPr>
        <w:t xml:space="preserve">. O gerador do documento usa </w:t>
      </w:r>
      <w:r>
        <w:rPr>
          <w:rFonts w:ascii="Consolas" w:hAnsi="Consolas" w:eastAsia="Consolas"/>
          <w:color w:val="000000"/>
        </w:rPr>
        <w:t>python-docx==1.2.0</w:t>
      </w:r>
      <w:r>
        <w:rPr>
          <w:color w:val="000000"/>
        </w:rPr>
        <w:t xml:space="preserve"> (fixado em </w:t>
      </w:r>
      <w:r>
        <w:rPr>
          <w:rFonts w:ascii="Consolas" w:hAnsi="Consolas" w:eastAsia="Consolas"/>
          <w:color w:val="000000"/>
        </w:rPr>
        <w:t>requirements-report.txt</w:t>
      </w:r>
      <w:r>
        <w:rPr>
          <w:color w:val="000000"/>
        </w:rPr>
        <w:t xml:space="preserve">) e a cópia versionada do template fornecido. As figuras selecionadas nesta versão são cópias rastreáveis das saídas do dashboard; suas fontes, nomes originais e geradores estão documentados em </w:t>
      </w:r>
      <w:r>
        <w:rPr>
          <w:color w:val="000000"/>
        </w:rPr>
        <w:t>`figures/README.md` (figures/README.md)</w:t>
      </w:r>
      <w:r>
        <w:rPr>
          <w:color w:val="000000"/>
        </w:rPr>
        <w:t>.</w:t>
      </w:r>
    </w:p>
    <w:p>
      <w:pPr>
        <w:pStyle w:val="Ttulo1"/>
        <w:pBdr>
          <w:bottom w:val="nil"/>
        </w:pBdr>
      </w:pPr>
      <w:r>
        <w:rPr>
          <w:color w:val="000000"/>
        </w:rPr>
        <w:t>4. Resultados</w:t>
      </w:r>
    </w:p>
    <w:p>
      <w:pPr>
        <w:pStyle w:val="Ttulo2"/>
        <w:pBdr>
          <w:bottom w:val="nil"/>
        </w:pBdr>
      </w:pPr>
      <w:r>
        <w:rPr>
          <w:color w:val="000000"/>
        </w:rPr>
        <w:t>4.1 Coleta, cobertura e qualidade</w:t>
      </w:r>
    </w:p>
    <w:p>
      <w:pPr/>
      <w:r>
        <w:rPr>
          <w:color w:val="000000"/>
        </w:rPr>
        <w:t xml:space="preserve">O dataset oficial possui exatamente 18 linhas e 18 </w:t>
      </w:r>
      <w:r>
        <w:rPr>
          <w:rFonts w:ascii="Consolas" w:hAnsi="Consolas" w:eastAsia="Consolas"/>
          <w:color w:val="000000"/>
        </w:rPr>
        <w:t>trial_id</w:t>
      </w:r>
      <w:r>
        <w:rPr>
          <w:color w:val="000000"/>
        </w:rPr>
        <w:t xml:space="preserve"> únicos: nove tratamentos IA e nove Manuais, todos concluídos. Há nove pares válidos para RQ1/RQ2, formados por P01–P03 e B1–B3. A validação de 23/09/2026 autorizou o uso do dataset nas três RQs, sem achado crítico. O relatório de consolidação de erros e os 31 avisos permanecem disponíveis; eles indicam limitações de cobertura, não dados fabricados.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135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Tratamento no relatório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Trials censurados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0/18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nenhum valor foi artificialmente limitado; a regra de 2.100 s continua documentada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Métricas estruturais ausentes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8/18 trials; 4/9 pares completos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células vazias; exclusão somente da comparação estrutural correspondente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Dificuldade percebida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ausente em todos os trials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não analisada como desfecho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Logs de prompts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indisponíveis em 5 trials IA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ausência declarada; não inferida a partir de texto livre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Tentativas IA invalidadas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3 tentativas fora do dataset oficial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excluídas por falta de interação real documentada; possível exposição prévia é ameaça à validade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Outlier de tempo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P02-K02-manual, 1.191 s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mantido, identificado e não removido</w:t>
            </w:r>
          </w:p>
        </w:tc>
      </w:tr>
    </w:tbl>
    <w:p>
      <w:pPr/>
      <w:r>
        <w:rPr>
          <w:b/>
          <w:color w:val="000000"/>
        </w:rPr>
        <w:t>Tabela 1 — Síntese quantitativa das RQs.</w:t>
      </w:r>
      <w:r>
        <w:rPr>
          <w:color w:val="000000"/>
        </w:rPr>
        <w:t xml:space="preserve"> A tabela foi produzida pelo script versionado e também está disponível em </w:t>
      </w:r>
      <w:r>
        <w:rPr>
          <w:color w:val="000000"/>
        </w:rPr>
        <w:t>`figures/tabela-resumo-rqs.md` (figures/tabela-resumo-rqs.md)</w:t>
      </w:r>
      <w:r>
        <w:rPr>
          <w:color w:val="000000"/>
        </w:rPr>
        <w:t xml:space="preserve"> e </w:t>
      </w:r>
      <w:r>
        <w:rPr>
          <w:color w:val="000000"/>
        </w:rPr>
        <w:t>`figures/tabela-resumo-rqs.csv` (figures/tabela-resumo-rqs.csv)</w:t>
      </w:r>
      <w:r>
        <w:rPr>
          <w:color w:val="000000"/>
        </w:rPr>
        <w:t>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RQ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Manual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IA</w:t>
            </w:r>
          </w:p>
        </w:tc>
        <w:tc>
          <w:tcPr>
            <w:tcW w:type="dxa" w:w="1881"/>
            <w:vAlign w:val="center"/>
            <w:shd w:fill="1F6E6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Comparação pareada / ressalva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RQ1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Tempo até todos os testes verdes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606 [485; 695] (n=9) 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261 [178; 316] (n=9) 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Δ Manual−IA=+310 s; p=0,0098; r=0,87; IC expl. [-92; 549] s; 9/9 pares, 0 ausente(s).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RQ2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Taxa de sucesso dos testes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100 [100; 100] (n=9) %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100 [100; 100] (n=9) %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Δ IA−Manual=0 p.p.; 9/9 empates; p e r indefinidos por empates totais; IC expl. [0; 0] p.p.; 0 ausente(s).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Complexidade ciclomática média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8,00 [7,25; 9,00] (n=4) pontos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7,00 [7,00; 9,25] (n=6) pontos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Δ IA−Manual=+2,00 pontos; 4/9 pares; 5 ausente(s); p=0,7500; Holm=1,0000; r=0,20; IC expl. [-5; 4].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Duplicação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0,00 [0,00; 0,00] (n=4) %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0,00 [0,00; 0,00] (n=6) %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Δ IA−Manual=0,00 p.p.; 4/4 empates; 5 ausente(s); p e r indefinidos por empates totais.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LOC / manutenibilidade (exploratórias)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LOC 31,50; MI 63,60 (n=4)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LOC 33,50; MI 78,98 (n=6)</w:t>
            </w:r>
          </w:p>
        </w:tc>
        <w:tc>
          <w:tcPr>
            <w:tcW w:type="dxa" w:w="1881"/>
            <w:vAlign w:val="center"/>
          </w:tcPr>
          <w:p>
            <w:pPr>
              <w:spacing w:after="0" w:before="0"/>
            </w:pPr>
            <w:r>
              <w:rPr>
                <w:color w:val="000000"/>
                <w:sz w:val="17"/>
              </w:rPr>
              <w:t>Métricas de controle/exploratórias; 4/9 pares estruturais completos; sem teste confirmatório pré-registrado.</w:t>
            </w:r>
          </w:p>
        </w:tc>
      </w:tr>
    </w:tbl>
    <w:p>
      <w:pPr>
        <w:pStyle w:val="Ttulo2"/>
        <w:pBdr>
          <w:bottom w:val="nil"/>
        </w:pBdr>
      </w:pPr>
      <w:r>
        <w:rPr>
          <w:color w:val="000000"/>
        </w:rPr>
        <w:t>4.2 Visualizações e respostas objetivas</w:t>
      </w:r>
    </w:p>
    <w:p>
      <w:pPr>
        <w:pStyle w:val="Ttulo3"/>
        <w:pBdr>
          <w:bottom w:val="nil"/>
        </w:pBdr>
      </w:pPr>
      <w:r>
        <w:rPr>
          <w:color w:val="000000"/>
        </w:rPr>
        <w:t>RQ1 — Tempo</w:t>
      </w:r>
    </w:p>
    <w:p>
      <w:pPr/>
      <w:r>
        <w:rPr>
          <w:color w:val="000000"/>
        </w:rPr>
        <w:t xml:space="preserve">Nos nove pares registrados, a mediana do tempo foi 606 s no tratamento Manual e 261 s no tratamento IA. A diferença pareada mediana </w:t>
      </w:r>
      <w:r>
        <w:rPr>
          <w:rFonts w:ascii="Consolas" w:hAnsi="Consolas" w:eastAsia="Consolas"/>
          <w:color w:val="000000"/>
        </w:rPr>
        <w:t>Manual − IA</w:t>
      </w:r>
      <w:r>
        <w:rPr>
          <w:color w:val="000000"/>
        </w:rPr>
        <w:t xml:space="preserve"> foi +310 s; sete pares favoreceram IA. O Wilcoxon unilateral resultou em </w:t>
      </w:r>
      <w:r>
        <w:rPr>
          <w:rFonts w:ascii="Consolas" w:hAnsi="Consolas" w:eastAsia="Consolas"/>
          <w:color w:val="000000"/>
        </w:rPr>
        <w:t>p=0,0098</w:t>
      </w:r>
      <w:r>
        <w:rPr>
          <w:color w:val="000000"/>
        </w:rPr>
        <w:t xml:space="preserve"> e a correlação bisserial de postos foi 0,87, mas o intervalo exploratório de 95% foi amplo (−92 a 549 s). </w:t>
      </w:r>
      <w:r>
        <w:rPr>
          <w:b/>
          <w:color w:val="000000"/>
        </w:rPr>
        <w:t>Resposta à RQ1:</w:t>
      </w:r>
      <w:r>
        <w:rPr>
          <w:color w:val="000000"/>
        </w:rPr>
        <w:t xml:space="preserve"> para os trials observados, IA esteve associada a menor tempo na maioria dos pares; isso não demonstra um efeito causal geral.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020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du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2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color w:val="000000"/>
          <w:sz w:val="18"/>
        </w:rPr>
        <w:t>Figura 1 — RQ1: tempo por tratamento; cada ponto é um trial</w:t>
      </w:r>
    </w:p>
    <w:p>
      <w:pPr>
        <w:pStyle w:val="Ttulo3"/>
        <w:pBdr>
          <w:bottom w:val="nil"/>
        </w:pBdr>
      </w:pPr>
      <w:r>
        <w:rPr>
          <w:color w:val="000000"/>
        </w:rPr>
        <w:t>RQ2 — Qualidade funcional</w:t>
      </w:r>
    </w:p>
    <w:p>
      <w:pPr/>
      <w:r>
        <w:rPr>
          <w:color w:val="000000"/>
        </w:rPr>
        <w:t xml:space="preserve">Os dois tratamentos tiveram mediana de 100% de sucesso, com nove diferenças pareadas iguais a zero; por isso, o teste de Wilcoxon e o tamanho de efeito ficam indefinidos por empates totais. </w:t>
      </w:r>
      <w:r>
        <w:rPr>
          <w:b/>
          <w:color w:val="000000"/>
        </w:rPr>
        <w:t>Resposta à RQ2:</w:t>
      </w:r>
      <w:r>
        <w:rPr>
          <w:color w:val="000000"/>
        </w:rPr>
        <w:t xml:space="preserve"> não se observou diferença na taxa final de testes passando. O resultado não prova equivalência funcional nem ausência de defeitos fora da suíte de aceitação.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287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outco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8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color w:val="000000"/>
          <w:sz w:val="18"/>
        </w:rPr>
        <w:t>Figura 2 — RQ2: taxa de sucesso e conclusão nos 18 trials</w:t>
      </w:r>
    </w:p>
    <w:p>
      <w:pPr>
        <w:pStyle w:val="Ttulo3"/>
        <w:pBdr>
          <w:bottom w:val="nil"/>
        </w:pBdr>
      </w:pPr>
      <w:r>
        <w:rPr>
          <w:color w:val="000000"/>
        </w:rPr>
        <w:t>RQ3 — Qualidade estrutural</w:t>
      </w:r>
    </w:p>
    <w:p>
      <w:pPr/>
      <w:r>
        <w:rPr>
          <w:color w:val="000000"/>
        </w:rPr>
        <w:t xml:space="preserve">Na complexidade ciclomática média, os quatro pares completos produziram diferenças IA − Manual de +4, +2, −5 e +2 pontos, com mediana +2. O teste bicaudal resultou em </w:t>
      </w:r>
      <w:r>
        <w:rPr>
          <w:rFonts w:ascii="Consolas" w:hAnsi="Consolas" w:eastAsia="Consolas"/>
          <w:color w:val="000000"/>
        </w:rPr>
        <w:t>p=0,7500</w:t>
      </w:r>
      <w:r>
        <w:rPr>
          <w:color w:val="000000"/>
        </w:rPr>
        <w:t xml:space="preserve">, Holm = 1,0000, </w:t>
      </w:r>
      <w:r>
        <w:rPr>
          <w:rFonts w:ascii="Consolas" w:hAnsi="Consolas" w:eastAsia="Consolas"/>
          <w:color w:val="000000"/>
        </w:rPr>
        <w:t>r=0,20</w:t>
      </w:r>
      <w:r>
        <w:rPr>
          <w:color w:val="000000"/>
        </w:rPr>
        <w:t xml:space="preserve"> e IC exploratório de −5 a 4 pontos. A duplicação foi 0% nos quatro pares completos, todos empatados. LOC mediano foi 31,50 no Manual e 33,50 com IA; MI mediano foi 63,60 e 78,98, respectivamente, mas ambas são leituras exploratórias em amostras marginais de tamanhos diferentes. </w:t>
      </w:r>
      <w:r>
        <w:rPr>
          <w:b/>
          <w:color w:val="000000"/>
        </w:rPr>
        <w:t>Resposta à RQ3:</w:t>
      </w:r>
      <w:r>
        <w:rPr>
          <w:color w:val="000000"/>
        </w:rPr>
        <w:t xml:space="preserve"> os dados disponíveis não sustentam uma alteração estrutural geral; a complexidade aponta +2 pontos com IA nos pares observáveis, com incerteza ampla e cobertura incompleta.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04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0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color w:val="000000"/>
          <w:sz w:val="18"/>
        </w:rPr>
        <w:t>Figura 3 — RQ3: disponibilidade das métricas estruturais</w:t>
      </w:r>
    </w:p>
    <w:p>
      <w:pPr>
        <w:pStyle w:val="Ttulo2"/>
        <w:pBdr>
          <w:bottom w:val="nil"/>
        </w:pBdr>
      </w:pPr>
      <w:r>
        <w:rPr>
          <w:color w:val="000000"/>
        </w:rPr>
        <w:t>4.3 Discussão</w:t>
      </w:r>
    </w:p>
    <w:p>
      <w:pPr>
        <w:pStyle w:val="Ttulo3"/>
        <w:pBdr>
          <w:bottom w:val="nil"/>
        </w:pBdr>
      </w:pPr>
      <w:r>
        <w:rPr>
          <w:color w:val="000000"/>
        </w:rPr>
        <w:t>RQ1 — Interpretação do efeito de tempo</w:t>
      </w:r>
    </w:p>
    <w:p>
      <w:pPr/>
      <w:r>
        <w:rPr>
          <w:color w:val="000000"/>
        </w:rPr>
        <w:t xml:space="preserve">O efeito observacional em RQ1 é grande em direção favorável à IA: a diferença pareada mediana foi de 310 s e sete de nove pares apontaram para menor tempo com assistente. Ainda assim, a síntese por participante produz medianas de +302 s (P01), +549 s (P02) e −92 s (P03), com </w:t>
      </w:r>
      <w:r>
        <w:rPr>
          <w:rFonts w:ascii="Consolas" w:hAnsi="Consolas" w:eastAsia="Consolas"/>
          <w:color w:val="000000"/>
        </w:rPr>
        <w:t>p=0,25</w:t>
      </w:r>
      <w:r>
        <w:rPr>
          <w:color w:val="000000"/>
        </w:rPr>
        <w:t xml:space="preserve"> para apenas três resumos. Essa sensibilidade mostra que o resultado agregado não deve ser interpretado como uma estimativa independente de nove pessoas. Diferenças de experiência, ordem de execução, familiaridade com as katas e o próprio assistente podem explicar parte do contraste.</w:t>
      </w:r>
    </w:p>
    <w:p>
      <w:pPr>
        <w:pStyle w:val="Ttulo3"/>
        <w:pBdr>
          <w:bottom w:val="nil"/>
        </w:pBdr>
      </w:pPr>
      <w:r>
        <w:rPr>
          <w:color w:val="000000"/>
        </w:rPr>
        <w:t>RQ2 — Teto funcional e evidência conflitante</w:t>
      </w:r>
    </w:p>
    <w:p>
      <w:pPr/>
      <w:r>
        <w:rPr>
          <w:color w:val="000000"/>
        </w:rPr>
        <w:t xml:space="preserve">O desfecho ficou no teto: 18/18 trials no dataset consolidado têm 100% de sucesso. Essa leitura é condicional à interpretação auditada de P01-K02-manual: o </w:t>
      </w:r>
      <w:r>
        <w:rPr>
          <w:rFonts w:ascii="Consolas" w:hAnsi="Consolas" w:eastAsia="Consolas"/>
          <w:color w:val="000000"/>
        </w:rPr>
        <w:t>poll</w:t>
      </w:r>
      <w:r>
        <w:rPr>
          <w:color w:val="000000"/>
        </w:rPr>
        <w:t xml:space="preserve"> registrado em 884,796 s indica 5/5, enquanto o JUnit final bruto indica 0/5 e </w:t>
      </w:r>
      <w:r>
        <w:rPr>
          <w:rFonts w:ascii="Consolas" w:hAnsi="Consolas" w:eastAsia="Consolas"/>
          <w:color w:val="000000"/>
        </w:rPr>
        <w:t>NotImplementedError</w:t>
      </w:r>
      <w:r>
        <w:rPr>
          <w:color w:val="000000"/>
        </w:rPr>
        <w:t>. Se o JUnit final fosse usado isoladamente, haveria 17/18 verdes e um par favorável à IA. A decisão de consolidação é rastreável e não altera o arquivo bruto, mas torna RQ2 particularmente sensível à qualidade do coletor. Além disso, teste de aceitação não mede todos os defeitos possíveis.</w:t>
      </w:r>
    </w:p>
    <w:p>
      <w:pPr>
        <w:pStyle w:val="Ttulo3"/>
        <w:pBdr>
          <w:bottom w:val="nil"/>
        </w:pBdr>
      </w:pPr>
      <w:r>
        <w:rPr>
          <w:color w:val="000000"/>
        </w:rPr>
        <w:t>RQ3 — Cobertura incompleta e magnitudes</w:t>
      </w:r>
    </w:p>
    <w:p>
      <w:pPr/>
      <w:r>
        <w:rPr>
          <w:color w:val="000000"/>
        </w:rPr>
        <w:t>RQ3 é a comparação mais limitada. Oito trials sem métricas estruturais reduzem a análise pareada a quatro pares, e P01 não possui nenhuma observação estrutural. A mediana +2 de complexidade com IA é uma magnitude potencialmente relevante para uma kata curta, mas o IC exploratório inclui melhora de cinco pontos e piora de quatro; não há precisão para afirmar direção consistente. A duplicação nula representa empate sob a configuração específica do JSCPD, não prova ausência de repetição conceitual. As diferenças em LOC e MI ajudam a contextualizar tamanho/manutenibilidade, mas não substituem o teste pareado pré-registrado.</w:t>
      </w:r>
    </w:p>
    <w:p>
      <w:pPr>
        <w:pStyle w:val="Ttulo3"/>
        <w:pBdr>
          <w:bottom w:val="nil"/>
        </w:pBdr>
      </w:pPr>
      <w:r>
        <w:rPr>
          <w:color w:val="000000"/>
        </w:rPr>
        <w:t>Ameaças à validade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Interna:</w:t>
      </w:r>
      <w:r>
        <w:rPr>
          <w:color w:val="000000"/>
        </w:rPr>
        <w:t xml:space="preserve"> sequência efetiva desviou do contrabalanceamento, especialmente P02, que realizou os três trials Manuais antes dos de IA; P02-K04-ai terminou às 23:59 de 17/09 e P02-K01-ai às 00:10 de 18/09, após o prazo planejado.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De construto:</w:t>
      </w:r>
      <w:r>
        <w:rPr>
          <w:color w:val="000000"/>
        </w:rPr>
        <w:t xml:space="preserve"> o tratamento IA não foi homogêneo entre Codex e Claude; cinco logs de prompt não puderam ser exportados. RQ2 depende de uma correção de interpretação documentada do coletor.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De conclusão:</w:t>
      </w:r>
      <w:r>
        <w:rPr>
          <w:color w:val="000000"/>
        </w:rPr>
        <w:t xml:space="preserve"> há pseudorreplicação, três participantes, ausência estrutural e empates totais. Valores de p, tamanhos de efeito e ICs são exploratórios.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Externa:</w:t>
      </w:r>
      <w:r>
        <w:rPr>
          <w:color w:val="000000"/>
        </w:rPr>
        <w:t xml:space="preserve"> são seis katas curtas, estudantes de uma única turma e ferramentas/versões específicas. Os resultados não se generalizam automaticamente para tarefas industriais, outros modelos ou equipes.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</w:t>
      </w:r>
      <w:r>
        <w:rPr>
          <w:b/>
          <w:color w:val="000000"/>
        </w:rPr>
        <w:t>De histórico/aprendizagem:</w:t>
      </w:r>
      <w:r>
        <w:rPr>
          <w:color w:val="000000"/>
        </w:rPr>
        <w:t xml:space="preserve"> três tentativas IA invalidadas foram excluídas por ausência de interação real; a exposição prévia à kata em uma retentativa ainda pode influenciar o desempenho posterior.</w:t>
      </w:r>
    </w:p>
    <w:p>
      <w:pPr>
        <w:pStyle w:val="Ttulo1"/>
        <w:pBdr>
          <w:bottom w:val="nil"/>
        </w:pBdr>
      </w:pPr>
      <w:r>
        <w:rPr>
          <w:color w:val="000000"/>
        </w:rPr>
        <w:t>5. Conclusão</w:t>
      </w:r>
    </w:p>
    <w:p>
      <w:pPr/>
      <w:r>
        <w:rPr>
          <w:color w:val="000000"/>
        </w:rPr>
        <w:t>Esta primeira versão do relatório consolida um experimento com 18 trials rastreáveis e um pipeline que pode ser reexecutado. A evidência observada favorece o uso de assistente de IA para tempo em sete dos nove pares, não mostra diferença funcional na taxa final de testes e é inconclusiva para qualidade estrutural devido à disponibilidade limitada das métricas. A interpretação mais responsável é local ao experimento: há indícios de menor tempo com IA sob estas condições, sem evidência de ganho funcional adicional e sem precisão suficiente para caracterizar o efeito estrutural.</w:t>
      </w:r>
    </w:p>
    <w:p>
      <w:pPr/>
      <w:r>
        <w:rPr>
          <w:color w:val="000000"/>
        </w:rPr>
        <w:t>Os resultados desfavoráveis ou ambíguos foram mantidos: os empates de RQ2, a direção de complexidade potencialmente pior com IA e as ausências de RQ3 não foram ocultados. Uma replicação mais forte precisaria de mais participantes, instrumentos com exportação de prompts verificável, um único assistente/versão, registro de métricas estruturais completo e contrabalanceamento efetivamente seguido.</w:t>
      </w:r>
    </w:p>
    <w:p>
      <w:pPr>
        <w:pStyle w:val="Ttulo1"/>
        <w:pBdr>
          <w:bottom w:val="nil"/>
        </w:pBdr>
      </w:pPr>
      <w:r>
        <w:rPr>
          <w:color w:val="000000"/>
        </w:rPr>
        <w:t>6. Referências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LAB02. </w:t>
      </w:r>
      <w:r>
        <w:rPr>
          <w:color w:val="000000"/>
        </w:rPr>
        <w:t>Metodologia e protocolo pré-registrado (../../Docs/methodology.md)</w:t>
      </w:r>
      <w:r>
        <w:rPr>
          <w:color w:val="000000"/>
        </w:rPr>
        <w:t>. Repositório do experimento, 2026.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LAB02. </w:t>
      </w:r>
      <w:r>
        <w:rPr>
          <w:color w:val="000000"/>
        </w:rPr>
        <w:t>Dataset processado de trials (../../data/processed/trials.csv)</w:t>
      </w:r>
      <w:r>
        <w:rPr>
          <w:color w:val="000000"/>
        </w:rPr>
        <w:t xml:space="preserve">, </w:t>
      </w:r>
      <w:r>
        <w:rPr>
          <w:color w:val="000000"/>
        </w:rPr>
        <w:t>resultados estatísticos (../../data/processed/statistical-results.csv)</w:t>
      </w:r>
      <w:r>
        <w:rPr>
          <w:color w:val="000000"/>
        </w:rPr>
        <w:t xml:space="preserve"> e </w:t>
      </w:r>
      <w:r>
        <w:rPr>
          <w:color w:val="000000"/>
        </w:rPr>
        <w:t>relatório de validação (../drafts/data-validation.md)</w:t>
      </w:r>
      <w:r>
        <w:rPr>
          <w:color w:val="000000"/>
        </w:rPr>
        <w:t>, 2026.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LAB02. </w:t>
      </w:r>
      <w:r>
        <w:rPr>
          <w:color w:val="000000"/>
        </w:rPr>
        <w:t>Respostas consolidadas às RQs (../drafts/rq-answers.md)</w:t>
      </w:r>
      <w:r>
        <w:rPr>
          <w:color w:val="000000"/>
        </w:rPr>
        <w:t xml:space="preserve">, </w:t>
      </w:r>
      <w:r>
        <w:rPr>
          <w:color w:val="000000"/>
        </w:rPr>
        <w:t>ameaças à validade (../drafts/validity-threats.md)</w:t>
      </w:r>
      <w:r>
        <w:rPr>
          <w:color w:val="000000"/>
        </w:rPr>
        <w:t xml:space="preserve">, </w:t>
      </w:r>
      <w:r>
        <w:rPr>
          <w:color w:val="000000"/>
        </w:rPr>
        <w:t>auditoria de execução (../../Docs/execution-audit.md)</w:t>
      </w:r>
      <w:r>
        <w:rPr>
          <w:color w:val="000000"/>
        </w:rPr>
        <w:t xml:space="preserve"> e </w:t>
      </w:r>
      <w:r>
        <w:rPr>
          <w:color w:val="000000"/>
        </w:rPr>
        <w:t>decisões do protocolo (../../Docs/protocol-decisions.md)</w:t>
      </w:r>
      <w:r>
        <w:rPr>
          <w:color w:val="000000"/>
        </w:rPr>
        <w:t>, 2026.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WILCOXON, Frank. Individual Comparisons by Ranking Methods. </w:t>
      </w:r>
      <w:r>
        <w:rPr>
          <w:i/>
          <w:color w:val="000000"/>
        </w:rPr>
        <w:t>Biometrics Bulletin</w:t>
      </w:r>
      <w:r>
        <w:rPr>
          <w:color w:val="000000"/>
        </w:rPr>
        <w:t>, v. 1, n. 6, p. 80–83, 1945.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 xml:space="preserve">• ZUSE, Horst. </w:t>
      </w:r>
      <w:r>
        <w:rPr>
          <w:i/>
          <w:color w:val="000000"/>
        </w:rPr>
        <w:t>A Framework of Software Measurement</w:t>
      </w:r>
      <w:r>
        <w:rPr>
          <w:color w:val="000000"/>
        </w:rPr>
        <w:t>. Walter de Gruyter, 2013.</w:t>
      </w:r>
    </w:p>
    <w:p>
      <w:pPr>
        <w:spacing w:before="40" w:after="60" w:line="240" w:lineRule="auto"/>
        <w:ind w:left="403" w:hanging="230"/>
      </w:pPr>
      <w:r>
        <w:rPr>
          <w:color w:val="000000"/>
        </w:rPr>
        <w:t>• Repositório: https://github.com/Victorgabrielcruz/lab-medicao-e-experimentacao-de-software. GitHub Projects: https://github.com/users/Victorgabrielcruz/projects/6/views/1.</w:t>
      </w:r>
    </w:p>
    <w:sectPr w:rsidR="00354A6B" w:rsidRPr="00354A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Laboratório</dc:title>
  <dc:subject>Lab02 — assistentes de IA versus codificação manual</dc:subject>
  <dc:creator>Víctor Gabriel Cruz Pereira; Jonathan Sena da Silva; Matheus Fernandes de Oliveira</dc:creator>
  <cp:keywords>Lab02, experimento, IA generativa, katas, replicação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