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C5CAB"/>
          <w:spacing w:val="20"/>
          <w:sz w:val="17"/>
          <w:szCs w:val="17"/>
        </w:rPr>
        <w:t xml:space="preserve">VISUALIZACIÓN DE DATOS · PRÁCTICA DE DASHBOARDS</w:t>
      </w:r>
    </w:p>
    <w:p>
      <w:pPr>
        <w:pBdr>
          <w:bottom w:val="single" w:color="1C5CAB" w:sz="6" w:space="6"/>
        </w:pBdr>
        <w:spacing w:after="60"/>
      </w:pPr>
      <w:r>
        <w:rPr>
          <w:b/>
          <w:bCs/>
          <w:color w:val="0B0B0B"/>
          <w:sz w:val="34"/>
          <w:szCs w:val="34"/>
        </w:rPr>
        <w:t xml:space="preserve">Dashboard Operativo de Producción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52514E"/>
          <w:sz w:val="21"/>
          <w:szCs w:val="21"/>
        </w:rPr>
        <w:t xml:space="preserve">Nivel operativo · dirigido a supervisores de piso · indicadores de corto plazo (turno y día)</w:t>
      </w:r>
    </w:p>
    <w:p>
      <w:pPr>
        <w:spacing w:after="200" w:line="276"/>
      </w:pPr>
      <w:r>
        <w:rPr>
          <w:rFonts w:ascii="Calibri" w:cs="Calibri" w:eastAsia="Calibri" w:hAnsi="Calibri"/>
          <w:color w:val="52514E"/>
          <w:sz w:val="21"/>
          <w:szCs w:val="21"/>
        </w:rPr>
        <w:t xml:space="preserve">Fuente de datos: produccion.csv — 1 350 registros (90 días × 3 turnos × 5 líneas, 01/01/2023 a 31/03/2023). Herramienta: Python 3 con Dash y Plotly; diseño propio en CSS.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5CAB"/>
          <w:sz w:val="26"/>
          <w:szCs w:val="26"/>
        </w:rPr>
        <w:t xml:space="preserve">1. Objetivo y alcance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El tablero responde a la pregunta que un supervisor de línea se hace al arrancar o cerrar un turno: ¿estamos cumpliendo el plan, con qué calidad y qué línea necesita atención ahora? Por eso el horizonte es corto —turno, día y las últimas dos semanas— y la primera pantalla no es una gráfica sino una lista de alertas accionables.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El dashboard es interactivo: los filtros de periodo, turno y línea recalculan los seis KPIs, las seis gráficas, la tabla del último turno y las alertas en una sola operación.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5CAB"/>
          <w:sz w:val="26"/>
          <w:szCs w:val="26"/>
        </w:rPr>
        <w:t xml:space="preserve">2. Indicadores implementados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Se implementaron seis KPIs derivados de las cuatro columnas numéricas del conjunto de datos. Cada uno se compara contra su meta operativa y contra el periodo inmediato anterior de igual duración, y se colorea con un semáforo de cuatro estados.</w:t>
      </w:r>
    </w:p>
    <w:tbl>
      <w:tblPr>
        <w:tblW w:type="dxa" w:w="10080"/>
        <w:tblBorders>
          <w:top w:val="single" w:color="D9D8D2" w:sz="4"/>
          <w:left w:val="none"/>
          <w:bottom w:val="single" w:color="D9D8D2" w:sz="4"/>
          <w:right w:val="none"/>
          <w:insideH w:val="single" w:color="E1E0D9" w:sz="2"/>
          <w:insideV w:val="none"/>
        </w:tblBorders>
      </w:tblPr>
      <w:tblGrid>
        <w:gridCol w:w="3100"/>
        <w:gridCol w:w="3600"/>
        <w:gridCol w:w="1700"/>
        <w:gridCol w:w="1680"/>
      </w:tblGrid>
      <w:tr>
        <w:trPr>
          <w:tblHeader/>
        </w:trPr>
        <w:tc>
          <w:tcPr>
            <w:tcW w:type="dxa" w:w="3100"/>
            <w:shd w:fill="F0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Indicador</w:t>
            </w:r>
          </w:p>
        </w:tc>
        <w:tc>
          <w:tcPr>
            <w:tcW w:type="dxa" w:w="3600"/>
            <w:shd w:fill="F0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Fórmula</w:t>
            </w:r>
          </w:p>
        </w:tc>
        <w:tc>
          <w:tcPr>
            <w:tcW w:type="dxa" w:w="1700"/>
            <w:shd w:fill="F0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Meta</w:t>
            </w:r>
          </w:p>
        </w:tc>
        <w:tc>
          <w:tcPr>
            <w:tcW w:type="dxa" w:w="1680"/>
            <w:shd w:fill="F0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Valor (Q1)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Cumplimiento del plan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Fabricado ÷ Planificado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≥ 95 %</w:t>
            </w:r>
          </w:p>
        </w:tc>
        <w:tc>
          <w:tcPr>
            <w:tcW w:type="dxa" w:w="1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93.4 %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Unidades buenas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Fabricado − Defectuosos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138 227 u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Tasa de defectos (scrap)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Defectuosos ÷ Fabricado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≤ 3 %</w:t>
            </w:r>
          </w:p>
        </w:tc>
        <w:tc>
          <w:tcPr>
            <w:tcW w:type="dxa" w:w="1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4.7 %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(480 − paro) ÷ 480 por turno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≥ 90 %</w:t>
            </w:r>
          </w:p>
        </w:tc>
        <w:tc>
          <w:tcPr>
            <w:tcW w:type="dxa" w:w="1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93.6 %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OEE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Disponibilidad × Rendimiento × Calidad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≥ 85 %</w:t>
            </w:r>
          </w:p>
        </w:tc>
        <w:tc>
          <w:tcPr>
            <w:tcW w:type="dxa" w:w="1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83.4 %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Tiempo de paro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Suma de TiempoParada_min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≤ 45 min/turno</w:t>
            </w:r>
          </w:p>
        </w:tc>
        <w:tc>
          <w:tcPr>
            <w:tcW w:type="dxa" w:w="1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41 143 min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52514E"/>
          <w:sz w:val="21"/>
          <w:szCs w:val="21"/>
        </w:rPr>
        <w:t xml:space="preserve">Los umbrales del semáforo son: en meta (verde), atención (ámbar, hasta 5 puntos bajo meta), riesgo (naranja, hasta 10 puntos) y crítico (rojo). El estado nunca se comunica solo con color: cada marca lleva ícono y etiqueta de texto.</w:t>
      </w:r>
    </w:p>
    <w:p>
      <w:pPr>
        <w:spacing w:after="60" w:before="100"/>
        <w:jc w:val="center"/>
      </w:pPr>
      <w:r>
        <w:drawing>
          <wp:inline distT="0" distB="0" distL="0" distR="0">
            <wp:extent cx="5943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14E"/>
          <w:sz w:val="17"/>
          <w:szCs w:val="17"/>
        </w:rPr>
        <w:t xml:space="preserve">Figura 1. Fila de KPIs con meta, variación respecto al periodo anterior y semáforo de estado.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5CAB"/>
          <w:sz w:val="26"/>
          <w:szCs w:val="26"/>
        </w:rPr>
        <w:t xml:space="preserve">3. Estructura del dashboard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El tablero se lee de arriba hacia abajo en tres niveles de detalle creciente: estado actual, tendencia del periodo y desempeño por línea y turno.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3.1 Estado actual: alertas y último turno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Panel de alertas ordenadas por severidad (línea bajo plan, paro prolongado, scrap alto) y tabla del último turno registrado con formato condicional. La columna Estado resume la peor de las tres condiciones de cada línea: Línea-1 aparece como crítica pese a cumplir el plan porque su scrap del turno llegó a 7 %.</w:t>
      </w:r>
    </w:p>
    <w:p>
      <w:pPr>
        <w:spacing w:after="60" w:before="100"/>
        <w:jc w:val="center"/>
      </w:pPr>
      <w:r>
        <w:drawing>
          <wp:inline distT="0" distB="0" distL="0" distR="0">
            <wp:extent cx="59436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14E"/>
          <w:sz w:val="17"/>
          <w:szCs w:val="17"/>
        </w:rPr>
        <w:t xml:space="preserve">Figura 2. Alertas activas y detalle del turno del 31/03/2023 (Noche).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3.2 Tendencia del periodo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Producción diaria contra el plan y porcentaje de cumplimiento día a día. Se usan dos gráficas separadas en lugar de un doble eje: unidades y porcentaje no comparten escala.</w:t>
      </w:r>
    </w:p>
    <w:p>
      <w:pPr>
        <w:spacing w:after="60" w:before="100"/>
        <w:jc w:val="center"/>
      </w:pPr>
      <w:r>
        <w:drawing>
          <wp:inline distT="0" distB="0" distL="0" distR="0">
            <wp:extent cx="59436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14E"/>
          <w:sz w:val="17"/>
          <w:szCs w:val="17"/>
        </w:rPr>
        <w:t xml:space="preserve">Figura 3. Producción diaria y cumplimiento del plan en los últimos 14 días.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3.3 Desempeño por línea y turno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Cumplimiento por línea (gráfica de puntos), mapa de calor de la tasa de defectos por línea y turno, tiempo de paro acumulado y relación entre paro y cumplimiento.</w:t>
      </w:r>
    </w:p>
    <w:p>
      <w:pPr>
        <w:spacing w:after="60" w:before="100"/>
        <w:jc w:val="center"/>
      </w:pPr>
      <w:r>
        <w:drawing>
          <wp:inline distT="0" distB="0" distL="0" distR="0">
            <wp:extent cx="59436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14E"/>
          <w:sz w:val="17"/>
          <w:szCs w:val="17"/>
        </w:rPr>
        <w:t xml:space="preserve">Figura 4. Vista de detalle: las cuatro gráficas de diagnóstico.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5CAB"/>
          <w:sz w:val="26"/>
          <w:szCs w:val="26"/>
        </w:rPr>
        <w:t xml:space="preserve">4. Hallazgos operativos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El incumplimiento es estructural, no puntual: 87 de los 90 días quedaron bajo la meta de 95 %, con un promedio de 93.4 %. La brecha es de unas 10 184 unidades en el trimestre.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La calidad es el cuello de botella real: el scrap promedio de 4.7 % supera en 1.7 puntos la meta de 3 % y es lo que arrastra el OEE (83.4 %) por debajo de su meta de 85 %, ya que la disponibilidad sí cumple (93.6 %).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Ninguna línea ni turno se desmarca: el cumplimiento va de 93.0 % (Línea-1) a 93.6 % (Línea-5) y los tres turnos quedan entre 93.3 % y 93.6 %. El problema es del proceso completo, no de un equipo o una cuadrilla concretos.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Los paros no explican el incumplimiento: la correlación entre minutos de paro y cumplimiento del turno es prácticamente nula (r = 0.02), como se ve en la nube de puntos de la Figura 4. La causa hay que buscarla en la velocidad de línea o en el propio dimensionamiento del plan, no en las detenciones.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1"/>
          <w:szCs w:val="21"/>
        </w:rPr>
        <w:t xml:space="preserve">El valor diario del tablero está en el nivel de turno: aunque los promedios son planos, turnos individuales caen hasta 81.5 % de cumplimiento o 7 % de scrap. Ahí es donde las alertas dan una acción concreta al supervisor.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5CAB"/>
          <w:sz w:val="26"/>
          <w:szCs w:val="26"/>
        </w:rPr>
        <w:t xml:space="preserve">5. Criterios de diseño aplicados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Las decisiones visuales siguen las buenas prácticas revisadas en clase: mostrar lo esencial, usar color consistente con jerarquía visual y adaptar el tablero a su público.</w:t>
      </w:r>
    </w:p>
    <w:tbl>
      <w:tblPr>
        <w:tblW w:type="dxa" w:w="10080"/>
        <w:tblBorders>
          <w:top w:val="single" w:color="D9D8D2" w:sz="4"/>
          <w:left w:val="none"/>
          <w:bottom w:val="single" w:color="D9D8D2" w:sz="4"/>
          <w:right w:val="none"/>
          <w:insideH w:val="single" w:color="E1E0D9" w:sz="2"/>
          <w:insideV w:val="none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shd w:fill="F0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Decisión</w:t>
            </w:r>
          </w:p>
        </w:tc>
        <w:tc>
          <w:tcPr>
            <w:tcW w:type="dxa" w:w="6680"/>
            <w:shd w:fill="F0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Un solo eje por gráfica</w:t>
            </w:r>
          </w:p>
        </w:tc>
        <w:tc>
          <w:tcPr>
            <w:tcW w:type="dxa" w:w="6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Unidades y porcentajes se separan en dos gráficas en vez de un doble eje, que distorsiona la comparación.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Cumplimiento por línea como puntos, no barras</w:t>
            </w:r>
          </w:p>
        </w:tc>
        <w:tc>
          <w:tcPr>
            <w:tcW w:type="dxa" w:w="6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Las diferencias son de décimas; una barra desde cero las volvería indistinguibles. Al no ser área, el eje puede recortarse sin engañar.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Color asignado por función</w:t>
            </w:r>
          </w:p>
        </w:tc>
        <w:tc>
          <w:tcPr>
            <w:tcW w:type="dxa" w:w="6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Categórico para la identidad del turno, secuencial de un solo tono para el scrap y una paleta de estado reservada para el semáforo.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Etiqueta directa en cada celda y fila</w:t>
            </w:r>
          </w:p>
        </w:tc>
        <w:tc>
          <w:tcPr>
            <w:tcW w:type="dxa" w:w="6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Ningún valor depende únicamente del color: el mapa de calor y la tabla muestran la cifra.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Ícono y texto junto a cada estado</w:t>
            </w:r>
          </w:p>
        </w:tc>
        <w:tc>
          <w:tcPr>
            <w:tcW w:type="dxa" w:w="6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El tablero sigue siendo legible para daltonismo y en impresión a blanco y negro.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Alertas antes que gráficas</w:t>
            </w:r>
          </w:p>
        </w:tc>
        <w:tc>
          <w:tcPr>
            <w:tcW w:type="dxa" w:w="6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El público objetivo son supervisores: la primera pantalla debe decir qué hacer, no describir el proceso.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5CAB"/>
          <w:sz w:val="26"/>
          <w:szCs w:val="26"/>
        </w:rPr>
        <w:t xml:space="preserve">6. Cómo ejecutarlo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Desde la carpeta del proyecto: crear el entorno virtual, instalar requirements.txt y ejecutar python app.py; el dashboard queda en http://127.0.0.1:8050. En Windows basta con ejecutar ejecutar.bat, que crea el entorno la primera vez. El detalle de la estructura de carpetas está en README.md.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2514E"/>
        <w:sz w:val="17"/>
        <w:szCs w:val="17"/>
      </w:rPr>
      <w:t xml:space="preserve">Página </w:t>
    </w:r>
    <w:r>
      <w:rPr>
        <w:color w:val="52514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b8ba2dc5e94cb1295b242feb5527a99d9771ee2.png"/><Relationship Id="rId9" Type="http://schemas.openxmlformats.org/officeDocument/2006/relationships/image" Target="media/73b22a7f58ae5651b4dd4c9ec3b1777c06948614.png"/><Relationship Id="rId10" Type="http://schemas.openxmlformats.org/officeDocument/2006/relationships/image" Target="media/ba721f55532d555ad4f2f79870c84df1be5fd2ca.png"/><Relationship Id="rId11" Type="http://schemas.openxmlformats.org/officeDocument/2006/relationships/image" Target="media/9bc4b7e7c931e74761622c24c2b657076788f87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2026-09-09T20:21:09.356Z</dcterms:created>
  <dcterms:modified xsi:type="dcterms:W3CDTF">2026-09-09T20:21:09.356Z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