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2819F">
      <w:pPr>
        <w:spacing w:after="16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34"/>
          <w:szCs w:val="34"/>
        </w:rPr>
        <w:t>大鱼吃小鱼课程设计待做计划</w:t>
      </w:r>
    </w:p>
    <w:p w14:paraId="60FBB8DA">
      <w:pPr>
        <w:pStyle w:val="2"/>
        <w:spacing w:before="200" w:after="100"/>
      </w:pPr>
      <w:r>
        <w:rPr>
          <w:rFonts w:ascii="微软雅黑" w:hAnsi="微软雅黑" w:eastAsia="微软雅黑" w:cs="微软雅黑"/>
        </w:rPr>
        <w:t>1. 当前基线与总目标</w:t>
      </w:r>
    </w:p>
    <w:p w14:paraId="336C8FF3">
      <w:pPr>
        <w:spacing w:after="100" w:line="276" w:lineRule="auto"/>
      </w:pPr>
      <w:r>
        <w:rPr>
          <w:rFonts w:ascii="微软雅黑" w:hAnsi="微软雅黑" w:eastAsia="微软雅黑" w:cs="微软雅黑"/>
          <w:sz w:val="21"/>
          <w:szCs w:val="21"/>
        </w:rPr>
        <w:t>当前已完成实验 1 的大部分功能：EasyX 窗口、几何图形玩家鱼、键盘移动、边界限制、HUD、ESC 退出，以及基本的时间步长处理。FishGame.cpp 已试做 NPC、碰撞、成长和扣血，但采用单文件、全局状态结构，不能直接作为最终课程工程。</w:t>
      </w:r>
    </w:p>
    <w:p w14:paraId="78BA764C">
      <w:pPr>
        <w:spacing w:after="100" w:line="276" w:lineRule="auto"/>
      </w:pPr>
      <w:r>
        <w:rPr>
          <w:rFonts w:ascii="微软雅黑" w:hAnsi="微软雅黑" w:eastAsia="微软雅黑" w:cs="微软雅黑"/>
          <w:sz w:val="21"/>
          <w:szCs w:val="21"/>
        </w:rPr>
        <w:t>总目标：在 6 次递增实验中形成一个可演示、可解释、可测试的小型单机游戏系统，并能够提交两次设计报告和最终答辩材料。每一阶段结束时都必须保留一个可编译、可运行、可验收的版本。</w:t>
      </w:r>
    </w:p>
    <w:p w14:paraId="1B221E33">
      <w:pPr>
        <w:pStyle w:val="2"/>
        <w:spacing w:before="200" w:after="100"/>
      </w:pPr>
      <w:r>
        <w:rPr>
          <w:rFonts w:ascii="微软雅黑" w:hAnsi="微软雅黑" w:eastAsia="微软雅黑" w:cs="微软雅黑"/>
        </w:rPr>
        <w:t>2. 立即处理的工程问题</w:t>
      </w:r>
    </w:p>
    <w:tbl>
      <w:tblPr>
        <w:tblStyle w:val="11"/>
        <w:tblW w:w="9200" w:type="dxa"/>
        <w:tblInd w:w="0" w:type="dxa"/>
        <w:tblBorders>
          <w:top w:val="single" w:color="B7C9D6" w:sz="4" w:space="0"/>
          <w:left w:val="single" w:color="B7C9D6" w:sz="4" w:space="0"/>
          <w:bottom w:val="single" w:color="B7C9D6" w:sz="4" w:space="0"/>
          <w:right w:val="single" w:color="B7C9D6" w:sz="4" w:space="0"/>
          <w:insideH w:val="single" w:color="B7C9D6" w:sz="4" w:space="0"/>
          <w:insideV w:val="single" w:color="B7C9D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200"/>
        <w:gridCol w:w="3900"/>
        <w:gridCol w:w="2200"/>
      </w:tblGrid>
      <w:tr w14:paraId="04CCD1CD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</w:tblPrEx>
        <w:tc>
          <w:tcPr>
            <w:tcW w:w="900" w:type="dxa"/>
            <w:shd w:val="clear" w:color="auto" w:fill="1F4E79"/>
          </w:tcPr>
          <w:p w14:paraId="5FC81E9B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2200" w:type="dxa"/>
            <w:shd w:val="clear" w:color="auto" w:fill="1F4E79"/>
          </w:tcPr>
          <w:p w14:paraId="57AF7A60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问题</w:t>
            </w:r>
          </w:p>
        </w:tc>
        <w:tc>
          <w:tcPr>
            <w:tcW w:w="3900" w:type="dxa"/>
            <w:shd w:val="clear" w:color="auto" w:fill="1F4E79"/>
          </w:tcPr>
          <w:p w14:paraId="0996EBB2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处理动作</w:t>
            </w:r>
          </w:p>
        </w:tc>
        <w:tc>
          <w:tcPr>
            <w:tcW w:w="2200" w:type="dxa"/>
            <w:shd w:val="clear" w:color="auto" w:fill="1F4E79"/>
          </w:tcPr>
          <w:p w14:paraId="60EA93B7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完成标志</w:t>
            </w:r>
          </w:p>
        </w:tc>
      </w:tr>
      <w:tr w14:paraId="56BA7BA9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</w:tcPr>
          <w:p w14:paraId="6E4BEF37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P-01</w:t>
            </w:r>
          </w:p>
        </w:tc>
        <w:tc>
          <w:tcPr>
            <w:tcW w:w="2200" w:type="dxa"/>
          </w:tcPr>
          <w:p w14:paraId="3F56A799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正式工程存在两个 main 入口</w:t>
            </w:r>
          </w:p>
        </w:tc>
        <w:tc>
          <w:tcPr>
            <w:tcW w:w="3900" w:type="dxa"/>
          </w:tcPr>
          <w:p w14:paraId="5C1A578D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将 src/ 与 include/ 作为唯一正式构建入口；FishGame.cpp 标记为原型或移入 reference 目录</w:t>
            </w:r>
          </w:p>
        </w:tc>
        <w:tc>
          <w:tcPr>
            <w:tcW w:w="2200" w:type="dxa"/>
          </w:tcPr>
          <w:p w14:paraId="290BD8B6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CMake/Visual Studio 不再出现入口冲突</w:t>
            </w:r>
          </w:p>
        </w:tc>
      </w:tr>
      <w:tr w14:paraId="47A86192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2F2"/>
          </w:tcPr>
          <w:p w14:paraId="6FE83BDA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P-02</w:t>
            </w:r>
          </w:p>
        </w:tc>
        <w:tc>
          <w:tcPr>
            <w:tcW w:w="2200" w:type="dxa"/>
            <w:shd w:val="clear" w:color="auto" w:fill="F2F2F2"/>
          </w:tcPr>
          <w:p w14:paraId="1C242DFF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EasyX 构建依赖未被验证</w:t>
            </w:r>
          </w:p>
        </w:tc>
        <w:tc>
          <w:tcPr>
            <w:tcW w:w="3900" w:type="dxa"/>
            <w:shd w:val="clear" w:color="auto" w:fill="F2F2F2"/>
          </w:tcPr>
          <w:p w14:paraId="2703703B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确认 graphics.h、graphics.lib、Debug/Release 配置和 README 运行步骤</w:t>
            </w:r>
          </w:p>
        </w:tc>
        <w:tc>
          <w:tcPr>
            <w:tcW w:w="2200" w:type="dxa"/>
            <w:shd w:val="clear" w:color="auto" w:fill="F2F2F2"/>
          </w:tcPr>
          <w:p w14:paraId="467B6A15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新环境能按说明完成配置，失败时有明确提示</w:t>
            </w:r>
          </w:p>
        </w:tc>
      </w:tr>
      <w:tr w14:paraId="3CEF7FCF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</w:tcPr>
          <w:p w14:paraId="4092D785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P-03</w:t>
            </w:r>
          </w:p>
        </w:tc>
        <w:tc>
          <w:tcPr>
            <w:tcW w:w="2200" w:type="dxa"/>
          </w:tcPr>
          <w:p w14:paraId="48971EA2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HUD 区域与活动水域边界未统一</w:t>
            </w:r>
          </w:p>
        </w:tc>
        <w:tc>
          <w:tcPr>
            <w:tcW w:w="3900" w:type="dxa"/>
          </w:tcPr>
          <w:p w14:paraId="2ADA8A23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确定水域矩形；玩家和 NPC 的更新、绘制、碰撞均使用同一规则</w:t>
            </w:r>
          </w:p>
        </w:tc>
        <w:tc>
          <w:tcPr>
            <w:tcW w:w="2200" w:type="dxa"/>
          </w:tcPr>
          <w:p w14:paraId="6593846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边界测试 T-WATER 通过</w:t>
            </w:r>
          </w:p>
        </w:tc>
      </w:tr>
      <w:tr w14:paraId="082A4599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2F2"/>
          </w:tcPr>
          <w:p w14:paraId="55812709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P-04</w:t>
            </w:r>
          </w:p>
        </w:tc>
        <w:tc>
          <w:tcPr>
            <w:tcW w:w="2200" w:type="dxa"/>
            <w:shd w:val="clear" w:color="auto" w:fill="F2F2F2"/>
          </w:tcPr>
          <w:p w14:paraId="6686E914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鱼的完整外形与碰撞半径不一致</w:t>
            </w:r>
          </w:p>
        </w:tc>
        <w:tc>
          <w:tcPr>
            <w:tcW w:w="3900" w:type="dxa"/>
            <w:shd w:val="clear" w:color="auto" w:fill="F2F2F2"/>
          </w:tcPr>
          <w:p w14:paraId="36FBA819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明确主体半径、尾鳍外接范围和碰撞近似规则</w:t>
            </w:r>
          </w:p>
        </w:tc>
        <w:tc>
          <w:tcPr>
            <w:tcW w:w="2200" w:type="dxa"/>
            <w:shd w:val="clear" w:color="auto" w:fill="F2F2F2"/>
          </w:tcPr>
          <w:p w14:paraId="58023F0C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规则表和代码常量一致</w:t>
            </w:r>
          </w:p>
        </w:tc>
      </w:tr>
      <w:tr w14:paraId="60C637E0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</w:tcPr>
          <w:p w14:paraId="0514E599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P-05</w:t>
            </w:r>
          </w:p>
        </w:tc>
        <w:tc>
          <w:tcPr>
            <w:tcW w:w="2200" w:type="dxa"/>
          </w:tcPr>
          <w:p w14:paraId="47E97C8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核心玩法规则未冻结</w:t>
            </w:r>
          </w:p>
        </w:tc>
        <w:tc>
          <w:tcPr>
            <w:tcW w:w="3900" w:type="dxa"/>
          </w:tcPr>
          <w:p w14:paraId="33E31377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确认同体型、吞食阈值、受伤反馈、无敌时间和成长方式</w:t>
            </w:r>
          </w:p>
        </w:tc>
        <w:tc>
          <w:tcPr>
            <w:tcW w:w="2200" w:type="dxa"/>
          </w:tcPr>
          <w:p w14:paraId="437C1530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形成“游戏规则确认单”</w:t>
            </w:r>
          </w:p>
        </w:tc>
      </w:tr>
      <w:tr w14:paraId="57BCA68D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2F2"/>
          </w:tcPr>
          <w:p w14:paraId="25067601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P-06</w:t>
            </w:r>
          </w:p>
        </w:tc>
        <w:tc>
          <w:tcPr>
            <w:tcW w:w="2200" w:type="dxa"/>
            <w:shd w:val="clear" w:color="auto" w:fill="F2F2F2"/>
          </w:tcPr>
          <w:p w14:paraId="7E3EBCE4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尚无持续测试记录</w:t>
            </w:r>
          </w:p>
        </w:tc>
        <w:tc>
          <w:tcPr>
            <w:tcW w:w="3900" w:type="dxa"/>
            <w:shd w:val="clear" w:color="auto" w:fill="F2F2F2"/>
          </w:tcPr>
          <w:p w14:paraId="5E065F50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建立 docs/test-results/，每阶段记录正常、边界和异常测试</w:t>
            </w:r>
          </w:p>
        </w:tc>
        <w:tc>
          <w:tcPr>
            <w:tcW w:w="2200" w:type="dxa"/>
            <w:shd w:val="clear" w:color="auto" w:fill="F2F2F2"/>
          </w:tcPr>
          <w:p w14:paraId="718545DB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每阶段有测试表和遗留问题</w:t>
            </w:r>
          </w:p>
        </w:tc>
      </w:tr>
    </w:tbl>
    <w:p w14:paraId="504B45E9">
      <w:pPr>
        <w:pStyle w:val="2"/>
        <w:spacing w:before="200" w:after="100"/>
      </w:pPr>
      <w:r>
        <w:rPr>
          <w:rFonts w:ascii="微软雅黑" w:hAnsi="微软雅黑" w:eastAsia="微软雅黑" w:cs="微软雅黑"/>
        </w:rPr>
        <w:t>3. 六阶段实施计划</w:t>
      </w:r>
      <w:bookmarkStart w:id="0" w:name="_GoBack"/>
      <w:bookmarkEnd w:id="0"/>
    </w:p>
    <w:p w14:paraId="018A8D52">
      <w:pPr>
        <w:pStyle w:val="3"/>
        <w:spacing w:before="200" w:after="100"/>
      </w:pPr>
      <w:r>
        <w:rPr>
          <w:rFonts w:ascii="微软雅黑" w:hAnsi="微软雅黑" w:eastAsia="微软雅黑" w:cs="微软雅黑"/>
        </w:rPr>
        <w:t>阶段 1：稳定实验 1——类与对象</w:t>
      </w:r>
    </w:p>
    <w:p w14:paraId="27437A3F">
      <w:pPr>
        <w:spacing w:after="100" w:line="276" w:lineRule="auto"/>
      </w:pPr>
      <w:r>
        <w:rPr>
          <w:rFonts w:ascii="微软雅黑" w:hAnsi="微软雅黑" w:eastAsia="微软雅黑" w:cs="微软雅黑"/>
          <w:sz w:val="21"/>
          <w:szCs w:val="21"/>
        </w:rPr>
        <w:t>目标：把当前玩家鱼版本整理为唯一、稳定、可答辩的起点。</w:t>
      </w:r>
    </w:p>
    <w:p w14:paraId="690E3215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确认正式入口、目录结构、EasyX 配置和窗口尺寸。</w:t>
      </w:r>
    </w:p>
    <w:p w14:paraId="7D4CDF78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确定活动水域与 HUD 区域，修正玩家鱼完整外形的边界判定。</w:t>
      </w:r>
    </w:p>
    <w:p w14:paraId="5BE4CC72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保留 Game、PlayerFish、Point 的职责边界，避免把 NPC 规则提前塞入玩家类。</w:t>
      </w:r>
    </w:p>
    <w:p w14:paraId="6E962073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完成 T1 至 T6：启动、移动、斜向速度、四周边界、时间步长、ESC 退出。</w:t>
      </w:r>
    </w:p>
    <w:p w14:paraId="794C6AE7">
      <w:pPr>
        <w:spacing w:after="100" w:line="276" w:lineRule="auto"/>
      </w:pPr>
      <w:r>
        <w:rPr>
          <w:rFonts w:ascii="微软雅黑" w:hAnsi="微软雅黑" w:eastAsia="微软雅黑" w:cs="微软雅黑"/>
          <w:sz w:val="21"/>
          <w:szCs w:val="21"/>
        </w:rPr>
        <w:t>交付物：可运行版本 v1、实验记录 1、类关系图、实验 1 验收表。</w:t>
      </w:r>
    </w:p>
    <w:p w14:paraId="351CF130">
      <w:pPr>
        <w:pStyle w:val="3"/>
        <w:spacing w:before="200" w:after="100"/>
      </w:pPr>
      <w:r>
        <w:rPr>
          <w:rFonts w:ascii="微软雅黑" w:hAnsi="微软雅黑" w:eastAsia="微软雅黑" w:cs="微软雅黑"/>
        </w:rPr>
        <w:t>阶段 2：组合与依赖——场景和 NPC 鱼群</w:t>
      </w:r>
    </w:p>
    <w:p w14:paraId="169F48E4">
      <w:pPr>
        <w:spacing w:after="100" w:line="276" w:lineRule="auto"/>
      </w:pPr>
      <w:r>
        <w:rPr>
          <w:rFonts w:ascii="微软雅黑" w:hAnsi="微软雅黑" w:eastAsia="微软雅黑" w:cs="微软雅黑"/>
          <w:sz w:val="21"/>
          <w:szCs w:val="21"/>
        </w:rPr>
        <w:t>目标：在正式多文件工程中加入场景对象和 NPC 生命周期。</w:t>
      </w:r>
    </w:p>
    <w:p w14:paraId="717F5CF6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新增 Fish/EnemyFish 或 Scene/FishSchool 的最小设计，先讨论谁创建、谁拥有、谁清理。</w:t>
      </w:r>
    </w:p>
    <w:p w14:paraId="49062C19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使用 std::vector 管理 NPC；确定保存对象、智能指针或值对象的方案。</w:t>
      </w:r>
    </w:p>
    <w:p w14:paraId="037DCCB9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实现 NPC 生成、速度/方向参数、自动移动、越界重生或移除。</w:t>
      </w:r>
    </w:p>
    <w:p w14:paraId="443659B3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保证随机问题可复现：调试模式支持固定种子并记录种子。</w:t>
      </w:r>
    </w:p>
    <w:p w14:paraId="34DE0C9F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完成重复生成、反复重开场景和批量移除测试。</w:t>
      </w:r>
    </w:p>
    <w:p w14:paraId="5AECFBB6">
      <w:pPr>
        <w:spacing w:after="100" w:line="276" w:lineRule="auto"/>
      </w:pPr>
      <w:r>
        <w:rPr>
          <w:rFonts w:ascii="微软雅黑" w:hAnsi="微软雅黑" w:eastAsia="微软雅黑" w:cs="微软雅黑"/>
          <w:sz w:val="21"/>
          <w:szCs w:val="21"/>
        </w:rPr>
        <w:t>交付物：可运行版本 v2、对象关系说明、实验记录 2、设计报告 1 初稿。</w:t>
      </w:r>
    </w:p>
    <w:p w14:paraId="22CF6090">
      <w:pPr>
        <w:pStyle w:val="3"/>
        <w:spacing w:before="200" w:after="100"/>
      </w:pPr>
      <w:r>
        <w:rPr>
          <w:rFonts w:ascii="微软雅黑" w:hAnsi="微软雅黑" w:eastAsia="微软雅黑" w:cs="微软雅黑"/>
        </w:rPr>
        <w:t>阶段 3：继承——碰撞、吞食、受伤和成长</w:t>
      </w:r>
    </w:p>
    <w:p w14:paraId="48590010">
      <w:pPr>
        <w:spacing w:after="100" w:line="276" w:lineRule="auto"/>
      </w:pPr>
      <w:r>
        <w:rPr>
          <w:rFonts w:ascii="微软雅黑" w:hAnsi="微软雅黑" w:eastAsia="微软雅黑" w:cs="微软雅黑"/>
          <w:sz w:val="21"/>
          <w:szCs w:val="21"/>
        </w:rPr>
        <w:t>目标：只从真实重复内容中提取 Fish 基类，建立统一的鱼类状态接口。</w:t>
      </w:r>
    </w:p>
    <w:p w14:paraId="614F2F45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冻结鱼类公共状态：位置、尺寸、速度、方向、存活状态和绘制/更新接口。</w:t>
      </w:r>
    </w:p>
    <w:p w14:paraId="76A76303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实现碰撞判定，并集中定义“大于、小于、相近体型”的规则。</w:t>
      </w:r>
    </w:p>
    <w:p w14:paraId="46DF0179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实现吞食小鱼、加分、成长；实现大鱼伤害和一次碰撞的重复扣血控制。</w:t>
      </w:r>
    </w:p>
    <w:p w14:paraId="3A2E55C0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明确生命归零后的状态转换，禁止在连续帧中无控制地重复扣血。</w:t>
      </w:r>
    </w:p>
    <w:p w14:paraId="5082205F">
      <w:pPr>
        <w:spacing w:after="100" w:line="276" w:lineRule="auto"/>
      </w:pPr>
      <w:r>
        <w:rPr>
          <w:rFonts w:ascii="微软雅黑" w:hAnsi="微软雅黑" w:eastAsia="微软雅黑" w:cs="微软雅黑"/>
          <w:sz w:val="21"/>
          <w:szCs w:val="21"/>
        </w:rPr>
        <w:t>交付物：可运行版本 v3、规则表、继承前后对比、实验记录 3。</w:t>
      </w:r>
    </w:p>
    <w:p w14:paraId="4871B2FE">
      <w:pPr>
        <w:pStyle w:val="3"/>
        <w:spacing w:before="200" w:after="100"/>
      </w:pPr>
      <w:r>
        <w:rPr>
          <w:rFonts w:ascii="微软雅黑" w:hAnsi="微软雅黑" w:eastAsia="微软雅黑" w:cs="微软雅黑"/>
        </w:rPr>
        <w:t>阶段 4：多态——多种鱼行为和游戏状态</w:t>
      </w:r>
    </w:p>
    <w:p w14:paraId="1C6E293D">
      <w:pPr>
        <w:spacing w:after="100" w:line="276" w:lineRule="auto"/>
      </w:pPr>
      <w:r>
        <w:rPr>
          <w:rFonts w:ascii="微软雅黑" w:hAnsi="微软雅黑" w:eastAsia="微软雅黑" w:cs="微软雅黑"/>
          <w:sz w:val="21"/>
          <w:szCs w:val="21"/>
        </w:rPr>
        <w:t>目标：通过统一接口管理至少两类具有可观察差异的 NPC 行为。</w:t>
      </w:r>
    </w:p>
    <w:p w14:paraId="2920BA92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选择直线游动、逃离、追逐或其他确有差异的行为；若只是参数差异，不强行使用继承。</w:t>
      </w:r>
    </w:p>
    <w:p w14:paraId="331A427C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实现开始、游戏中、暂停、结束等状态，状态切换时停止不应执行的更新。</w:t>
      </w:r>
    </w:p>
    <w:p w14:paraId="06714A21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完善 HUD：生命、分数、体型、状态和必要的调试信息。</w:t>
      </w:r>
    </w:p>
    <w:p w14:paraId="3E450C40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验证多态对象生命周期、虚析构和容器遍历。</w:t>
      </w:r>
    </w:p>
    <w:p w14:paraId="333368FC">
      <w:pPr>
        <w:spacing w:after="100" w:line="276" w:lineRule="auto"/>
      </w:pPr>
      <w:r>
        <w:rPr>
          <w:rFonts w:ascii="微软雅黑" w:hAnsi="微软雅黑" w:eastAsia="微软雅黑" w:cs="微软雅黑"/>
          <w:sz w:val="21"/>
          <w:szCs w:val="21"/>
        </w:rPr>
        <w:t>交付物：可运行版本 v4、状态流程图、多态说明、实验记录 4。</w:t>
      </w:r>
    </w:p>
    <w:p w14:paraId="1D33884E">
      <w:pPr>
        <w:pStyle w:val="3"/>
        <w:spacing w:before="200" w:after="100"/>
      </w:pPr>
      <w:r>
        <w:rPr>
          <w:rFonts w:ascii="微软雅黑" w:hAnsi="微软雅黑" w:eastAsia="微软雅黑" w:cs="微软雅黑"/>
        </w:rPr>
        <w:t>阶段 5：STL、模板与文件 I/O</w:t>
      </w:r>
    </w:p>
    <w:p w14:paraId="62AC849D">
      <w:pPr>
        <w:spacing w:after="100" w:line="276" w:lineRule="auto"/>
      </w:pPr>
      <w:r>
        <w:rPr>
          <w:rFonts w:ascii="微软雅黑" w:hAnsi="微软雅黑" w:eastAsia="微软雅黑" w:cs="微软雅黑"/>
          <w:sz w:val="21"/>
          <w:szCs w:val="21"/>
        </w:rPr>
        <w:t>目标：让游戏具备可持续的一局和跨程序运行的数据保存能力。</w:t>
      </w:r>
    </w:p>
    <w:p w14:paraId="3B678635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实现暂停/继续、游戏结束后重新开始，并确保本局数据完整重置。</w:t>
      </w:r>
    </w:p>
    <w:p w14:paraId="4744CEDE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先实现最高分保存与读取；是否保存未结束进度必须单独确认。</w:t>
      </w:r>
    </w:p>
    <w:p w14:paraId="5E280CFA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定义带版本号的文本或二进制格式，区分文件不存在、打不开、格式损坏。</w:t>
      </w:r>
    </w:p>
    <w:p w14:paraId="5F718804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只在出现实际重复需求时使用模板；使用 STL 算法完成查找、删除和统计。</w:t>
      </w:r>
    </w:p>
    <w:p w14:paraId="7E43D153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测试反复保存、损坏文件和版本字段异常。</w:t>
      </w:r>
    </w:p>
    <w:p w14:paraId="7D623FA0">
      <w:pPr>
        <w:spacing w:after="100" w:line="276" w:lineRule="auto"/>
      </w:pPr>
      <w:r>
        <w:rPr>
          <w:rFonts w:ascii="微软雅黑" w:hAnsi="微软雅黑" w:eastAsia="微软雅黑" w:cs="微软雅黑"/>
          <w:sz w:val="21"/>
          <w:szCs w:val="21"/>
        </w:rPr>
        <w:t>交付物：可运行版本 v5、文件格式说明、异常测试记录、实验记录 5。</w:t>
      </w:r>
    </w:p>
    <w:p w14:paraId="1BBBED8E">
      <w:pPr>
        <w:pStyle w:val="3"/>
        <w:spacing w:before="200" w:after="100"/>
      </w:pPr>
      <w:r>
        <w:rPr>
          <w:rFonts w:ascii="微软雅黑" w:hAnsi="微软雅黑" w:eastAsia="微软雅黑" w:cs="微软雅黑"/>
        </w:rPr>
        <w:t>阶段 6：综合优化与答辩交付</w:t>
      </w:r>
    </w:p>
    <w:p w14:paraId="07674C8D">
      <w:pPr>
        <w:spacing w:after="100" w:line="276" w:lineRule="auto"/>
      </w:pPr>
      <w:r>
        <w:rPr>
          <w:rFonts w:ascii="微软雅黑" w:hAnsi="微软雅黑" w:eastAsia="微软雅黑" w:cs="微软雅黑"/>
          <w:sz w:val="21"/>
          <w:szCs w:val="21"/>
        </w:rPr>
        <w:t>目标：完成从启动到结束的完整演示流程，并形成可交付项目。</w:t>
      </w:r>
    </w:p>
    <w:p w14:paraId="4A240FF6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接入经确认的图片资源、资源路径诊断和必要的资源释放。</w:t>
      </w:r>
    </w:p>
    <w:p w14:paraId="6A07A55C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完成菜单/提示、重新开始、结束界面和退出流程。</w:t>
      </w:r>
    </w:p>
    <w:p w14:paraId="0732F63E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进行核心流程、边界、异常、时间相关和生命周期测试。</w:t>
      </w:r>
    </w:p>
    <w:p w14:paraId="442BFFC7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整理最终类图、流程图、需求变更、测试证据和遗留限制。</w:t>
      </w:r>
    </w:p>
    <w:p w14:paraId="5ECE825D">
      <w:pPr>
        <w:spacing w:after="100" w:line="276" w:lineRule="auto"/>
      </w:pPr>
      <w:r>
        <w:rPr>
          <w:rFonts w:ascii="微软雅黑" w:hAnsi="微软雅黑" w:eastAsia="微软雅黑" w:cs="微软雅黑"/>
          <w:sz w:val="21"/>
          <w:szCs w:val="21"/>
        </w:rPr>
        <w:t>交付物：最终程序、源代码、使用说明、测试记录、设计报告 2、答辩演示材料。</w:t>
      </w:r>
    </w:p>
    <w:p w14:paraId="0CE07792">
      <w:pPr>
        <w:pStyle w:val="2"/>
        <w:spacing w:before="200" w:after="100"/>
      </w:pPr>
      <w:r>
        <w:rPr>
          <w:rFonts w:ascii="微软雅黑" w:hAnsi="微软雅黑" w:eastAsia="微软雅黑" w:cs="微软雅黑"/>
        </w:rPr>
        <w:t>4. 规则确认清单</w:t>
      </w:r>
    </w:p>
    <w:tbl>
      <w:tblPr>
        <w:tblStyle w:val="11"/>
        <w:tblW w:w="10400" w:type="dxa"/>
        <w:tblInd w:w="0" w:type="dxa"/>
        <w:tblBorders>
          <w:top w:val="single" w:color="B7C9D6" w:sz="4" w:space="0"/>
          <w:left w:val="single" w:color="B7C9D6" w:sz="4" w:space="0"/>
          <w:bottom w:val="single" w:color="B7C9D6" w:sz="4" w:space="0"/>
          <w:right w:val="single" w:color="B7C9D6" w:sz="4" w:space="0"/>
          <w:insideH w:val="single" w:color="B7C9D6" w:sz="4" w:space="0"/>
          <w:insideV w:val="single" w:color="B7C9D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500"/>
        <w:gridCol w:w="2600"/>
        <w:gridCol w:w="1700"/>
      </w:tblGrid>
      <w:tr w14:paraId="02C2D812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1F4E79"/>
          </w:tcPr>
          <w:p w14:paraId="03B47747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待确认事项</w:t>
            </w:r>
          </w:p>
        </w:tc>
        <w:tc>
          <w:tcPr>
            <w:tcW w:w="3500" w:type="dxa"/>
            <w:shd w:val="clear" w:color="auto" w:fill="1F4E79"/>
          </w:tcPr>
          <w:p w14:paraId="00E90CE2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候选方案</w:t>
            </w:r>
          </w:p>
        </w:tc>
        <w:tc>
          <w:tcPr>
            <w:tcW w:w="2600" w:type="dxa"/>
            <w:shd w:val="clear" w:color="auto" w:fill="1F4E79"/>
          </w:tcPr>
          <w:p w14:paraId="7CEBA5D9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建议默认</w:t>
            </w:r>
          </w:p>
        </w:tc>
        <w:tc>
          <w:tcPr>
            <w:tcW w:w="1700" w:type="dxa"/>
            <w:shd w:val="clear" w:color="auto" w:fill="1F4E79"/>
          </w:tcPr>
          <w:p w14:paraId="49862D71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确认时点</w:t>
            </w:r>
          </w:p>
        </w:tc>
      </w:tr>
      <w:tr w14:paraId="2789D875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448373A3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同体型接触</w:t>
            </w:r>
          </w:p>
        </w:tc>
        <w:tc>
          <w:tcPr>
            <w:tcW w:w="3500" w:type="dxa"/>
          </w:tcPr>
          <w:p w14:paraId="5336DFB2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不产生结果 / 玩家受伤 / 互相弹开</w:t>
            </w:r>
          </w:p>
        </w:tc>
        <w:tc>
          <w:tcPr>
            <w:tcW w:w="2600" w:type="dxa"/>
          </w:tcPr>
          <w:p w14:paraId="57D3F39B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不产生吞食，记录为普通碰撞</w:t>
            </w:r>
          </w:p>
        </w:tc>
        <w:tc>
          <w:tcPr>
            <w:tcW w:w="1700" w:type="dxa"/>
          </w:tcPr>
          <w:p w14:paraId="7799013A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阶段 3 前</w:t>
            </w:r>
          </w:p>
        </w:tc>
      </w:tr>
      <w:tr w14:paraId="3AE4D3F8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</w:tcPr>
          <w:p w14:paraId="62F5DF5D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吞食阈值</w:t>
            </w:r>
          </w:p>
        </w:tc>
        <w:tc>
          <w:tcPr>
            <w:tcW w:w="3500" w:type="dxa"/>
            <w:shd w:val="clear" w:color="auto" w:fill="F2F2F2"/>
          </w:tcPr>
          <w:p w14:paraId="6758F729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半径大于 1.0 倍 / 1.1 倍 / 固定差值</w:t>
            </w:r>
          </w:p>
        </w:tc>
        <w:tc>
          <w:tcPr>
            <w:tcW w:w="2600" w:type="dxa"/>
            <w:shd w:val="clear" w:color="auto" w:fill="F2F2F2"/>
          </w:tcPr>
          <w:p w14:paraId="30AFAAE2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玩家半径至少为目标 1.1 倍</w:t>
            </w:r>
          </w:p>
        </w:tc>
        <w:tc>
          <w:tcPr>
            <w:tcW w:w="1700" w:type="dxa"/>
            <w:shd w:val="clear" w:color="auto" w:fill="F2F2F2"/>
          </w:tcPr>
          <w:p w14:paraId="284F1CF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阶段 3 前</w:t>
            </w:r>
          </w:p>
        </w:tc>
      </w:tr>
      <w:tr w14:paraId="4CF94CD8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550B17A6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受伤反馈</w:t>
            </w:r>
          </w:p>
        </w:tc>
        <w:tc>
          <w:tcPr>
            <w:tcW w:w="3500" w:type="dxa"/>
          </w:tcPr>
          <w:p w14:paraId="06435071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短暂无敌 / 击退 / 移除碰撞鱼</w:t>
            </w:r>
          </w:p>
        </w:tc>
        <w:tc>
          <w:tcPr>
            <w:tcW w:w="2600" w:type="dxa"/>
          </w:tcPr>
          <w:p w14:paraId="17B00936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短暂无敌 + 明确伤害反馈</w:t>
            </w:r>
          </w:p>
        </w:tc>
        <w:tc>
          <w:tcPr>
            <w:tcW w:w="1700" w:type="dxa"/>
          </w:tcPr>
          <w:p w14:paraId="1FFABAC1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阶段 3 前</w:t>
            </w:r>
          </w:p>
        </w:tc>
      </w:tr>
      <w:tr w14:paraId="685DF0CB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</w:tcPr>
          <w:p w14:paraId="019016BC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越界处理</w:t>
            </w:r>
          </w:p>
        </w:tc>
        <w:tc>
          <w:tcPr>
            <w:tcW w:w="3500" w:type="dxa"/>
            <w:shd w:val="clear" w:color="auto" w:fill="F2F2F2"/>
          </w:tcPr>
          <w:p w14:paraId="3FACE0C6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移除 / 反向 / 另一侧重生</w:t>
            </w:r>
          </w:p>
        </w:tc>
        <w:tc>
          <w:tcPr>
            <w:tcW w:w="2600" w:type="dxa"/>
            <w:shd w:val="clear" w:color="auto" w:fill="F2F2F2"/>
          </w:tcPr>
          <w:p w14:paraId="3743FB9C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NPC 从另一侧重生，保持场景密度</w:t>
            </w:r>
          </w:p>
        </w:tc>
        <w:tc>
          <w:tcPr>
            <w:tcW w:w="1700" w:type="dxa"/>
            <w:shd w:val="clear" w:color="auto" w:fill="F2F2F2"/>
          </w:tcPr>
          <w:p w14:paraId="22E3A3CF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阶段 2 前</w:t>
            </w:r>
          </w:p>
        </w:tc>
      </w:tr>
      <w:tr w14:paraId="470A9D19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204C5846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存档范围</w:t>
            </w:r>
          </w:p>
        </w:tc>
        <w:tc>
          <w:tcPr>
            <w:tcW w:w="3500" w:type="dxa"/>
          </w:tcPr>
          <w:p w14:paraId="6906FA43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仅最高分 / 当前完整进度</w:t>
            </w:r>
          </w:p>
        </w:tc>
        <w:tc>
          <w:tcPr>
            <w:tcW w:w="2600" w:type="dxa"/>
          </w:tcPr>
          <w:p w14:paraId="58A7EBD7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先完成最高分，完整进度另行确认</w:t>
            </w:r>
          </w:p>
        </w:tc>
        <w:tc>
          <w:tcPr>
            <w:tcW w:w="1700" w:type="dxa"/>
          </w:tcPr>
          <w:p w14:paraId="58DC76E2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阶段 5 前</w:t>
            </w:r>
          </w:p>
        </w:tc>
      </w:tr>
      <w:tr w14:paraId="0C77ECAE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</w:tcPr>
          <w:p w14:paraId="14843D1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图片资源</w:t>
            </w:r>
          </w:p>
        </w:tc>
        <w:tc>
          <w:tcPr>
            <w:tcW w:w="3500" w:type="dxa"/>
            <w:shd w:val="clear" w:color="auto" w:fill="F2F2F2"/>
          </w:tcPr>
          <w:p w14:paraId="197E8F83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阶段 1 接入 / 阶段 6 接入</w:t>
            </w:r>
          </w:p>
        </w:tc>
        <w:tc>
          <w:tcPr>
            <w:tcW w:w="2600" w:type="dxa"/>
            <w:shd w:val="clear" w:color="auto" w:fill="F2F2F2"/>
          </w:tcPr>
          <w:p w14:paraId="032F9BC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先用几何图形，阶段 6 接入</w:t>
            </w:r>
          </w:p>
        </w:tc>
        <w:tc>
          <w:tcPr>
            <w:tcW w:w="1700" w:type="dxa"/>
            <w:shd w:val="clear" w:color="auto" w:fill="F2F2F2"/>
          </w:tcPr>
          <w:p w14:paraId="28E0CB9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阶段 1 结束前</w:t>
            </w:r>
          </w:p>
        </w:tc>
      </w:tr>
    </w:tbl>
    <w:p w14:paraId="54740381">
      <w:pPr>
        <w:pStyle w:val="2"/>
        <w:spacing w:before="200" w:after="100"/>
      </w:pPr>
      <w:r>
        <w:rPr>
          <w:rFonts w:ascii="微软雅黑" w:hAnsi="微软雅黑" w:eastAsia="微软雅黑" w:cs="微软雅黑"/>
        </w:rPr>
        <w:t>5. 每阶段统一验收模板</w:t>
      </w:r>
    </w:p>
    <w:p w14:paraId="73FDB2A4">
      <w:pPr>
        <w:pStyle w:val="16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功能验收：按需求编号逐项演示，记录预期和实际结果。</w:t>
      </w:r>
    </w:p>
    <w:p w14:paraId="41EB3F0E">
      <w:pPr>
        <w:pStyle w:val="16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边界验收：边界位置、临界体型、生命值归零、空容器和重复重开。</w:t>
      </w:r>
    </w:p>
    <w:p w14:paraId="3743F5BB">
      <w:pPr>
        <w:pStyle w:val="16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异常验收：资源缺失、文件打不开、格式损坏和路径错误。</w:t>
      </w:r>
    </w:p>
    <w:p w14:paraId="43E54CBA">
      <w:pPr>
        <w:pStyle w:val="16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代码验收：类职责、对象拥有关系、函数目的、规则常量和错误传播可解释。</w:t>
      </w:r>
    </w:p>
    <w:p w14:paraId="735200AC">
      <w:pPr>
        <w:pStyle w:val="16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文档验收：更新阶段版本、测试记录、已知问题和下一阶段计划。</w:t>
      </w:r>
    </w:p>
    <w:p w14:paraId="7514EF61">
      <w:pPr>
        <w:pStyle w:val="2"/>
        <w:spacing w:before="200" w:after="100"/>
      </w:pPr>
      <w:r>
        <w:rPr>
          <w:rFonts w:ascii="微软雅黑" w:hAnsi="微软雅黑" w:eastAsia="微软雅黑" w:cs="微软雅黑"/>
        </w:rPr>
        <w:t>6. 当前停止条件</w:t>
      </w:r>
    </w:p>
    <w:p w14:paraId="34DBD618">
      <w:pPr>
        <w:spacing w:after="100" w:line="276" w:lineRule="auto"/>
      </w:pPr>
      <w:r>
        <w:rPr>
          <w:rFonts w:ascii="微软雅黑" w:hAnsi="微软雅黑" w:eastAsia="微软雅黑" w:cs="微软雅黑"/>
          <w:sz w:val="21"/>
          <w:szCs w:val="21"/>
        </w:rPr>
        <w:t>在以下事项未确认前，不进入实验 2 的大范围编码：正式入口已确定；EasyX 构建方式已验证；水域边界已确定；同体型与受伤规则已确认；FishGame.cpp 与正式工程的关系已明确。</w:t>
      </w:r>
    </w:p>
    <w:p w14:paraId="17D3C6CB">
      <w:pPr>
        <w:spacing w:after="100" w:line="276" w:lineRule="auto"/>
      </w:pPr>
      <w:r>
        <w:rPr>
          <w:rFonts w:ascii="微软雅黑" w:hAnsi="微软雅黑" w:eastAsia="微软雅黑" w:cs="微软雅黑"/>
          <w:sz w:val="21"/>
          <w:szCs w:val="21"/>
        </w:rPr>
        <w:t>本计划不要求一次性实现全部功能。每个阶段先完成最小可运行版本，再进入下一阶段；发现设计问题时先记录、复现、比较方案，再修改代码。</w:t>
      </w:r>
    </w:p>
    <w:sectPr>
      <w:pgSz w:w="11906" w:h="16838"/>
      <w:pgMar w:top="1100" w:right="1200" w:bottom="11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20" w:hanging="22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D7D25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line="276" w:lineRule="auto"/>
    </w:pPr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line="276" w:lineRule="auto"/>
    </w:pPr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276" w:lineRule="auto"/>
    </w:pPr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276" w:lineRule="auto"/>
    </w:pPr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pPr>
      <w:spacing w:line="276" w:lineRule="auto"/>
    </w:pPr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spacing w:line="276" w:lineRule="auto"/>
    </w:pPr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pPr>
      <w:spacing w:line="276" w:lineRule="auto"/>
    </w:pPr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276" w:lineRule="auto"/>
    </w:pPr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776</Words>
  <Characters>995</Characters>
  <TotalTime>26</TotalTime>
  <ScaleCrop>false</ScaleCrop>
  <LinksUpToDate>false</LinksUpToDate>
  <CharactersWithSpaces>1052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2026-09-16T00:51:00Z</dcterms:created>
  <dc:creator>Un-named</dc:creator>
  <cp:lastModifiedBy>。。。。</cp:lastModifiedBy>
  <dcterms:modified xsi:type="dcterms:W3CDTF">2026-09-16T01:36:05Z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eyJoZGlkIjoiMjdiMTdhN2I2MThhZWI3NzQxMWFhMDRkMzVjMDlkNGQiLCJ1c2VySWQiOiIxNjczMjcwNTU1In0=</vt:lpwstr>
  </property>
  <property fmtid="{D5CDD505-2E9C-101B-9397-08002B2CF9AE}" pid="3" name="KSOProductBuildVer">
    <vt:lpwstr>2052-12.1.0.28505</vt:lpwstr>
  </property>
  <property fmtid="{D5CDD505-2E9C-101B-9397-08002B2CF9AE}" pid="4" name="ICV">
    <vt:lpwstr>AF1201E179C94B029BA0F4B49A50CB36_12</vt:lpwstr>
  </property>
</Properties>
</file>