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EC105">
      <w:pPr>
        <w:spacing w:after="16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4"/>
          <w:szCs w:val="34"/>
        </w:rPr>
        <w:t>大鱼吃小鱼课程设计需求文档</w:t>
      </w:r>
    </w:p>
    <w:p w14:paraId="7406BABB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1. 项目概述</w:t>
      </w:r>
    </w:p>
    <w:p w14:paraId="573441F7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系统是一款单人二维“大鱼吃小鱼”游戏。玩家控制一条鱼在水域中移动，通过吞食体型较小的鱼获得分数并成长；碰到体型较大的鱼会受到伤害。系统最终应具备完整的开始、运行、暂停、结束、重新开始和退出流程，并保存至少最高分数据。</w:t>
      </w:r>
    </w:p>
    <w:p w14:paraId="3D824989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2. 项目目标与范围</w:t>
      </w:r>
    </w:p>
    <w:tbl>
      <w:tblPr>
        <w:tblStyle w:val="11"/>
        <w:tblW w:w="10400" w:type="dxa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5626"/>
        <w:gridCol w:w="2874"/>
      </w:tblGrid>
      <w:tr w14:paraId="3D86223D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1F4E79"/>
          </w:tcPr>
          <w:p w14:paraId="1BB02829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范围</w:t>
            </w:r>
          </w:p>
        </w:tc>
        <w:tc>
          <w:tcPr>
            <w:tcW w:w="5626" w:type="dxa"/>
            <w:shd w:val="clear" w:color="auto" w:fill="1F4E79"/>
          </w:tcPr>
          <w:p w14:paraId="484FC311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纳入内容</w:t>
            </w:r>
          </w:p>
        </w:tc>
        <w:tc>
          <w:tcPr>
            <w:tcW w:w="2874" w:type="dxa"/>
            <w:shd w:val="clear" w:color="auto" w:fill="1F4E79"/>
          </w:tcPr>
          <w:p w14:paraId="04BCA44A">
            <w:pPr>
              <w:spacing w:after="0"/>
            </w:pPr>
          </w:p>
        </w:tc>
      </w:tr>
      <w:tr w14:paraId="2CCAE45D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</w:tcPr>
          <w:p w14:paraId="078FC1F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核心玩法</w:t>
            </w:r>
          </w:p>
        </w:tc>
        <w:tc>
          <w:tcPr>
            <w:tcW w:w="5626" w:type="dxa"/>
          </w:tcPr>
          <w:p w14:paraId="34998D4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玩家移动、NPC 鱼群、碰撞、吞食、成长、受伤、计分、生命值</w:t>
            </w:r>
          </w:p>
        </w:tc>
        <w:tc>
          <w:tcPr>
            <w:tcW w:w="2874" w:type="dxa"/>
          </w:tcPr>
          <w:p w14:paraId="16A80F0E">
            <w:pPr>
              <w:spacing w:after="0"/>
            </w:pPr>
          </w:p>
        </w:tc>
      </w:tr>
      <w:tr w14:paraId="5D4BAE62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</w:tcPr>
          <w:p w14:paraId="2EE2F10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课程知识</w:t>
            </w:r>
          </w:p>
        </w:tc>
        <w:tc>
          <w:tcPr>
            <w:tcW w:w="5626" w:type="dxa"/>
            <w:shd w:val="clear" w:color="auto" w:fill="F2F2F2"/>
          </w:tcPr>
          <w:p w14:paraId="1A94F24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类与对象、组合与依赖、继承、多态、STL、适度模板、文件 I/O</w:t>
            </w:r>
          </w:p>
        </w:tc>
        <w:tc>
          <w:tcPr>
            <w:tcW w:w="2874" w:type="dxa"/>
            <w:shd w:val="clear" w:color="auto" w:fill="F2F2F2"/>
          </w:tcPr>
          <w:p w14:paraId="326989C1">
            <w:pPr>
              <w:spacing w:after="0"/>
            </w:pPr>
          </w:p>
        </w:tc>
      </w:tr>
      <w:tr w14:paraId="631543D3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</w:tcPr>
          <w:p w14:paraId="23EE5B0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图形表现</w:t>
            </w:r>
          </w:p>
        </w:tc>
        <w:tc>
          <w:tcPr>
            <w:tcW w:w="5626" w:type="dxa"/>
          </w:tcPr>
          <w:p w14:paraId="49F88E7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EasyX 窗口、几何图形、后期接入图片资源</w:t>
            </w:r>
          </w:p>
        </w:tc>
        <w:tc>
          <w:tcPr>
            <w:tcW w:w="2874" w:type="dxa"/>
          </w:tcPr>
          <w:p w14:paraId="64711F7D">
            <w:pPr>
              <w:spacing w:after="0"/>
            </w:pPr>
          </w:p>
        </w:tc>
      </w:tr>
      <w:tr w14:paraId="2145EFA7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</w:tcPr>
          <w:p w14:paraId="35B51C9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数据功能</w:t>
            </w:r>
          </w:p>
        </w:tc>
        <w:tc>
          <w:tcPr>
            <w:tcW w:w="5626" w:type="dxa"/>
            <w:shd w:val="clear" w:color="auto" w:fill="F2F2F2"/>
          </w:tcPr>
          <w:p w14:paraId="65ECC2E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最高分保存与读取；完整进度存档需确认</w:t>
            </w:r>
          </w:p>
        </w:tc>
        <w:tc>
          <w:tcPr>
            <w:tcW w:w="2874" w:type="dxa"/>
            <w:shd w:val="clear" w:color="auto" w:fill="F2F2F2"/>
          </w:tcPr>
          <w:p w14:paraId="33350FE1">
            <w:pPr>
              <w:spacing w:after="0"/>
            </w:pPr>
          </w:p>
        </w:tc>
      </w:tr>
    </w:tbl>
    <w:p w14:paraId="1E53B285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3. 用户与运行环境</w:t>
      </w:r>
    </w:p>
    <w:p w14:paraId="703D0F9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主要用户：课程项目演示者、试玩者和答辩教师。</w:t>
      </w:r>
    </w:p>
    <w:p w14:paraId="1F5DA73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运行平台：Windows；编译环境：Visual Studio；语言标准：C++17。</w:t>
      </w:r>
    </w:p>
    <w:p w14:paraId="1B4132C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图形库：EasyX；输入设备：键盘。</w:t>
      </w:r>
    </w:p>
    <w:p w14:paraId="36926F1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建议窗口：1000×700；HUD 与活动水域边界必须明确。</w:t>
      </w:r>
    </w:p>
    <w:p w14:paraId="1DA68A48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4. 功能需求</w:t>
      </w:r>
    </w:p>
    <w:tbl>
      <w:tblPr>
        <w:tblStyle w:val="11"/>
        <w:tblW w:w="10300" w:type="dxa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0"/>
        <w:gridCol w:w="1450"/>
        <w:gridCol w:w="3600"/>
        <w:gridCol w:w="3700"/>
        <w:gridCol w:w="700"/>
      </w:tblGrid>
      <w:tr w14:paraId="293C39BF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</w:tblPrEx>
        <w:tc>
          <w:tcPr>
            <w:tcW w:w="850" w:type="dxa"/>
            <w:shd w:val="clear" w:color="auto" w:fill="1F4E79"/>
          </w:tcPr>
          <w:p w14:paraId="26D93C48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450" w:type="dxa"/>
            <w:shd w:val="clear" w:color="auto" w:fill="1F4E79"/>
          </w:tcPr>
          <w:p w14:paraId="330412F7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</w:t>
            </w:r>
          </w:p>
        </w:tc>
        <w:tc>
          <w:tcPr>
            <w:tcW w:w="3600" w:type="dxa"/>
            <w:shd w:val="clear" w:color="auto" w:fill="1F4E79"/>
          </w:tcPr>
          <w:p w14:paraId="7DDDDD16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需求描述</w:t>
            </w:r>
          </w:p>
        </w:tc>
        <w:tc>
          <w:tcPr>
            <w:tcW w:w="3700" w:type="dxa"/>
            <w:shd w:val="clear" w:color="auto" w:fill="1F4E79"/>
          </w:tcPr>
          <w:p w14:paraId="7E9ACB6A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验收标准</w:t>
            </w:r>
          </w:p>
        </w:tc>
        <w:tc>
          <w:tcPr>
            <w:tcW w:w="700" w:type="dxa"/>
            <w:shd w:val="clear" w:color="auto" w:fill="1F4E79"/>
          </w:tcPr>
          <w:p w14:paraId="494D7003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阶段</w:t>
            </w:r>
          </w:p>
        </w:tc>
      </w:tr>
      <w:tr w14:paraId="0935A09A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</w:tcPr>
          <w:p w14:paraId="0BDF545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1450" w:type="dxa"/>
          </w:tcPr>
          <w:p w14:paraId="0E5E741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启动与退出</w:t>
            </w:r>
          </w:p>
        </w:tc>
        <w:tc>
          <w:tcPr>
            <w:tcW w:w="3600" w:type="dxa"/>
          </w:tcPr>
          <w:p w14:paraId="23D24D2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创建窗口并提供正常退出路径</w:t>
            </w:r>
          </w:p>
        </w:tc>
        <w:tc>
          <w:tcPr>
            <w:tcW w:w="3700" w:type="dxa"/>
          </w:tcPr>
          <w:p w14:paraId="307DBE7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启动出现窗口；ESC 后释放窗口并结束</w:t>
            </w:r>
          </w:p>
        </w:tc>
        <w:tc>
          <w:tcPr>
            <w:tcW w:w="700" w:type="dxa"/>
          </w:tcPr>
          <w:p w14:paraId="0B1E1E7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</w:tr>
      <w:tr w14:paraId="10507D94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shd w:val="clear" w:color="auto" w:fill="F2F2F2"/>
          </w:tcPr>
          <w:p w14:paraId="6CDE46D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1450" w:type="dxa"/>
            <w:shd w:val="clear" w:color="auto" w:fill="F2F2F2"/>
          </w:tcPr>
          <w:p w14:paraId="2463506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玩家显示</w:t>
            </w:r>
          </w:p>
        </w:tc>
        <w:tc>
          <w:tcPr>
            <w:tcW w:w="3600" w:type="dxa"/>
            <w:shd w:val="clear" w:color="auto" w:fill="F2F2F2"/>
          </w:tcPr>
          <w:p w14:paraId="5C5A730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显示位置、大小明确的玩家鱼</w:t>
            </w:r>
          </w:p>
        </w:tc>
        <w:tc>
          <w:tcPr>
            <w:tcW w:w="3700" w:type="dxa"/>
            <w:shd w:val="clear" w:color="auto" w:fill="F2F2F2"/>
          </w:tcPr>
          <w:p w14:paraId="24F5007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启动后可识别玩家鱼</w:t>
            </w:r>
          </w:p>
        </w:tc>
        <w:tc>
          <w:tcPr>
            <w:tcW w:w="700" w:type="dxa"/>
            <w:shd w:val="clear" w:color="auto" w:fill="F2F2F2"/>
          </w:tcPr>
          <w:p w14:paraId="66D6024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</w:tr>
      <w:tr w14:paraId="0F0134F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</w:tcPr>
          <w:p w14:paraId="0A640E7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1450" w:type="dxa"/>
          </w:tcPr>
          <w:p w14:paraId="6F1FE35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玩家移动</w:t>
            </w:r>
          </w:p>
        </w:tc>
        <w:tc>
          <w:tcPr>
            <w:tcW w:w="3600" w:type="dxa"/>
          </w:tcPr>
          <w:p w14:paraId="001571B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支持 WASD 和方向键连续移动</w:t>
            </w:r>
          </w:p>
        </w:tc>
        <w:tc>
          <w:tcPr>
            <w:tcW w:w="3700" w:type="dxa"/>
          </w:tcPr>
          <w:p w14:paraId="67A574D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按键后位置连续变化；斜向速度不异常</w:t>
            </w:r>
          </w:p>
        </w:tc>
        <w:tc>
          <w:tcPr>
            <w:tcW w:w="700" w:type="dxa"/>
          </w:tcPr>
          <w:p w14:paraId="63E9627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</w:tr>
      <w:tr w14:paraId="5211158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shd w:val="clear" w:color="auto" w:fill="F2F2F2"/>
          </w:tcPr>
          <w:p w14:paraId="029D2A2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FR-04</w:t>
            </w:r>
          </w:p>
        </w:tc>
        <w:tc>
          <w:tcPr>
            <w:tcW w:w="1450" w:type="dxa"/>
            <w:shd w:val="clear" w:color="auto" w:fill="F2F2F2"/>
          </w:tcPr>
          <w:p w14:paraId="30D10FD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活动边界</w:t>
            </w:r>
          </w:p>
        </w:tc>
        <w:tc>
          <w:tcPr>
            <w:tcW w:w="3600" w:type="dxa"/>
            <w:shd w:val="clear" w:color="auto" w:fill="F2F2F2"/>
          </w:tcPr>
          <w:p w14:paraId="7DDA04C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限制完整玩家鱼在水域内</w:t>
            </w:r>
          </w:p>
        </w:tc>
        <w:tc>
          <w:tcPr>
            <w:tcW w:w="3700" w:type="dxa"/>
            <w:shd w:val="clear" w:color="auto" w:fill="F2F2F2"/>
          </w:tcPr>
          <w:p w14:paraId="4F738A4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主体和尾鳍不越界；HUD 区域规则一致</w:t>
            </w:r>
          </w:p>
        </w:tc>
        <w:tc>
          <w:tcPr>
            <w:tcW w:w="700" w:type="dxa"/>
            <w:shd w:val="clear" w:color="auto" w:fill="F2F2F2"/>
          </w:tcPr>
          <w:p w14:paraId="33F5C58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</w:tr>
      <w:tr w14:paraId="1B029CE2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</w:tcPr>
          <w:p w14:paraId="082074E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1450" w:type="dxa"/>
          </w:tcPr>
          <w:p w14:paraId="5D27B84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NPC 生成</w:t>
            </w:r>
          </w:p>
        </w:tc>
        <w:tc>
          <w:tcPr>
            <w:tcW w:w="3600" w:type="dxa"/>
          </w:tcPr>
          <w:p w14:paraId="7F6E04B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按规则生成多条不同大小/速度的 NPC 鱼</w:t>
            </w:r>
          </w:p>
        </w:tc>
        <w:tc>
          <w:tcPr>
            <w:tcW w:w="3700" w:type="dxa"/>
          </w:tcPr>
          <w:p w14:paraId="54937F4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场景中同时存在多条鱼，参数可观察</w:t>
            </w:r>
          </w:p>
        </w:tc>
        <w:tc>
          <w:tcPr>
            <w:tcW w:w="700" w:type="dxa"/>
          </w:tcPr>
          <w:p w14:paraId="27306C5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</w:tr>
      <w:tr w14:paraId="154353DE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shd w:val="clear" w:color="auto" w:fill="F2F2F2"/>
          </w:tcPr>
          <w:p w14:paraId="4661F8F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1450" w:type="dxa"/>
            <w:shd w:val="clear" w:color="auto" w:fill="F2F2F2"/>
          </w:tcPr>
          <w:p w14:paraId="7E3EFF8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NPC 移动</w:t>
            </w:r>
          </w:p>
        </w:tc>
        <w:tc>
          <w:tcPr>
            <w:tcW w:w="3600" w:type="dxa"/>
            <w:shd w:val="clear" w:color="auto" w:fill="F2F2F2"/>
          </w:tcPr>
          <w:p w14:paraId="72A8636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NPC 自动移动并处理越界</w:t>
            </w:r>
          </w:p>
        </w:tc>
        <w:tc>
          <w:tcPr>
            <w:tcW w:w="3700" w:type="dxa"/>
            <w:shd w:val="clear" w:color="auto" w:fill="F2F2F2"/>
          </w:tcPr>
          <w:p w14:paraId="43E9975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鱼持续更新；越界按统一规则重生或移除</w:t>
            </w:r>
          </w:p>
        </w:tc>
        <w:tc>
          <w:tcPr>
            <w:tcW w:w="700" w:type="dxa"/>
            <w:shd w:val="clear" w:color="auto" w:fill="F2F2F2"/>
          </w:tcPr>
          <w:p w14:paraId="0E6A0E7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</w:tr>
      <w:tr w14:paraId="4A771E5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</w:tcPr>
          <w:p w14:paraId="68C19F5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1450" w:type="dxa"/>
          </w:tcPr>
          <w:p w14:paraId="566BCEA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碰撞识别</w:t>
            </w:r>
          </w:p>
        </w:tc>
        <w:tc>
          <w:tcPr>
            <w:tcW w:w="3600" w:type="dxa"/>
          </w:tcPr>
          <w:p w14:paraId="692282D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识别玩家与 NPC 的有效接触</w:t>
            </w:r>
          </w:p>
        </w:tc>
        <w:tc>
          <w:tcPr>
            <w:tcW w:w="3700" w:type="dxa"/>
          </w:tcPr>
          <w:p w14:paraId="60A7686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相同位置重复测试结果稳定</w:t>
            </w:r>
          </w:p>
        </w:tc>
        <w:tc>
          <w:tcPr>
            <w:tcW w:w="700" w:type="dxa"/>
          </w:tcPr>
          <w:p w14:paraId="4D1808C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</w:tr>
      <w:tr w14:paraId="0471F69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shd w:val="clear" w:color="auto" w:fill="F2F2F2"/>
          </w:tcPr>
          <w:p w14:paraId="3164F4F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FR-08</w:t>
            </w:r>
          </w:p>
        </w:tc>
        <w:tc>
          <w:tcPr>
            <w:tcW w:w="1450" w:type="dxa"/>
            <w:shd w:val="clear" w:color="auto" w:fill="F2F2F2"/>
          </w:tcPr>
          <w:p w14:paraId="3B15CF5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吞食与成长</w:t>
            </w:r>
          </w:p>
        </w:tc>
        <w:tc>
          <w:tcPr>
            <w:tcW w:w="3600" w:type="dxa"/>
            <w:shd w:val="clear" w:color="auto" w:fill="F2F2F2"/>
          </w:tcPr>
          <w:p w14:paraId="420FBF3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玩家满足体型条件时吞食小鱼并成长</w:t>
            </w:r>
          </w:p>
        </w:tc>
        <w:tc>
          <w:tcPr>
            <w:tcW w:w="3700" w:type="dxa"/>
            <w:shd w:val="clear" w:color="auto" w:fill="F2F2F2"/>
          </w:tcPr>
          <w:p w14:paraId="3D9C649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目标消失；分数增加；体型变化符合规则</w:t>
            </w:r>
          </w:p>
        </w:tc>
        <w:tc>
          <w:tcPr>
            <w:tcW w:w="700" w:type="dxa"/>
            <w:shd w:val="clear" w:color="auto" w:fill="F2F2F2"/>
          </w:tcPr>
          <w:p w14:paraId="4F3CFAD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</w:tr>
      <w:tr w14:paraId="0A92AAC4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</w:tcPr>
          <w:p w14:paraId="303DD67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1450" w:type="dxa"/>
          </w:tcPr>
          <w:p w14:paraId="4E9F473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受伤与生命</w:t>
            </w:r>
          </w:p>
        </w:tc>
        <w:tc>
          <w:tcPr>
            <w:tcW w:w="3600" w:type="dxa"/>
          </w:tcPr>
          <w:p w14:paraId="42EEE10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玩家接触大鱼时减少生命值</w:t>
            </w:r>
          </w:p>
        </w:tc>
        <w:tc>
          <w:tcPr>
            <w:tcW w:w="3700" w:type="dxa"/>
          </w:tcPr>
          <w:p w14:paraId="0397866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一次有效碰撞不会连续帧无限扣血</w:t>
            </w:r>
          </w:p>
        </w:tc>
        <w:tc>
          <w:tcPr>
            <w:tcW w:w="700" w:type="dxa"/>
          </w:tcPr>
          <w:p w14:paraId="25BEE67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</w:tr>
      <w:tr w14:paraId="632F772E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shd w:val="clear" w:color="auto" w:fill="F2F2F2"/>
          </w:tcPr>
          <w:p w14:paraId="052A98A1">
            <w:pPr>
              <w:spacing w:after="0"/>
              <w:rPr>
                <w:color w:val="E46C0A" w:themeColor="accent6" w:themeShade="BF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FR-10</w:t>
            </w:r>
          </w:p>
        </w:tc>
        <w:tc>
          <w:tcPr>
            <w:tcW w:w="1450" w:type="dxa"/>
            <w:shd w:val="clear" w:color="auto" w:fill="F2F2F2"/>
          </w:tcPr>
          <w:p w14:paraId="0D14E58C">
            <w:pPr>
              <w:spacing w:after="0"/>
              <w:rPr>
                <w:color w:val="E46C0A" w:themeColor="accent6" w:themeShade="BF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多种行为</w:t>
            </w:r>
          </w:p>
        </w:tc>
        <w:tc>
          <w:tcPr>
            <w:tcW w:w="3600" w:type="dxa"/>
            <w:shd w:val="clear" w:color="auto" w:fill="F2F2F2"/>
          </w:tcPr>
          <w:p w14:paraId="22DEF9DC">
            <w:pPr>
              <w:spacing w:after="0"/>
              <w:rPr>
                <w:color w:val="E46C0A" w:themeColor="accent6" w:themeShade="BF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至少两类 NPC 行为存在可观察差异</w:t>
            </w:r>
          </w:p>
        </w:tc>
        <w:tc>
          <w:tcPr>
            <w:tcW w:w="3700" w:type="dxa"/>
            <w:shd w:val="clear" w:color="auto" w:fill="F2F2F2"/>
          </w:tcPr>
          <w:p w14:paraId="4C1AA794">
            <w:pPr>
              <w:spacing w:after="0"/>
              <w:rPr>
                <w:color w:val="E46C0A" w:themeColor="accent6" w:themeShade="BF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通过统一接口更新不同鱼类</w:t>
            </w:r>
          </w:p>
        </w:tc>
        <w:tc>
          <w:tcPr>
            <w:tcW w:w="700" w:type="dxa"/>
            <w:shd w:val="clear" w:color="auto" w:fill="F2F2F2"/>
          </w:tcPr>
          <w:p w14:paraId="65784DD3">
            <w:pPr>
              <w:spacing w:after="0"/>
              <w:rPr>
                <w:color w:val="E46C0A" w:themeColor="accent6" w:themeShade="BF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4</w:t>
            </w:r>
          </w:p>
        </w:tc>
      </w:tr>
      <w:tr w14:paraId="2D1357AE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</w:tcPr>
          <w:p w14:paraId="7401E7D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FR-11</w:t>
            </w:r>
          </w:p>
        </w:tc>
        <w:tc>
          <w:tcPr>
            <w:tcW w:w="1450" w:type="dxa"/>
          </w:tcPr>
          <w:p w14:paraId="1C5A493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游戏状态</w:t>
            </w:r>
          </w:p>
        </w:tc>
        <w:tc>
          <w:tcPr>
            <w:tcW w:w="3600" w:type="dxa"/>
          </w:tcPr>
          <w:p w14:paraId="34D091B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区分开始、运行、暂停、结束</w:t>
            </w:r>
          </w:p>
        </w:tc>
        <w:tc>
          <w:tcPr>
            <w:tcW w:w="3700" w:type="dxa"/>
          </w:tcPr>
          <w:p w14:paraId="39C0317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暂停时位置和计时不继续变化</w:t>
            </w:r>
          </w:p>
        </w:tc>
        <w:tc>
          <w:tcPr>
            <w:tcW w:w="700" w:type="dxa"/>
          </w:tcPr>
          <w:p w14:paraId="0E17DEB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</w:tr>
      <w:tr w14:paraId="791C01AF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shd w:val="clear" w:color="auto" w:fill="F2F2F2"/>
          </w:tcPr>
          <w:p w14:paraId="3B15A58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FR-12</w:t>
            </w:r>
          </w:p>
        </w:tc>
        <w:tc>
          <w:tcPr>
            <w:tcW w:w="1450" w:type="dxa"/>
            <w:shd w:val="clear" w:color="auto" w:fill="F2F2F2"/>
          </w:tcPr>
          <w:p w14:paraId="6A712B4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HUD</w:t>
            </w:r>
          </w:p>
        </w:tc>
        <w:tc>
          <w:tcPr>
            <w:tcW w:w="3600" w:type="dxa"/>
            <w:shd w:val="clear" w:color="auto" w:fill="F2F2F2"/>
          </w:tcPr>
          <w:p w14:paraId="496BF08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显示生命、分数、体型、状态和操作提示</w:t>
            </w:r>
          </w:p>
        </w:tc>
        <w:tc>
          <w:tcPr>
            <w:tcW w:w="3700" w:type="dxa"/>
            <w:shd w:val="clear" w:color="auto" w:fill="F2F2F2"/>
          </w:tcPr>
          <w:p w14:paraId="700656C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状态变化后 HUD 与内部状态一致</w:t>
            </w:r>
          </w:p>
        </w:tc>
        <w:tc>
          <w:tcPr>
            <w:tcW w:w="700" w:type="dxa"/>
            <w:shd w:val="clear" w:color="auto" w:fill="F2F2F2"/>
          </w:tcPr>
          <w:p w14:paraId="63A5955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</w:tr>
      <w:tr w14:paraId="404BCF02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</w:tcPr>
          <w:p w14:paraId="4174A18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1450" w:type="dxa"/>
          </w:tcPr>
          <w:p w14:paraId="7F66D39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暂停与重开</w:t>
            </w:r>
          </w:p>
        </w:tc>
        <w:tc>
          <w:tcPr>
            <w:tcW w:w="3600" w:type="dxa"/>
          </w:tcPr>
          <w:p w14:paraId="6E7114F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支持暂停、继续和新一局</w:t>
            </w:r>
          </w:p>
        </w:tc>
        <w:tc>
          <w:tcPr>
            <w:tcW w:w="3700" w:type="dxa"/>
          </w:tcPr>
          <w:p w14:paraId="1B94518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重开后本局数据和对象正确重置</w:t>
            </w:r>
          </w:p>
        </w:tc>
        <w:tc>
          <w:tcPr>
            <w:tcW w:w="700" w:type="dxa"/>
          </w:tcPr>
          <w:p w14:paraId="7673E9A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</w:tr>
      <w:tr w14:paraId="69001497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shd w:val="clear" w:color="auto" w:fill="F2F2F2"/>
          </w:tcPr>
          <w:p w14:paraId="2DB578D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1450" w:type="dxa"/>
            <w:shd w:val="clear" w:color="auto" w:fill="F2F2F2"/>
          </w:tcPr>
          <w:p w14:paraId="7532260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最高分持久化</w:t>
            </w:r>
          </w:p>
        </w:tc>
        <w:tc>
          <w:tcPr>
            <w:tcW w:w="3600" w:type="dxa"/>
            <w:shd w:val="clear" w:color="auto" w:fill="F2F2F2"/>
          </w:tcPr>
          <w:p w14:paraId="6A4968C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保存并读取最高分</w:t>
            </w:r>
          </w:p>
        </w:tc>
        <w:tc>
          <w:tcPr>
            <w:tcW w:w="3700" w:type="dxa"/>
            <w:shd w:val="clear" w:color="auto" w:fill="F2F2F2"/>
          </w:tcPr>
          <w:p w14:paraId="2CAFB35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跨程序运行保留；错误文件有明确诊断</w:t>
            </w:r>
          </w:p>
        </w:tc>
        <w:tc>
          <w:tcPr>
            <w:tcW w:w="700" w:type="dxa"/>
            <w:shd w:val="clear" w:color="auto" w:fill="F2F2F2"/>
          </w:tcPr>
          <w:p w14:paraId="5EB615D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</w:tr>
      <w:tr w14:paraId="78B54482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</w:tcPr>
          <w:p w14:paraId="47C31A3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FR-15</w:t>
            </w:r>
          </w:p>
        </w:tc>
        <w:tc>
          <w:tcPr>
            <w:tcW w:w="1450" w:type="dxa"/>
          </w:tcPr>
          <w:p w14:paraId="2B794DF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资源绘制</w:t>
            </w:r>
          </w:p>
        </w:tc>
        <w:tc>
          <w:tcPr>
            <w:tcW w:w="3600" w:type="dxa"/>
          </w:tcPr>
          <w:p w14:paraId="3F5077F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在核心玩法稳定后接入图片资源</w:t>
            </w:r>
          </w:p>
        </w:tc>
        <w:tc>
          <w:tcPr>
            <w:tcW w:w="3700" w:type="dxa"/>
          </w:tcPr>
          <w:p w14:paraId="3940346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资源存在时正确绘制；缺失时报告路径</w:t>
            </w:r>
          </w:p>
        </w:tc>
        <w:tc>
          <w:tcPr>
            <w:tcW w:w="700" w:type="dxa"/>
          </w:tcPr>
          <w:p w14:paraId="246F5E5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</w:tr>
      <w:tr w14:paraId="1809FC97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shd w:val="clear" w:color="auto" w:fill="F2F2F2"/>
          </w:tcPr>
          <w:p w14:paraId="2032AFB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FR-16</w:t>
            </w:r>
          </w:p>
        </w:tc>
        <w:tc>
          <w:tcPr>
            <w:tcW w:w="1450" w:type="dxa"/>
            <w:shd w:val="clear" w:color="auto" w:fill="F2F2F2"/>
          </w:tcPr>
          <w:p w14:paraId="1466253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完整流程</w:t>
            </w:r>
          </w:p>
        </w:tc>
        <w:tc>
          <w:tcPr>
            <w:tcW w:w="3600" w:type="dxa"/>
            <w:shd w:val="clear" w:color="auto" w:fill="F2F2F2"/>
          </w:tcPr>
          <w:p w14:paraId="71DD62C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完成启动、游玩、暂停、结束、重开或退出</w:t>
            </w:r>
          </w:p>
        </w:tc>
        <w:tc>
          <w:tcPr>
            <w:tcW w:w="3700" w:type="dxa"/>
            <w:shd w:val="clear" w:color="auto" w:fill="F2F2F2"/>
          </w:tcPr>
          <w:p w14:paraId="2C7E71A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可连续演示完整路径和异常路径</w:t>
            </w:r>
          </w:p>
        </w:tc>
        <w:tc>
          <w:tcPr>
            <w:tcW w:w="700" w:type="dxa"/>
            <w:shd w:val="clear" w:color="auto" w:fill="F2F2F2"/>
          </w:tcPr>
          <w:p w14:paraId="48195B7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</w:tr>
    </w:tbl>
    <w:p w14:paraId="6BA1B9E9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5. 规则需求</w:t>
      </w:r>
    </w:p>
    <w:p w14:paraId="6E1C9040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以下规则是实现所需的初始约束，其中标记“待确认”的项目必须在对应阶段前由学生与教师/AI 确认，并更新本文档。</w:t>
      </w:r>
    </w:p>
    <w:tbl>
      <w:tblPr>
        <w:tblStyle w:val="11"/>
        <w:tblW w:w="10300" w:type="dxa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700"/>
        <w:gridCol w:w="2200"/>
      </w:tblGrid>
      <w:tr w14:paraId="449794EC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1F4E79"/>
          </w:tcPr>
          <w:p w14:paraId="4E9E1EB5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规则项</w:t>
            </w:r>
          </w:p>
        </w:tc>
        <w:tc>
          <w:tcPr>
            <w:tcW w:w="5700" w:type="dxa"/>
            <w:shd w:val="clear" w:color="auto" w:fill="1F4E79"/>
          </w:tcPr>
          <w:p w14:paraId="3842135E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当前基线</w:t>
            </w:r>
          </w:p>
        </w:tc>
        <w:tc>
          <w:tcPr>
            <w:tcW w:w="2200" w:type="dxa"/>
            <w:shd w:val="clear" w:color="auto" w:fill="1F4E79"/>
          </w:tcPr>
          <w:p w14:paraId="323F3C83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2074E9C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5EAA85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玩家控制</w:t>
            </w:r>
          </w:p>
        </w:tc>
        <w:tc>
          <w:tcPr>
            <w:tcW w:w="5700" w:type="dxa"/>
          </w:tcPr>
          <w:p w14:paraId="444F511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WASD/方向键；速度按 deltaTime 更新；斜向移动归一化</w:t>
            </w:r>
          </w:p>
        </w:tc>
        <w:tc>
          <w:tcPr>
            <w:tcW w:w="2200" w:type="dxa"/>
          </w:tcPr>
          <w:p w14:paraId="36FCD478">
            <w:pPr>
              <w:spacing w:after="0"/>
              <w:rPr>
                <w:color w:val="E46C0A" w:themeColor="accent6" w:themeShade="BF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已确定</w:t>
            </w:r>
          </w:p>
        </w:tc>
      </w:tr>
      <w:tr w14:paraId="567CE59F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</w:tcPr>
          <w:p w14:paraId="4E51C40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活动区域</w:t>
            </w:r>
          </w:p>
        </w:tc>
        <w:tc>
          <w:tcPr>
            <w:tcW w:w="5700" w:type="dxa"/>
            <w:shd w:val="clear" w:color="auto" w:fill="F2F2F2"/>
          </w:tcPr>
          <w:p w14:paraId="76A787A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窗口内除 HUD 外的水域矩形；完整外形不得越界</w:t>
            </w:r>
          </w:p>
        </w:tc>
        <w:tc>
          <w:tcPr>
            <w:tcW w:w="2200" w:type="dxa"/>
            <w:shd w:val="clear" w:color="auto" w:fill="F2F2F2"/>
          </w:tcPr>
          <w:p w14:paraId="2876ADA5">
            <w:pPr>
              <w:spacing w:after="0"/>
              <w:rPr>
                <w:color w:val="E46C0A" w:themeColor="accent6" w:themeShade="BF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需在实验 1 结束前确认尺寸</w:t>
            </w:r>
          </w:p>
        </w:tc>
      </w:tr>
      <w:tr w14:paraId="04CCF249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A44D6F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吞食条件</w:t>
            </w:r>
          </w:p>
        </w:tc>
        <w:tc>
          <w:tcPr>
            <w:tcW w:w="5700" w:type="dxa"/>
          </w:tcPr>
          <w:p w14:paraId="53B6B05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玩家体型至少为目标鱼的 1.1 倍</w:t>
            </w:r>
          </w:p>
        </w:tc>
        <w:tc>
          <w:tcPr>
            <w:tcW w:w="2200" w:type="dxa"/>
          </w:tcPr>
          <w:p w14:paraId="1B6A2D60">
            <w:pPr>
              <w:spacing w:after="0"/>
              <w:rPr>
                <w:rFonts w:hint="default" w:eastAsia="微软雅黑"/>
                <w:color w:val="E46C0A" w:themeColor="accent6" w:themeShade="BF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待确认</w:t>
            </w:r>
            <w:r>
              <w:rPr>
                <w:rFonts w:hint="eastAsia" w:cs="微软雅黑"/>
                <w:b w:val="0"/>
                <w:bCs w:val="0"/>
                <w:color w:val="E46C0A" w:themeColor="accent6" w:themeShade="BF"/>
                <w:sz w:val="18"/>
                <w:szCs w:val="18"/>
                <w:lang w:val="en-US" w:eastAsia="zh-CN"/>
              </w:rPr>
              <w:t>--设置固定成长路线</w:t>
            </w:r>
          </w:p>
        </w:tc>
      </w:tr>
      <w:tr w14:paraId="7BCC1744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</w:tcPr>
          <w:p w14:paraId="4E02D33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同体型接触</w:t>
            </w:r>
          </w:p>
        </w:tc>
        <w:tc>
          <w:tcPr>
            <w:tcW w:w="5700" w:type="dxa"/>
            <w:shd w:val="clear" w:color="auto" w:fill="F2F2F2"/>
          </w:tcPr>
          <w:p w14:paraId="1282D47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默认不吞食、不计分</w:t>
            </w:r>
          </w:p>
        </w:tc>
        <w:tc>
          <w:tcPr>
            <w:tcW w:w="2200" w:type="dxa"/>
            <w:shd w:val="clear" w:color="auto" w:fill="F2F2F2"/>
          </w:tcPr>
          <w:p w14:paraId="76CBEA18">
            <w:pPr>
              <w:spacing w:after="0"/>
              <w:rPr>
                <w:rFonts w:hint="default" w:eastAsia="微软雅黑"/>
                <w:color w:val="E46C0A" w:themeColor="accent6" w:themeShade="BF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待确认</w:t>
            </w:r>
            <w:r>
              <w:rPr>
                <w:rFonts w:hint="eastAsia" w:cs="微软雅黑"/>
                <w:b w:val="0"/>
                <w:bCs w:val="0"/>
                <w:color w:val="E46C0A" w:themeColor="accent6" w:themeShade="BF"/>
                <w:sz w:val="18"/>
                <w:szCs w:val="18"/>
                <w:lang w:val="en-US" w:eastAsia="zh-CN"/>
              </w:rPr>
              <w:t>----扣血</w:t>
            </w:r>
          </w:p>
        </w:tc>
      </w:tr>
      <w:tr w14:paraId="689FA351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A99707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受伤反馈</w:t>
            </w:r>
          </w:p>
        </w:tc>
        <w:tc>
          <w:tcPr>
            <w:tcW w:w="5700" w:type="dxa"/>
          </w:tcPr>
          <w:p w14:paraId="25A5172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默认一次碰撞触发一次伤害，并设置短暂无敌</w:t>
            </w:r>
          </w:p>
        </w:tc>
        <w:tc>
          <w:tcPr>
            <w:tcW w:w="2200" w:type="dxa"/>
          </w:tcPr>
          <w:p w14:paraId="0453FD01">
            <w:pPr>
              <w:spacing w:after="0"/>
              <w:rPr>
                <w:rFonts w:hint="default" w:eastAsia="微软雅黑"/>
                <w:color w:val="E46C0A" w:themeColor="accent6" w:themeShade="BF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待确认</w:t>
            </w:r>
            <w:r>
              <w:rPr>
                <w:rFonts w:hint="eastAsia" w:cs="微软雅黑"/>
                <w:b w:val="0"/>
                <w:bCs w:val="0"/>
                <w:color w:val="E46C0A" w:themeColor="accent6" w:themeShade="BF"/>
                <w:sz w:val="18"/>
                <w:szCs w:val="18"/>
                <w:lang w:val="en-US" w:eastAsia="zh-CN"/>
              </w:rPr>
              <w:t>---确认</w:t>
            </w:r>
          </w:p>
        </w:tc>
      </w:tr>
      <w:tr w14:paraId="2793E3D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</w:tcPr>
          <w:p w14:paraId="052C620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成长方式</w:t>
            </w:r>
          </w:p>
        </w:tc>
        <w:tc>
          <w:tcPr>
            <w:tcW w:w="5700" w:type="dxa"/>
            <w:shd w:val="clear" w:color="auto" w:fill="F2F2F2"/>
          </w:tcPr>
          <w:p w14:paraId="6FC279A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吞食后增加体型；具体增量可按目标大小计算</w:t>
            </w:r>
          </w:p>
        </w:tc>
        <w:tc>
          <w:tcPr>
            <w:tcW w:w="2200" w:type="dxa"/>
            <w:shd w:val="clear" w:color="auto" w:fill="F2F2F2"/>
          </w:tcPr>
          <w:p w14:paraId="629BCA2B">
            <w:pPr>
              <w:spacing w:after="0"/>
              <w:rPr>
                <w:rFonts w:hint="default" w:eastAsia="微软雅黑"/>
                <w:color w:val="E46C0A" w:themeColor="accent6" w:themeShade="BF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待确认</w:t>
            </w:r>
            <w:r>
              <w:rPr>
                <w:rFonts w:hint="eastAsia" w:cs="微软雅黑"/>
                <w:b w:val="0"/>
                <w:bCs w:val="0"/>
                <w:color w:val="E46C0A" w:themeColor="accent6" w:themeShade="BF"/>
                <w:sz w:val="18"/>
                <w:szCs w:val="18"/>
                <w:lang w:val="en-US" w:eastAsia="zh-CN"/>
              </w:rPr>
              <w:t>---使用图片替换</w:t>
            </w:r>
          </w:p>
        </w:tc>
      </w:tr>
      <w:tr w14:paraId="23D7980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636591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NPC 越界</w:t>
            </w:r>
          </w:p>
        </w:tc>
        <w:tc>
          <w:tcPr>
            <w:tcW w:w="5700" w:type="dxa"/>
          </w:tcPr>
          <w:p w14:paraId="370F2CC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默认从另一侧重生以维持鱼群数量</w:t>
            </w:r>
          </w:p>
        </w:tc>
        <w:tc>
          <w:tcPr>
            <w:tcW w:w="2200" w:type="dxa"/>
          </w:tcPr>
          <w:p w14:paraId="139E3FEF">
            <w:pPr>
              <w:spacing w:after="0"/>
              <w:rPr>
                <w:rFonts w:hint="default" w:eastAsia="微软雅黑"/>
                <w:color w:val="E46C0A" w:themeColor="accent6" w:themeShade="BF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待确认</w:t>
            </w:r>
          </w:p>
        </w:tc>
      </w:tr>
      <w:tr w14:paraId="616B32C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</w:tcPr>
          <w:p w14:paraId="46C95BE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随机性</w:t>
            </w:r>
          </w:p>
        </w:tc>
        <w:tc>
          <w:tcPr>
            <w:tcW w:w="5700" w:type="dxa"/>
            <w:shd w:val="clear" w:color="auto" w:fill="F2F2F2"/>
          </w:tcPr>
          <w:p w14:paraId="55A85CF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支持固定种子复现调试场景</w:t>
            </w:r>
          </w:p>
        </w:tc>
        <w:tc>
          <w:tcPr>
            <w:tcW w:w="2200" w:type="dxa"/>
            <w:shd w:val="clear" w:color="auto" w:fill="F2F2F2"/>
          </w:tcPr>
          <w:p w14:paraId="618EE5AF">
            <w:pPr>
              <w:spacing w:after="0"/>
              <w:rPr>
                <w:rFonts w:hint="default" w:eastAsia="微软雅黑"/>
                <w:color w:val="E46C0A" w:themeColor="accent6" w:themeShade="BF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已确定为非功能要求</w:t>
            </w:r>
            <w:r>
              <w:rPr>
                <w:rFonts w:hint="eastAsia" w:cs="微软雅黑"/>
                <w:b w:val="0"/>
                <w:bCs w:val="0"/>
                <w:color w:val="E46C0A" w:themeColor="accent6" w:themeShade="BF"/>
                <w:sz w:val="18"/>
                <w:szCs w:val="18"/>
                <w:lang w:val="en-US" w:eastAsia="zh-CN"/>
              </w:rPr>
              <w:t>---待定</w:t>
            </w:r>
          </w:p>
        </w:tc>
      </w:tr>
      <w:tr w14:paraId="2BA443A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0B94B4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生命归零</w:t>
            </w:r>
          </w:p>
        </w:tc>
        <w:tc>
          <w:tcPr>
            <w:tcW w:w="5700" w:type="dxa"/>
          </w:tcPr>
          <w:p w14:paraId="30BA35C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进入游戏结束状态，停止正常玩法更新</w:t>
            </w:r>
          </w:p>
        </w:tc>
        <w:tc>
          <w:tcPr>
            <w:tcW w:w="2200" w:type="dxa"/>
          </w:tcPr>
          <w:p w14:paraId="5DA5AFDB">
            <w:pPr>
              <w:spacing w:after="0"/>
              <w:rPr>
                <w:color w:val="E46C0A" w:themeColor="accent6" w:themeShade="BF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已确定</w:t>
            </w:r>
          </w:p>
        </w:tc>
      </w:tr>
      <w:tr w14:paraId="078BE7E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</w:tcPr>
          <w:p w14:paraId="2B02C81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存档</w:t>
            </w:r>
          </w:p>
        </w:tc>
        <w:tc>
          <w:tcPr>
            <w:tcW w:w="5700" w:type="dxa"/>
            <w:shd w:val="clear" w:color="auto" w:fill="F2F2F2"/>
          </w:tcPr>
          <w:p w14:paraId="49AC0EE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第一阶段只要求最高分；完整进度是否保存待确认</w:t>
            </w:r>
          </w:p>
        </w:tc>
        <w:tc>
          <w:tcPr>
            <w:tcW w:w="2200" w:type="dxa"/>
            <w:shd w:val="clear" w:color="auto" w:fill="F2F2F2"/>
          </w:tcPr>
          <w:p w14:paraId="08CF1F1B">
            <w:pPr>
              <w:spacing w:after="0"/>
              <w:rPr>
                <w:color w:val="E46C0A" w:themeColor="accent6" w:themeShade="BF"/>
              </w:rPr>
            </w:pPr>
            <w:r>
              <w:rPr>
                <w:rFonts w:hint="eastAsia" w:cs="微软雅黑"/>
                <w:b w:val="0"/>
                <w:bCs w:val="0"/>
                <w:color w:val="E46C0A" w:themeColor="accent6" w:themeShade="BF"/>
                <w:sz w:val="18"/>
                <w:szCs w:val="18"/>
                <w:lang w:val="en-US" w:eastAsia="zh-CN"/>
              </w:rPr>
              <w:t>待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E46C0A" w:themeColor="accent6" w:themeShade="BF"/>
                <w:sz w:val="18"/>
                <w:szCs w:val="18"/>
              </w:rPr>
              <w:t>定</w:t>
            </w:r>
          </w:p>
        </w:tc>
      </w:tr>
    </w:tbl>
    <w:p w14:paraId="30EC36BA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6. 设计约束与对象职责</w:t>
      </w:r>
    </w:p>
    <w:tbl>
      <w:tblPr>
        <w:tblStyle w:val="11"/>
        <w:tblW w:w="10300" w:type="dxa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000"/>
        <w:gridCol w:w="3100"/>
      </w:tblGrid>
      <w:tr w14:paraId="58DA1C5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1F4E79"/>
          </w:tcPr>
          <w:p w14:paraId="31CB655D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对象/模块</w:t>
            </w:r>
          </w:p>
        </w:tc>
        <w:tc>
          <w:tcPr>
            <w:tcW w:w="5000" w:type="dxa"/>
            <w:shd w:val="clear" w:color="auto" w:fill="1F4E79"/>
          </w:tcPr>
          <w:p w14:paraId="047705AE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3100" w:type="dxa"/>
            <w:shd w:val="clear" w:color="auto" w:fill="1F4E79"/>
          </w:tcPr>
          <w:p w14:paraId="789F54F1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不负责的内容</w:t>
            </w:r>
          </w:p>
        </w:tc>
      </w:tr>
      <w:tr w14:paraId="4D3EA863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1BC9419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Game</w:t>
            </w:r>
          </w:p>
        </w:tc>
        <w:tc>
          <w:tcPr>
            <w:tcW w:w="5000" w:type="dxa"/>
          </w:tcPr>
          <w:p w14:paraId="53F5EC7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驱动主循环、状态切换、协调输入/更新/绘制</w:t>
            </w:r>
          </w:p>
        </w:tc>
        <w:tc>
          <w:tcPr>
            <w:tcW w:w="3100" w:type="dxa"/>
          </w:tcPr>
          <w:p w14:paraId="6D359FE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不直接实现每条鱼的行为和所有规则</w:t>
            </w:r>
          </w:p>
        </w:tc>
      </w:tr>
      <w:tr w14:paraId="061E92A3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1348862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Fish</w:t>
            </w:r>
          </w:p>
        </w:tc>
        <w:tc>
          <w:tcPr>
            <w:tcW w:w="5000" w:type="dxa"/>
            <w:shd w:val="clear" w:color="auto" w:fill="F2F2F2"/>
          </w:tcPr>
          <w:p w14:paraId="75AF61D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保存鱼类公共状态，提供统一的更新/绘制基础接口</w:t>
            </w:r>
          </w:p>
        </w:tc>
        <w:tc>
          <w:tcPr>
            <w:tcW w:w="3100" w:type="dxa"/>
            <w:shd w:val="clear" w:color="auto" w:fill="F2F2F2"/>
          </w:tcPr>
          <w:p w14:paraId="436E6D7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不管理整个鱼群</w:t>
            </w:r>
          </w:p>
        </w:tc>
      </w:tr>
      <w:tr w14:paraId="4192DCA1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6DFC4D0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PlayerFish</w:t>
            </w:r>
          </w:p>
        </w:tc>
        <w:tc>
          <w:tcPr>
            <w:tcW w:w="5000" w:type="dxa"/>
          </w:tcPr>
          <w:p w14:paraId="670DA9A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玩家控制、生命、分数、成长状态</w:t>
            </w:r>
          </w:p>
        </w:tc>
        <w:tc>
          <w:tcPr>
            <w:tcW w:w="3100" w:type="dxa"/>
          </w:tcPr>
          <w:p w14:paraId="062DC6F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不创建窗口，不管理 NPC</w:t>
            </w:r>
          </w:p>
        </w:tc>
      </w:tr>
      <w:tr w14:paraId="24706FC1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785CF63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EnemyFish/具体鱼类</w:t>
            </w:r>
          </w:p>
        </w:tc>
        <w:tc>
          <w:tcPr>
            <w:tcW w:w="5000" w:type="dxa"/>
            <w:shd w:val="clear" w:color="auto" w:fill="F2F2F2"/>
          </w:tcPr>
          <w:p w14:paraId="4A2A495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NPC 行为和自身绘制差异</w:t>
            </w:r>
          </w:p>
        </w:tc>
        <w:tc>
          <w:tcPr>
            <w:tcW w:w="3100" w:type="dxa"/>
            <w:shd w:val="clear" w:color="auto" w:fill="F2F2F2"/>
          </w:tcPr>
          <w:p w14:paraId="0EAFA7C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不修改 Game 的全局流程</w:t>
            </w:r>
          </w:p>
        </w:tc>
      </w:tr>
      <w:tr w14:paraId="2F540753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52BF5E7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Scene/FishSchool</w:t>
            </w:r>
          </w:p>
        </w:tc>
        <w:tc>
          <w:tcPr>
            <w:tcW w:w="5000" w:type="dxa"/>
          </w:tcPr>
          <w:p w14:paraId="11EBF30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创建、保存、更新、清理 NPC 容器</w:t>
            </w:r>
          </w:p>
        </w:tc>
        <w:tc>
          <w:tcPr>
            <w:tcW w:w="3100" w:type="dxa"/>
          </w:tcPr>
          <w:p w14:paraId="1EFA870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不决定玩家 UI 规则</w:t>
            </w:r>
          </w:p>
        </w:tc>
      </w:tr>
      <w:tr w14:paraId="32CFAC5F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155C1B9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CollisionSystem</w:t>
            </w:r>
          </w:p>
        </w:tc>
        <w:tc>
          <w:tcPr>
            <w:tcW w:w="5000" w:type="dxa"/>
            <w:shd w:val="clear" w:color="auto" w:fill="F2F2F2"/>
          </w:tcPr>
          <w:p w14:paraId="5141446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根据规则计算碰撞事实</w:t>
            </w:r>
          </w:p>
        </w:tc>
        <w:tc>
          <w:tcPr>
            <w:tcW w:w="3100" w:type="dxa"/>
            <w:shd w:val="clear" w:color="auto" w:fill="F2F2F2"/>
          </w:tcPr>
          <w:p w14:paraId="0FB75A7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不拥有鱼对象，不直接承担界面绘制</w:t>
            </w:r>
          </w:p>
        </w:tc>
      </w:tr>
      <w:tr w14:paraId="3937FC58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3EF3333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GameDataStore</w:t>
            </w:r>
          </w:p>
        </w:tc>
        <w:tc>
          <w:tcPr>
            <w:tcW w:w="5000" w:type="dxa"/>
          </w:tcPr>
          <w:p w14:paraId="5D41B8A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保存/读取最高分或已确认的存档字段</w:t>
            </w:r>
          </w:p>
        </w:tc>
        <w:tc>
          <w:tcPr>
            <w:tcW w:w="3100" w:type="dxa"/>
          </w:tcPr>
          <w:p w14:paraId="3D39491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不参与实时碰撞和移动</w:t>
            </w:r>
          </w:p>
        </w:tc>
      </w:tr>
      <w:tr w14:paraId="67FF7604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36A7400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InputManager（必要时）</w:t>
            </w:r>
          </w:p>
        </w:tc>
        <w:tc>
          <w:tcPr>
            <w:tcW w:w="5000" w:type="dxa"/>
            <w:shd w:val="clear" w:color="auto" w:fill="F2F2F2"/>
          </w:tcPr>
          <w:p w14:paraId="1552E9A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统一处理菜单、暂停和游戏内输入</w:t>
            </w:r>
          </w:p>
        </w:tc>
        <w:tc>
          <w:tcPr>
            <w:tcW w:w="3100" w:type="dxa"/>
            <w:shd w:val="clear" w:color="auto" w:fill="F2F2F2"/>
          </w:tcPr>
          <w:p w14:paraId="26310EE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不直接修改游戏数据</w:t>
            </w:r>
          </w:p>
        </w:tc>
      </w:tr>
    </w:tbl>
    <w:p w14:paraId="4FA68982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7. 非功能需求</w:t>
      </w:r>
    </w:p>
    <w:tbl>
      <w:tblPr>
        <w:tblStyle w:val="11"/>
        <w:tblW w:w="10300" w:type="dxa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700"/>
        <w:gridCol w:w="4000"/>
      </w:tblGrid>
      <w:tr w14:paraId="528C028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1F4E79"/>
          </w:tcPr>
          <w:p w14:paraId="6E7D3B32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700" w:type="dxa"/>
            <w:shd w:val="clear" w:color="auto" w:fill="1F4E79"/>
          </w:tcPr>
          <w:p w14:paraId="6D6E5DFE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要求</w:t>
            </w:r>
          </w:p>
        </w:tc>
        <w:tc>
          <w:tcPr>
            <w:tcW w:w="4000" w:type="dxa"/>
            <w:shd w:val="clear" w:color="auto" w:fill="1F4E79"/>
          </w:tcPr>
          <w:p w14:paraId="3B3E91B2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验收方式</w:t>
            </w:r>
          </w:p>
        </w:tc>
      </w:tr>
      <w:tr w14:paraId="38F31BE5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73C3BC7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4700" w:type="dxa"/>
          </w:tcPr>
          <w:p w14:paraId="6A7F81D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可读性</w:t>
            </w:r>
          </w:p>
        </w:tc>
        <w:tc>
          <w:tcPr>
            <w:tcW w:w="4000" w:type="dxa"/>
          </w:tcPr>
          <w:p w14:paraId="16F94FC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命名清楚；函数单一目的；声明与实现分离</w:t>
            </w:r>
          </w:p>
        </w:tc>
      </w:tr>
      <w:tr w14:paraId="57908C44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</w:tcPr>
          <w:p w14:paraId="3B45CEB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4700" w:type="dxa"/>
            <w:shd w:val="clear" w:color="auto" w:fill="F2F2F2"/>
          </w:tcPr>
          <w:p w14:paraId="7C5353D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可解释性</w:t>
            </w:r>
          </w:p>
        </w:tc>
        <w:tc>
          <w:tcPr>
            <w:tcW w:w="4000" w:type="dxa"/>
            <w:shd w:val="clear" w:color="auto" w:fill="F2F2F2"/>
          </w:tcPr>
          <w:p w14:paraId="2C73958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主要类、继承和拥有关系都能对应实际需求</w:t>
            </w:r>
          </w:p>
        </w:tc>
      </w:tr>
      <w:tr w14:paraId="672AD6D8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522584D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4700" w:type="dxa"/>
          </w:tcPr>
          <w:p w14:paraId="6F11B45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可复现性</w:t>
            </w:r>
          </w:p>
        </w:tc>
        <w:tc>
          <w:tcPr>
            <w:tcW w:w="4000" w:type="dxa"/>
          </w:tcPr>
          <w:p w14:paraId="6050CA5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可使用固定随机种子并记录种子</w:t>
            </w:r>
          </w:p>
        </w:tc>
      </w:tr>
      <w:tr w14:paraId="6108DFEF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</w:tcPr>
          <w:p w14:paraId="108C391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NFR-04</w:t>
            </w:r>
          </w:p>
        </w:tc>
        <w:tc>
          <w:tcPr>
            <w:tcW w:w="4700" w:type="dxa"/>
            <w:shd w:val="clear" w:color="auto" w:fill="F2F2F2"/>
          </w:tcPr>
          <w:p w14:paraId="6C6453B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运行体验</w:t>
            </w:r>
          </w:p>
        </w:tc>
        <w:tc>
          <w:tcPr>
            <w:tcW w:w="4000" w:type="dxa"/>
            <w:shd w:val="clear" w:color="auto" w:fill="F2F2F2"/>
          </w:tcPr>
          <w:p w14:paraId="3BE216C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操作响应连续，无明显闪烁；不虚构硬性帧率指标</w:t>
            </w:r>
          </w:p>
        </w:tc>
      </w:tr>
      <w:tr w14:paraId="68A90E51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664F3A4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NFR-05</w:t>
            </w:r>
          </w:p>
        </w:tc>
        <w:tc>
          <w:tcPr>
            <w:tcW w:w="4700" w:type="dxa"/>
          </w:tcPr>
          <w:p w14:paraId="57A96DB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明确失败</w:t>
            </w:r>
          </w:p>
        </w:tc>
        <w:tc>
          <w:tcPr>
            <w:tcW w:w="4000" w:type="dxa"/>
          </w:tcPr>
          <w:p w14:paraId="2E0BEFF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资源或存档出错时显示路径、原因和处理结果</w:t>
            </w:r>
          </w:p>
        </w:tc>
      </w:tr>
      <w:tr w14:paraId="3FCD894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</w:tcPr>
          <w:p w14:paraId="4508712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NFR-06</w:t>
            </w:r>
          </w:p>
        </w:tc>
        <w:tc>
          <w:tcPr>
            <w:tcW w:w="4700" w:type="dxa"/>
            <w:shd w:val="clear" w:color="auto" w:fill="F2F2F2"/>
          </w:tcPr>
          <w:p w14:paraId="36290FA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规则集中</w:t>
            </w:r>
          </w:p>
        </w:tc>
        <w:tc>
          <w:tcPr>
            <w:tcW w:w="4000" w:type="dxa"/>
            <w:shd w:val="clear" w:color="auto" w:fill="F2F2F2"/>
          </w:tcPr>
          <w:p w14:paraId="69E2992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速度、生命、阈值等规则集中定义，避免魔法数字</w:t>
            </w:r>
          </w:p>
        </w:tc>
      </w:tr>
      <w:tr w14:paraId="7C3770B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2E37BBB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NFR-07</w:t>
            </w:r>
          </w:p>
        </w:tc>
        <w:tc>
          <w:tcPr>
            <w:tcW w:w="4700" w:type="dxa"/>
          </w:tcPr>
          <w:p w14:paraId="48DA9E5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迭代可追踪</w:t>
            </w:r>
          </w:p>
        </w:tc>
        <w:tc>
          <w:tcPr>
            <w:tcW w:w="4000" w:type="dxa"/>
          </w:tcPr>
          <w:p w14:paraId="6DE1784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每阶段有版本、测试结果和遗留问题</w:t>
            </w:r>
          </w:p>
        </w:tc>
      </w:tr>
      <w:tr w14:paraId="001C994F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6155661B">
            <w:pPr>
              <w:spacing w:after="0"/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4700" w:type="dxa"/>
          </w:tcPr>
          <w:p w14:paraId="100CA601">
            <w:pPr>
              <w:spacing w:after="0"/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4000" w:type="dxa"/>
          </w:tcPr>
          <w:p w14:paraId="782F425E">
            <w:pPr>
              <w:spacing w:after="0"/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</w:pPr>
          </w:p>
        </w:tc>
      </w:tr>
      <w:tr w14:paraId="565A0A84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</w:tcPr>
          <w:p w14:paraId="3ED43E24">
            <w:pPr>
              <w:spacing w:after="0"/>
            </w:pPr>
          </w:p>
        </w:tc>
        <w:tc>
          <w:tcPr>
            <w:tcW w:w="4700" w:type="dxa"/>
            <w:shd w:val="clear" w:color="auto" w:fill="F2F2F2"/>
          </w:tcPr>
          <w:p w14:paraId="47C8918E">
            <w:pPr>
              <w:spacing w:after="0"/>
            </w:pPr>
          </w:p>
        </w:tc>
        <w:tc>
          <w:tcPr>
            <w:tcW w:w="4000" w:type="dxa"/>
            <w:shd w:val="clear" w:color="auto" w:fill="F2F2F2"/>
          </w:tcPr>
          <w:p w14:paraId="77AD9911">
            <w:pPr>
              <w:spacing w:after="0"/>
            </w:pPr>
          </w:p>
        </w:tc>
      </w:tr>
    </w:tbl>
    <w:p w14:paraId="61986B11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8. 数据与持久化需求</w:t>
      </w:r>
    </w:p>
    <w:p w14:paraId="5EDB3C4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最高分至少包含数值和文件格式版本号。</w:t>
      </w:r>
    </w:p>
    <w:p w14:paraId="48DB8DD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文件不存在、无法打开、格式损坏必须区分处理；不得使用空 catch 或静默默认值掩盖错误。</w:t>
      </w:r>
    </w:p>
    <w:p w14:paraId="23FADC0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1"/>
          <w:szCs w:val="21"/>
        </w:rPr>
        <w:t>完整进度存档若纳入范围，应明确保存玩家位置、体型、生命、分数、NPC 状态和随机种子，并定义版本兼容策略。</w:t>
      </w:r>
    </w:p>
    <w:p w14:paraId="6023103F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9. 测试与验收</w:t>
      </w:r>
    </w:p>
    <w:p w14:paraId="294FC936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每项核心功能至少执行正常、边界、异常三类检查；人工图形操作使用步骤和截图记录。</w:t>
      </w:r>
    </w:p>
    <w:tbl>
      <w:tblPr>
        <w:tblStyle w:val="11"/>
        <w:tblW w:w="10300" w:type="dxa"/>
        <w:tblInd w:w="0" w:type="dxa"/>
        <w:tblBorders>
          <w:top w:val="single" w:color="B7C9D6" w:sz="4" w:space="0"/>
          <w:left w:val="single" w:color="B7C9D6" w:sz="4" w:space="0"/>
          <w:bottom w:val="single" w:color="B7C9D6" w:sz="4" w:space="0"/>
          <w:right w:val="single" w:color="B7C9D6" w:sz="4" w:space="0"/>
          <w:insideH w:val="single" w:color="B7C9D6" w:sz="4" w:space="0"/>
          <w:insideV w:val="single" w:color="B7C9D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700"/>
        <w:gridCol w:w="3400"/>
      </w:tblGrid>
      <w:tr w14:paraId="6C1B1E0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1F4E79"/>
          </w:tcPr>
          <w:p w14:paraId="1D82FDCE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测试类别</w:t>
            </w:r>
          </w:p>
        </w:tc>
        <w:tc>
          <w:tcPr>
            <w:tcW w:w="4700" w:type="dxa"/>
            <w:shd w:val="clear" w:color="auto" w:fill="1F4E79"/>
          </w:tcPr>
          <w:p w14:paraId="1C6DE32D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示例</w:t>
            </w:r>
          </w:p>
        </w:tc>
        <w:tc>
          <w:tcPr>
            <w:tcW w:w="3400" w:type="dxa"/>
            <w:shd w:val="clear" w:color="auto" w:fill="1F4E79"/>
          </w:tcPr>
          <w:p w14:paraId="7D61E462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记录内容</w:t>
            </w:r>
          </w:p>
        </w:tc>
      </w:tr>
      <w:tr w14:paraId="6E8A024C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50EEF9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正常流程</w:t>
            </w:r>
          </w:p>
        </w:tc>
        <w:tc>
          <w:tcPr>
            <w:tcW w:w="4700" w:type="dxa"/>
          </w:tcPr>
          <w:p w14:paraId="07AE322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移动、吞食、成长、暂停、结束、重开</w:t>
            </w:r>
          </w:p>
        </w:tc>
        <w:tc>
          <w:tcPr>
            <w:tcW w:w="3400" w:type="dxa"/>
          </w:tcPr>
          <w:p w14:paraId="431379C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步骤、预期结果、实际结果</w:t>
            </w:r>
          </w:p>
        </w:tc>
      </w:tr>
      <w:tr w14:paraId="1F5CFE6B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3ADAA4E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边界条件</w:t>
            </w:r>
          </w:p>
        </w:tc>
        <w:tc>
          <w:tcPr>
            <w:tcW w:w="4700" w:type="dxa"/>
            <w:shd w:val="clear" w:color="auto" w:fill="F2F2F2"/>
          </w:tcPr>
          <w:p w14:paraId="13AFB8A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四周边界、体型刚好相等、生命值从 1 到 0</w:t>
            </w:r>
          </w:p>
        </w:tc>
        <w:tc>
          <w:tcPr>
            <w:tcW w:w="3400" w:type="dxa"/>
            <w:shd w:val="clear" w:color="auto" w:fill="F2F2F2"/>
          </w:tcPr>
          <w:p w14:paraId="27D01EC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输入数据、规则、是否通过</w:t>
            </w:r>
          </w:p>
        </w:tc>
      </w:tr>
      <w:tr w14:paraId="231A7710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7999C2B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异常输入</w:t>
            </w:r>
          </w:p>
        </w:tc>
        <w:tc>
          <w:tcPr>
            <w:tcW w:w="4700" w:type="dxa"/>
          </w:tcPr>
          <w:p w14:paraId="0CF4471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缺失资源、损坏最高分文件</w:t>
            </w:r>
          </w:p>
        </w:tc>
        <w:tc>
          <w:tcPr>
            <w:tcW w:w="3400" w:type="dxa"/>
          </w:tcPr>
          <w:p w14:paraId="788C5E6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错误信息、程序后续行为</w:t>
            </w:r>
          </w:p>
        </w:tc>
      </w:tr>
      <w:tr w14:paraId="7E36D946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72C4505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时间相关</w:t>
            </w:r>
          </w:p>
        </w:tc>
        <w:tc>
          <w:tcPr>
            <w:tcW w:w="4700" w:type="dxa"/>
            <w:shd w:val="clear" w:color="auto" w:fill="F2F2F2"/>
          </w:tcPr>
          <w:p w14:paraId="14E9247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窗口阻塞后继续、不同帧率、重复碰撞</w:t>
            </w:r>
          </w:p>
        </w:tc>
        <w:tc>
          <w:tcPr>
            <w:tcW w:w="3400" w:type="dxa"/>
            <w:shd w:val="clear" w:color="auto" w:fill="F2F2F2"/>
          </w:tcPr>
          <w:p w14:paraId="784BFE6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是否瞬移、是否重复扣血、复现种子</w:t>
            </w:r>
          </w:p>
        </w:tc>
      </w:tr>
      <w:tr w14:paraId="7D28510C">
        <w:tblPrEx>
          <w:tblBorders>
            <w:top w:val="single" w:color="B7C9D6" w:sz="4" w:space="0"/>
            <w:left w:val="single" w:color="B7C9D6" w:sz="4" w:space="0"/>
            <w:bottom w:val="single" w:color="B7C9D6" w:sz="4" w:space="0"/>
            <w:right w:val="single" w:color="B7C9D6" w:sz="4" w:space="0"/>
            <w:insideH w:val="single" w:color="B7C9D6" w:sz="4" w:space="0"/>
            <w:insideV w:val="single" w:color="B7C9D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93D8C5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生命周期</w:t>
            </w:r>
          </w:p>
        </w:tc>
        <w:tc>
          <w:tcPr>
            <w:tcW w:w="4700" w:type="dxa"/>
          </w:tcPr>
          <w:p w14:paraId="5623375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反复重开、批量生成/删除鱼</w:t>
            </w:r>
          </w:p>
        </w:tc>
        <w:tc>
          <w:tcPr>
            <w:tcW w:w="3400" w:type="dxa"/>
          </w:tcPr>
          <w:p w14:paraId="4986044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对象数量、旧状态残留、崩溃情况</w:t>
            </w:r>
          </w:p>
        </w:tc>
      </w:tr>
    </w:tbl>
    <w:p w14:paraId="58B0D53B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10. 需求变更与未决事项</w:t>
      </w:r>
    </w:p>
    <w:p w14:paraId="4B0F33B6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需求变更必须记录变更日期、提出原因、影响阶段、影响类/模块和验收变化。以下事项在确认前不得由代码中的单个数字或临时实现隐式决定：教师正式实验知识点顺序；体型比较和同体型结果；受伤反馈；存档范围；资源接入时点；活动水域尺寸。</w:t>
      </w:r>
    </w:p>
    <w:p w14:paraId="745DAACB">
      <w:pPr>
        <w:pStyle w:val="2"/>
        <w:spacing w:before="200" w:after="100"/>
      </w:pPr>
      <w:r>
        <w:rPr>
          <w:rFonts w:ascii="微软雅黑" w:hAnsi="微软雅黑" w:eastAsia="微软雅黑" w:cs="微软雅黑"/>
        </w:rPr>
        <w:t>11. 完成定义</w:t>
      </w:r>
    </w:p>
    <w:p w14:paraId="11038FB5">
      <w:pPr>
        <w:spacing w:after="100" w:line="276" w:lineRule="auto"/>
      </w:pPr>
      <w:r>
        <w:rPr>
          <w:rFonts w:ascii="微软雅黑" w:hAnsi="微软雅黑" w:eastAsia="微软雅黑" w:cs="微软雅黑"/>
          <w:sz w:val="21"/>
          <w:szCs w:val="21"/>
        </w:rPr>
        <w:t>项目只有在以下条件同时满足时才视为完成：最终程序能完整运行；核心需求 FR-01 至 FR-16 已有验收证据；主要类和对象关系可以在答辩中解释；正常、边界、异常测试有记录；资源和存档错误可诊断；设计报告 1、设计报告 2 和答辩材料齐全；遗留限制已如实列出。</w:t>
      </w:r>
      <w:bookmarkStart w:id="0" w:name="_GoBack"/>
      <w:bookmarkEnd w:id="0"/>
    </w:p>
    <w:sectPr>
      <w:pgSz w:w="11906" w:h="16838"/>
      <w:pgMar w:top="1100" w:right="1200" w:bottom="11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2201D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276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276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805</Words>
  <Characters>942</Characters>
  <TotalTime>14</TotalTime>
  <ScaleCrop>false</ScaleCrop>
  <LinksUpToDate>false</LinksUpToDate>
  <CharactersWithSpaces>971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2026-09-16T00:51:00Z</dcterms:created>
  <dc:creator>Un-named</dc:creator>
  <cp:lastModifiedBy>。。。。</cp:lastModifiedBy>
  <dcterms:modified xsi:type="dcterms:W3CDTF">2026-09-16T01:36:01Z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eyJoZGlkIjoiMjdiMTdhN2I2MThhZWI3NzQxMWFhMDRkMzVjMDlkNGQiLCJ1c2VySWQiOiIxNjczMjcwNTU1In0=</vt:lpwstr>
  </property>
  <property fmtid="{D5CDD505-2E9C-101B-9397-08002B2CF9AE}" pid="3" name="KSOProductBuildVer">
    <vt:lpwstr>2052-12.1.0.28505</vt:lpwstr>
  </property>
  <property fmtid="{D5CDD505-2E9C-101B-9397-08002B2CF9AE}" pid="4" name="ICV">
    <vt:lpwstr>303DAFAF6C4A4D5ABE3037A1F4B2FF63_12</vt:lpwstr>
  </property>
</Properties>
</file>