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p6a43585v2i" w:id="0"/>
      <w:bookmarkEnd w:id="0"/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Клиент (обычный пользователь):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регистрация / вход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профиль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событий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подбор заведения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заведение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присоединиться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задать рейтинг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событий (фильтры)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присоединиться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задать рейтинг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Бизнес-клиент (владелец заведения):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профиль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заведение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событий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bookmarkStart w:colFirst="0" w:colLast="0" w:name="_el2cgx95a4ay" w:id="1"/>
      <w:bookmarkEnd w:id="1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Gitlab CI, Docker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Java (Spring), Maven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Apache Mahout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DB (Redis,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React.js + Redux.js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Scss or Styled-components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Выбор данных технологий обоснован простотой и надежностью.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bookmarkStart w:colFirst="0" w:colLast="0" w:name="_e9n5mwfot5ao" w:id="2"/>
      <w:bookmarkEnd w:id="2"/>
      <w:r w:rsidDel="00000000" w:rsidR="00000000" w:rsidRPr="00000000">
        <w:rPr>
          <w:rtl w:val="0"/>
        </w:rPr>
        <w:t xml:space="preserve">Трудоемкость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analysis - 30 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- 20 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- 100 h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- 40 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- 60 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Stabilization (including testing) - 6 h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