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857" w:rsidRPr="00DF5857" w:rsidRDefault="00403B7D" w:rsidP="00DF5857">
      <w:pPr>
        <w:jc w:val="center"/>
        <w:rPr>
          <w:i/>
          <w:color w:val="FF0000"/>
        </w:rPr>
      </w:pPr>
      <w:r>
        <w:t>Employee Benefits</w:t>
      </w:r>
      <w:r w:rsidR="00DF5857">
        <w:br/>
      </w:r>
      <w:r w:rsidR="00DF5857" w:rsidRPr="00DF5857">
        <w:rPr>
          <w:i/>
          <w:color w:val="632423" w:themeColor="accent2" w:themeShade="80"/>
        </w:rPr>
        <w:t>Notes from talking with Tyler</w:t>
      </w:r>
      <w:r w:rsidR="00DF5857">
        <w:rPr>
          <w:i/>
          <w:color w:val="FF0000"/>
        </w:rPr>
        <w:br/>
      </w:r>
      <w:r w:rsidR="00DF5857" w:rsidRPr="00DF5857">
        <w:rPr>
          <w:i/>
          <w:color w:val="984806" w:themeColor="accent6" w:themeShade="80"/>
        </w:rPr>
        <w:t>Notes from HR packet</w:t>
      </w:r>
      <w:r w:rsidR="00DF5857">
        <w:rPr>
          <w:i/>
          <w:color w:val="FF0000"/>
        </w:rPr>
        <w:br/>
      </w:r>
      <w:r w:rsidR="00DF5857" w:rsidRPr="00DF5857">
        <w:rPr>
          <w:i/>
          <w:color w:val="4F6228" w:themeColor="accent3" w:themeShade="80"/>
        </w:rPr>
        <w:t>Notes from HR webpage</w:t>
      </w:r>
    </w:p>
    <w:p w:rsidR="00403B7D" w:rsidRPr="001952DB" w:rsidRDefault="00DF5857" w:rsidP="00FB4C95">
      <w:pPr>
        <w:pStyle w:val="ListParagraph"/>
        <w:numPr>
          <w:ilvl w:val="0"/>
          <w:numId w:val="1"/>
        </w:numPr>
        <w:rPr>
          <w:rStyle w:val="Hyperlink"/>
          <w:u w:val="none"/>
        </w:rPr>
      </w:pPr>
      <w:r w:rsidRPr="00DF5857">
        <w:rPr>
          <w:color w:val="632423" w:themeColor="accent2" w:themeShade="80"/>
        </w:rPr>
        <w:t>GIC (</w:t>
      </w:r>
      <w:r w:rsidR="00403B7D" w:rsidRPr="00DF5857">
        <w:rPr>
          <w:color w:val="632423" w:themeColor="accent2" w:themeShade="80"/>
        </w:rPr>
        <w:t>Commonwealth of Massachusetts Group Insurance Commission</w:t>
      </w:r>
      <w:r w:rsidRPr="00DF5857">
        <w:rPr>
          <w:color w:val="632423" w:themeColor="accent2" w:themeShade="80"/>
        </w:rPr>
        <w:t>)</w:t>
      </w:r>
      <w:r w:rsidR="00207F0A">
        <w:rPr>
          <w:color w:val="632423" w:themeColor="accent2" w:themeShade="80"/>
        </w:rPr>
        <w:t xml:space="preserve"> </w:t>
      </w:r>
      <w:r w:rsidR="001952DB">
        <w:rPr>
          <w:color w:val="632423" w:themeColor="accent2" w:themeShade="80"/>
        </w:rPr>
        <w:br/>
      </w:r>
      <w:hyperlink r:id="rId8" w:history="1">
        <w:r w:rsidR="00207F0A" w:rsidRPr="00207F0A">
          <w:rPr>
            <w:rStyle w:val="Hyperlink"/>
          </w:rPr>
          <w:t>(</w:t>
        </w:r>
        <w:r w:rsidR="001952DB">
          <w:rPr>
            <w:rStyle w:val="Hyperlink"/>
          </w:rPr>
          <w:t>Decision</w:t>
        </w:r>
        <w:r w:rsidR="00207F0A" w:rsidRPr="00207F0A">
          <w:rPr>
            <w:rStyle w:val="Hyperlink"/>
          </w:rPr>
          <w:t xml:space="preserve"> Guide)</w:t>
        </w:r>
      </w:hyperlink>
      <w:r w:rsidR="001952DB">
        <w:rPr>
          <w:rStyle w:val="Hyperlink"/>
          <w:u w:val="none"/>
        </w:rPr>
        <w:t xml:space="preserve">     </w:t>
      </w:r>
      <w:r w:rsidR="001952DB" w:rsidRPr="001952DB">
        <w:rPr>
          <w:rStyle w:val="Hyperlink"/>
          <w:u w:val="none"/>
        </w:rPr>
        <w:t xml:space="preserve"> </w:t>
      </w:r>
      <w:hyperlink r:id="rId9" w:history="1">
        <w:r w:rsidR="001952DB" w:rsidRPr="001952DB">
          <w:rPr>
            <w:rStyle w:val="Hyperlink"/>
          </w:rPr>
          <w:t>(Enrollment)</w:t>
        </w:r>
      </w:hyperlink>
      <w:r w:rsidR="00C6375A" w:rsidRPr="00C6375A">
        <w:rPr>
          <w:rStyle w:val="Hyperlink"/>
          <w:u w:val="none"/>
        </w:rPr>
        <w:t xml:space="preserve"> </w:t>
      </w:r>
      <w:r w:rsidR="001952DB" w:rsidRPr="00C6375A">
        <w:rPr>
          <w:rStyle w:val="Hyperlink"/>
          <w:u w:val="none"/>
        </w:rPr>
        <w:t xml:space="preserve">  </w:t>
      </w:r>
      <w:r w:rsidR="001952DB" w:rsidRPr="001952DB">
        <w:rPr>
          <w:rStyle w:val="Hyperlink"/>
          <w:u w:val="none"/>
        </w:rPr>
        <w:t xml:space="preserve">   </w:t>
      </w:r>
      <w:hyperlink r:id="rId10" w:history="1">
        <w:r w:rsidR="001952DB" w:rsidRPr="001952DB">
          <w:rPr>
            <w:rStyle w:val="Hyperlink"/>
          </w:rPr>
          <w:t>(Dependents)</w:t>
        </w:r>
      </w:hyperlink>
      <w:r w:rsidR="001952DB" w:rsidRPr="001952DB">
        <w:rPr>
          <w:rStyle w:val="Hyperlink"/>
          <w:u w:val="none"/>
        </w:rPr>
        <w:t xml:space="preserve">      </w:t>
      </w:r>
      <w:r w:rsidR="001952DB" w:rsidRPr="001952DB">
        <w:rPr>
          <w:rStyle w:val="Hyperlink"/>
          <w:color w:val="FF0000"/>
        </w:rPr>
        <w:t>(Life Insurance Beneficiary)</w:t>
      </w:r>
      <w:r w:rsidR="00FB4C95">
        <w:rPr>
          <w:rStyle w:val="Hyperlink"/>
          <w:color w:val="FF0000"/>
        </w:rPr>
        <w:t>*</w:t>
      </w:r>
      <w:r w:rsidR="00FB4C95">
        <w:rPr>
          <w:rStyle w:val="Hyperlink"/>
          <w:color w:val="FF0000"/>
        </w:rPr>
        <w:br/>
      </w:r>
      <w:r w:rsidR="00FB4C95" w:rsidRPr="00FB4C95">
        <w:rPr>
          <w:rStyle w:val="Hyperlink"/>
          <w:i/>
          <w:color w:val="FF0000"/>
          <w:sz w:val="14"/>
          <w:u w:val="none"/>
        </w:rPr>
        <w:t>*</w:t>
      </w:r>
      <w:proofErr w:type="gramStart"/>
      <w:r w:rsidR="00FB4C95" w:rsidRPr="00FB4C95">
        <w:rPr>
          <w:rStyle w:val="Hyperlink"/>
          <w:i/>
          <w:color w:val="FF0000"/>
          <w:sz w:val="14"/>
          <w:u w:val="none"/>
        </w:rPr>
        <w:t>For</w:t>
      </w:r>
      <w:proofErr w:type="gramEnd"/>
      <w:r w:rsidR="00FB4C95" w:rsidRPr="00FB4C95">
        <w:rPr>
          <w:rStyle w:val="Hyperlink"/>
          <w:i/>
          <w:color w:val="FF0000"/>
          <w:sz w:val="14"/>
          <w:u w:val="none"/>
        </w:rPr>
        <w:t xml:space="preserve"> fraud prevention purposes, the Nomination of Beneficiaries forms are not available on the GIC’s website.  See your GIC Benefit Coordinator or call the GIC at (617) 727-2310 extension 1 or TDD/TTY (617) 227-8583 for the appropriate Nomination of Beneficiary form.</w:t>
      </w:r>
    </w:p>
    <w:p w:rsidR="00DF5857" w:rsidRPr="00DF5857" w:rsidRDefault="009C6486" w:rsidP="009C6486">
      <w:pPr>
        <w:pStyle w:val="ListParagraph"/>
        <w:numPr>
          <w:ilvl w:val="1"/>
          <w:numId w:val="1"/>
        </w:numPr>
        <w:rPr>
          <w:color w:val="632423" w:themeColor="accent2" w:themeShade="80"/>
        </w:rPr>
      </w:pPr>
      <w:r>
        <w:rPr>
          <w:color w:val="632423" w:themeColor="accent2" w:themeShade="80"/>
        </w:rPr>
        <w:t>Flex Spending</w:t>
      </w:r>
      <w:r>
        <w:rPr>
          <w:color w:val="632423" w:themeColor="accent2" w:themeShade="80"/>
        </w:rPr>
        <w:br/>
      </w:r>
      <w:hyperlink r:id="rId11" w:history="1">
        <w:r w:rsidRPr="009C6486">
          <w:rPr>
            <w:rStyle w:val="Hyperlink"/>
          </w:rPr>
          <w:t>(</w:t>
        </w:r>
        <w:r>
          <w:rPr>
            <w:rStyle w:val="Hyperlink"/>
          </w:rPr>
          <w:t>Handbook</w:t>
        </w:r>
        <w:r w:rsidRPr="009C6486">
          <w:rPr>
            <w:rStyle w:val="Hyperlink"/>
          </w:rPr>
          <w:t>)</w:t>
        </w:r>
      </w:hyperlink>
      <w:r>
        <w:rPr>
          <w:color w:val="632423" w:themeColor="accent2" w:themeShade="80"/>
        </w:rPr>
        <w:t xml:space="preserve">      </w:t>
      </w:r>
      <w:hyperlink r:id="rId12" w:history="1">
        <w:r w:rsidRPr="009C6486">
          <w:rPr>
            <w:rStyle w:val="Hyperlink"/>
          </w:rPr>
          <w:t>(</w:t>
        </w:r>
        <w:r>
          <w:rPr>
            <w:rStyle w:val="Hyperlink"/>
          </w:rPr>
          <w:t>Enrollment</w:t>
        </w:r>
        <w:r w:rsidRPr="009C6486">
          <w:rPr>
            <w:rStyle w:val="Hyperlink"/>
          </w:rPr>
          <w:t>)</w:t>
        </w:r>
      </w:hyperlink>
      <w:r w:rsidR="0092590A">
        <w:rPr>
          <w:rStyle w:val="Hyperlink"/>
        </w:rPr>
        <w:br/>
      </w:r>
    </w:p>
    <w:p w:rsidR="00DF5857" w:rsidRPr="00DF5857" w:rsidRDefault="00DF5857" w:rsidP="00DF2AA7">
      <w:pPr>
        <w:pStyle w:val="ListParagraph"/>
        <w:numPr>
          <w:ilvl w:val="0"/>
          <w:numId w:val="1"/>
        </w:numPr>
        <w:rPr>
          <w:color w:val="632423" w:themeColor="accent2" w:themeShade="80"/>
        </w:rPr>
      </w:pPr>
      <w:r w:rsidRPr="00DF5857">
        <w:rPr>
          <w:color w:val="632423" w:themeColor="accent2" w:themeShade="80"/>
        </w:rPr>
        <w:t>Retirement</w:t>
      </w:r>
      <w:r w:rsidR="00C6375A">
        <w:rPr>
          <w:color w:val="632423" w:themeColor="accent2" w:themeShade="80"/>
        </w:rPr>
        <w:br/>
      </w:r>
      <w:hyperlink r:id="rId13" w:history="1">
        <w:r w:rsidR="00C6375A" w:rsidRPr="00C6375A">
          <w:rPr>
            <w:rStyle w:val="Hyperlink"/>
          </w:rPr>
          <w:t>(Enrollment Form)</w:t>
        </w:r>
      </w:hyperlink>
      <w:r w:rsidR="00C6375A">
        <w:rPr>
          <w:color w:val="632423" w:themeColor="accent2" w:themeShade="80"/>
        </w:rPr>
        <w:t xml:space="preserve">      </w:t>
      </w:r>
      <w:hyperlink r:id="rId14" w:history="1">
        <w:r w:rsidR="00C6375A" w:rsidRPr="00C6375A">
          <w:rPr>
            <w:rStyle w:val="Hyperlink"/>
          </w:rPr>
          <w:t>(Benefit Guide)</w:t>
        </w:r>
      </w:hyperlink>
      <w:r w:rsidR="00C6375A">
        <w:rPr>
          <w:color w:val="632423" w:themeColor="accent2" w:themeShade="80"/>
        </w:rPr>
        <w:t xml:space="preserve">    </w:t>
      </w:r>
      <w:hyperlink r:id="rId15" w:history="1">
        <w:r w:rsidR="0092590A" w:rsidRPr="0092590A">
          <w:rPr>
            <w:rStyle w:val="Hyperlink"/>
          </w:rPr>
          <w:t>(ORP Enrollment Guide)</w:t>
        </w:r>
      </w:hyperlink>
      <w:r w:rsidR="00DF2AA7">
        <w:rPr>
          <w:color w:val="632423" w:themeColor="accent2" w:themeShade="80"/>
        </w:rPr>
        <w:t xml:space="preserve"> </w:t>
      </w:r>
      <w:r w:rsidR="0092590A">
        <w:rPr>
          <w:color w:val="632423" w:themeColor="accent2" w:themeShade="80"/>
        </w:rPr>
        <w:br/>
      </w:r>
    </w:p>
    <w:p w:rsidR="00DF5857" w:rsidRPr="00DF5857" w:rsidRDefault="00DF5857" w:rsidP="00DF5857">
      <w:pPr>
        <w:pStyle w:val="ListParagraph"/>
        <w:numPr>
          <w:ilvl w:val="0"/>
          <w:numId w:val="1"/>
        </w:numPr>
        <w:rPr>
          <w:color w:val="632423" w:themeColor="accent2" w:themeShade="80"/>
        </w:rPr>
      </w:pPr>
      <w:r w:rsidRPr="00DF5857">
        <w:rPr>
          <w:color w:val="632423" w:themeColor="accent2" w:themeShade="80"/>
        </w:rPr>
        <w:t>Labor Relations (Union-Specific Benefits – IMPORTANT PART!)</w:t>
      </w:r>
    </w:p>
    <w:p w:rsidR="00DF5857" w:rsidRPr="00DF5857" w:rsidRDefault="00DF5857" w:rsidP="00DF5857">
      <w:pPr>
        <w:pStyle w:val="ListParagraph"/>
        <w:numPr>
          <w:ilvl w:val="1"/>
          <w:numId w:val="1"/>
        </w:numPr>
        <w:rPr>
          <w:color w:val="632423" w:themeColor="accent2" w:themeShade="80"/>
        </w:rPr>
      </w:pPr>
      <w:r w:rsidRPr="00DF5857">
        <w:rPr>
          <w:color w:val="632423" w:themeColor="accent2" w:themeShade="80"/>
        </w:rPr>
        <w:t>…</w:t>
      </w:r>
      <w:r w:rsidR="0092590A">
        <w:rPr>
          <w:color w:val="632423" w:themeColor="accent2" w:themeShade="80"/>
        </w:rPr>
        <w:br/>
      </w:r>
    </w:p>
    <w:p w:rsidR="00DF5857" w:rsidRPr="008771F9" w:rsidRDefault="00DF5857" w:rsidP="008771F9">
      <w:pPr>
        <w:pStyle w:val="ListParagraph"/>
        <w:numPr>
          <w:ilvl w:val="0"/>
          <w:numId w:val="1"/>
        </w:numPr>
        <w:rPr>
          <w:color w:val="632423" w:themeColor="accent2" w:themeShade="80"/>
        </w:rPr>
      </w:pPr>
      <w:r w:rsidRPr="00DF5857">
        <w:rPr>
          <w:color w:val="632423" w:themeColor="accent2" w:themeShade="80"/>
        </w:rPr>
        <w:t>Voluntary Savings Programs</w:t>
      </w:r>
      <w:r w:rsidR="0006773C">
        <w:rPr>
          <w:color w:val="632423" w:themeColor="accent2" w:themeShade="80"/>
        </w:rPr>
        <w:br/>
      </w:r>
      <w:hyperlink r:id="rId16" w:history="1">
        <w:r w:rsidR="0006773C" w:rsidRPr="0006773C">
          <w:rPr>
            <w:rStyle w:val="Hyperlink"/>
          </w:rPr>
          <w:t>(403(b)</w:t>
        </w:r>
        <w:r w:rsidR="0006773C">
          <w:rPr>
            <w:rStyle w:val="Hyperlink"/>
          </w:rPr>
          <w:t xml:space="preserve"> Plan</w:t>
        </w:r>
        <w:r w:rsidR="0006773C" w:rsidRPr="0006773C">
          <w:rPr>
            <w:rStyle w:val="Hyperlink"/>
          </w:rPr>
          <w:t>)</w:t>
        </w:r>
      </w:hyperlink>
      <w:r w:rsidR="0006773C">
        <w:rPr>
          <w:color w:val="632423" w:themeColor="accent2" w:themeShade="80"/>
        </w:rPr>
        <w:t xml:space="preserve">      </w:t>
      </w:r>
      <w:hyperlink r:id="rId17" w:history="1">
        <w:r w:rsidR="0006773C" w:rsidRPr="008771F9">
          <w:rPr>
            <w:rStyle w:val="Hyperlink"/>
            <w:color w:val="FF0000"/>
          </w:rPr>
          <w:t>(457(b)(SMART) Plan)</w:t>
        </w:r>
      </w:hyperlink>
      <w:r w:rsidR="008771F9" w:rsidRPr="008771F9">
        <w:rPr>
          <w:rStyle w:val="Hyperlink"/>
          <w:color w:val="FF0000"/>
        </w:rPr>
        <w:t>*</w:t>
      </w:r>
      <w:r w:rsidR="007679FA">
        <w:rPr>
          <w:rStyle w:val="Hyperlink"/>
          <w:u w:val="none"/>
        </w:rPr>
        <w:tab/>
      </w:r>
      <w:hyperlink r:id="rId18" w:history="1">
        <w:r w:rsidR="007679FA">
          <w:rPr>
            <w:rStyle w:val="Hyperlink"/>
          </w:rPr>
          <w:t>(Comparison)</w:t>
        </w:r>
      </w:hyperlink>
      <w:r w:rsidR="00DF2AA7">
        <w:rPr>
          <w:color w:val="632423" w:themeColor="accent2" w:themeShade="80"/>
        </w:rPr>
        <w:t xml:space="preserve"> </w:t>
      </w:r>
      <w:r w:rsidR="008771F9">
        <w:rPr>
          <w:color w:val="632423" w:themeColor="accent2" w:themeShade="80"/>
        </w:rPr>
        <w:br/>
      </w:r>
      <w:r w:rsidR="008771F9" w:rsidRPr="008771F9">
        <w:rPr>
          <w:color w:val="FF0000"/>
        </w:rPr>
        <w:t>*</w:t>
      </w:r>
      <w:r w:rsidR="008771F9" w:rsidRPr="008771F9">
        <w:rPr>
          <w:i/>
          <w:color w:val="FF0000"/>
        </w:rPr>
        <w:t>Web link</w:t>
      </w:r>
      <w:r w:rsidR="0092590A" w:rsidRPr="008771F9">
        <w:rPr>
          <w:color w:val="632423" w:themeColor="accent2" w:themeShade="80"/>
        </w:rPr>
        <w:br/>
      </w:r>
    </w:p>
    <w:p w:rsidR="00DF2AA7" w:rsidRDefault="00827237" w:rsidP="00DF2AA7">
      <w:pPr>
        <w:pStyle w:val="ListParagraph"/>
        <w:numPr>
          <w:ilvl w:val="0"/>
          <w:numId w:val="1"/>
        </w:numPr>
        <w:rPr>
          <w:color w:val="632423" w:themeColor="accent2" w:themeShade="80"/>
        </w:rPr>
      </w:pPr>
      <w:r>
        <w:rPr>
          <w:color w:val="632423" w:themeColor="accent2" w:themeShade="80"/>
        </w:rPr>
        <w:t>Equal Employment Opportunity (</w:t>
      </w:r>
      <w:r w:rsidR="00225A15">
        <w:rPr>
          <w:color w:val="632423" w:themeColor="accent2" w:themeShade="80"/>
        </w:rPr>
        <w:t>EEO</w:t>
      </w:r>
      <w:r>
        <w:rPr>
          <w:color w:val="632423" w:themeColor="accent2" w:themeShade="80"/>
        </w:rPr>
        <w:t>)</w:t>
      </w:r>
      <w:r w:rsidR="00DF2AA7">
        <w:rPr>
          <w:color w:val="632423" w:themeColor="accent2" w:themeShade="80"/>
        </w:rPr>
        <w:br/>
      </w:r>
    </w:p>
    <w:p w:rsidR="00DF2AA7" w:rsidRDefault="00DF2AA7" w:rsidP="00DF2AA7">
      <w:pPr>
        <w:pStyle w:val="ListParagraph"/>
        <w:numPr>
          <w:ilvl w:val="0"/>
          <w:numId w:val="1"/>
        </w:numPr>
        <w:rPr>
          <w:color w:val="984806" w:themeColor="accent6" w:themeShade="80"/>
        </w:rPr>
      </w:pPr>
      <w:r w:rsidRPr="00DF2AA7">
        <w:rPr>
          <w:color w:val="984806" w:themeColor="accent6" w:themeShade="80"/>
        </w:rPr>
        <w:t>Extras / Ads in HR Packet</w:t>
      </w:r>
      <w:r w:rsidR="008718E6">
        <w:rPr>
          <w:color w:val="984806" w:themeColor="accent6" w:themeShade="80"/>
        </w:rPr>
        <w:t xml:space="preserve"> [would be awesome to read these and set up “website” buttons for users]</w:t>
      </w:r>
      <w:r w:rsidR="00961836">
        <w:rPr>
          <w:color w:val="984806" w:themeColor="accent6" w:themeShade="80"/>
        </w:rPr>
        <w:t xml:space="preserve"> [*not online, could recreate document; **graphical document, could only do by scanning]</w:t>
      </w:r>
    </w:p>
    <w:p w:rsidR="00DF2AA7" w:rsidRDefault="00DF2AA7" w:rsidP="00DF2AA7">
      <w:pPr>
        <w:pStyle w:val="ListParagraph"/>
        <w:numPr>
          <w:ilvl w:val="1"/>
          <w:numId w:val="1"/>
        </w:numPr>
        <w:rPr>
          <w:color w:val="984806" w:themeColor="accent6" w:themeShade="80"/>
        </w:rPr>
      </w:pPr>
      <w:r>
        <w:rPr>
          <w:color w:val="984806" w:themeColor="accent6" w:themeShade="80"/>
        </w:rPr>
        <w:t xml:space="preserve">Live-In-Lowell Program &amp; </w:t>
      </w:r>
      <w:r w:rsidR="008718E6">
        <w:rPr>
          <w:color w:val="984806" w:themeColor="accent6" w:themeShade="80"/>
        </w:rPr>
        <w:t>Rental/Homebuyer’s Incentive Reimbursement*</w:t>
      </w:r>
    </w:p>
    <w:p w:rsidR="008718E6" w:rsidRDefault="008718E6" w:rsidP="00DF2AA7">
      <w:pPr>
        <w:pStyle w:val="ListParagraph"/>
        <w:numPr>
          <w:ilvl w:val="1"/>
          <w:numId w:val="1"/>
        </w:numPr>
        <w:rPr>
          <w:color w:val="984806" w:themeColor="accent6" w:themeShade="80"/>
        </w:rPr>
      </w:pPr>
      <w:r>
        <w:rPr>
          <w:color w:val="984806" w:themeColor="accent6" w:themeShade="80"/>
        </w:rPr>
        <w:t>UMass Extras</w:t>
      </w:r>
      <w:r>
        <w:rPr>
          <w:color w:val="984806" w:themeColor="accent6" w:themeShade="80"/>
        </w:rPr>
        <w:br/>
      </w:r>
      <w:hyperlink r:id="rId19" w:history="1">
        <w:r w:rsidRPr="008718E6">
          <w:rPr>
            <w:rStyle w:val="Hyperlink"/>
            <w:color w:val="000080" w:themeColor="hyperlink" w:themeShade="80"/>
          </w:rPr>
          <w:t>(Flyer)</w:t>
        </w:r>
      </w:hyperlink>
    </w:p>
    <w:p w:rsidR="008718E6" w:rsidRDefault="008718E6" w:rsidP="00DF2AA7">
      <w:pPr>
        <w:pStyle w:val="ListParagraph"/>
        <w:numPr>
          <w:ilvl w:val="1"/>
          <w:numId w:val="1"/>
        </w:numPr>
        <w:rPr>
          <w:color w:val="984806" w:themeColor="accent6" w:themeShade="80"/>
        </w:rPr>
      </w:pPr>
      <w:r>
        <w:rPr>
          <w:color w:val="984806" w:themeColor="accent6" w:themeShade="80"/>
        </w:rPr>
        <w:t xml:space="preserve">UMass Lowell </w:t>
      </w:r>
      <w:proofErr w:type="spellStart"/>
      <w:r>
        <w:rPr>
          <w:color w:val="984806" w:themeColor="accent6" w:themeShade="80"/>
        </w:rPr>
        <w:t>myAlert</w:t>
      </w:r>
      <w:proofErr w:type="spellEnd"/>
      <w:r>
        <w:rPr>
          <w:color w:val="984806" w:themeColor="accent6" w:themeShade="80"/>
        </w:rPr>
        <w:t>*</w:t>
      </w:r>
      <w:r w:rsidR="00961836">
        <w:rPr>
          <w:color w:val="984806" w:themeColor="accent6" w:themeShade="80"/>
        </w:rPr>
        <w:t>*</w:t>
      </w:r>
    </w:p>
    <w:p w:rsidR="008718E6" w:rsidRDefault="00961836" w:rsidP="00DF2AA7">
      <w:pPr>
        <w:pStyle w:val="ListParagraph"/>
        <w:numPr>
          <w:ilvl w:val="1"/>
          <w:numId w:val="1"/>
        </w:numPr>
        <w:rPr>
          <w:color w:val="984806" w:themeColor="accent6" w:themeShade="80"/>
        </w:rPr>
      </w:pPr>
      <w:r>
        <w:rPr>
          <w:color w:val="984806" w:themeColor="accent6" w:themeShade="80"/>
        </w:rPr>
        <w:t>Ally Space Program*</w:t>
      </w:r>
    </w:p>
    <w:p w:rsidR="00961836" w:rsidRDefault="00961836" w:rsidP="00DF2AA7">
      <w:pPr>
        <w:pStyle w:val="ListParagraph"/>
        <w:numPr>
          <w:ilvl w:val="1"/>
          <w:numId w:val="1"/>
        </w:numPr>
        <w:rPr>
          <w:color w:val="984806" w:themeColor="accent6" w:themeShade="80"/>
        </w:rPr>
      </w:pPr>
      <w:r>
        <w:rPr>
          <w:color w:val="984806" w:themeColor="accent6" w:themeShade="80"/>
        </w:rPr>
        <w:t>MetLife Ad**</w:t>
      </w:r>
    </w:p>
    <w:p w:rsidR="00961836" w:rsidRDefault="008771F9" w:rsidP="00DF2AA7">
      <w:pPr>
        <w:pStyle w:val="ListParagraph"/>
        <w:numPr>
          <w:ilvl w:val="1"/>
          <w:numId w:val="1"/>
        </w:numPr>
        <w:rPr>
          <w:color w:val="984806" w:themeColor="accent6" w:themeShade="80"/>
        </w:rPr>
      </w:pPr>
      <w:proofErr w:type="spellStart"/>
      <w:r>
        <w:rPr>
          <w:color w:val="984806" w:themeColor="accent6" w:themeShade="80"/>
        </w:rPr>
        <w:t>LifeScope</w:t>
      </w:r>
      <w:proofErr w:type="spellEnd"/>
      <w:r>
        <w:rPr>
          <w:color w:val="984806" w:themeColor="accent6" w:themeShade="80"/>
        </w:rPr>
        <w:t>*</w:t>
      </w:r>
    </w:p>
    <w:p w:rsidR="00961836" w:rsidRDefault="00225A15" w:rsidP="00DF2AA7">
      <w:pPr>
        <w:pStyle w:val="ListParagraph"/>
        <w:numPr>
          <w:ilvl w:val="1"/>
          <w:numId w:val="1"/>
        </w:numPr>
        <w:rPr>
          <w:color w:val="984806" w:themeColor="accent6" w:themeShade="80"/>
        </w:rPr>
      </w:pPr>
      <w:r w:rsidRPr="00225A15">
        <w:rPr>
          <w:color w:val="984806" w:themeColor="accent6" w:themeShade="80"/>
        </w:rPr>
        <w:t>Tuition Remission</w:t>
      </w:r>
      <w:r>
        <w:rPr>
          <w:color w:val="984806" w:themeColor="accent6" w:themeShade="80"/>
        </w:rPr>
        <w:br/>
      </w:r>
      <w:hyperlink r:id="rId20" w:history="1">
        <w:r w:rsidRPr="00225A15">
          <w:rPr>
            <w:rStyle w:val="Hyperlink"/>
            <w:color w:val="000080" w:themeColor="hyperlink" w:themeShade="80"/>
          </w:rPr>
          <w:t>(Info)</w:t>
        </w:r>
      </w:hyperlink>
      <w:r>
        <w:rPr>
          <w:color w:val="984806" w:themeColor="accent6" w:themeShade="80"/>
        </w:rPr>
        <w:tab/>
      </w:r>
      <w:hyperlink r:id="rId21" w:history="1">
        <w:r w:rsidRPr="00225A15">
          <w:rPr>
            <w:rStyle w:val="Hyperlink"/>
            <w:color w:val="000080" w:themeColor="hyperlink" w:themeShade="80"/>
          </w:rPr>
          <w:t>(Form)</w:t>
        </w:r>
      </w:hyperlink>
    </w:p>
    <w:p w:rsidR="00225A15" w:rsidRDefault="00507BE7" w:rsidP="00225A15">
      <w:pPr>
        <w:pStyle w:val="ListParagraph"/>
        <w:numPr>
          <w:ilvl w:val="1"/>
          <w:numId w:val="1"/>
        </w:numPr>
        <w:rPr>
          <w:color w:val="984806" w:themeColor="accent6" w:themeShade="80"/>
        </w:rPr>
      </w:pPr>
      <w:r>
        <w:rPr>
          <w:color w:val="984806" w:themeColor="accent6" w:themeShade="80"/>
        </w:rPr>
        <w:t xml:space="preserve">Equal Opportunity and Outreach </w:t>
      </w:r>
      <w:r w:rsidR="00225A15">
        <w:rPr>
          <w:color w:val="984806" w:themeColor="accent6" w:themeShade="80"/>
        </w:rPr>
        <w:t>Guidelines</w:t>
      </w:r>
      <w:r w:rsidR="00225A15">
        <w:rPr>
          <w:color w:val="984806" w:themeColor="accent6" w:themeShade="80"/>
        </w:rPr>
        <w:br/>
      </w:r>
      <w:hyperlink r:id="rId22" w:history="1">
        <w:r w:rsidR="00225A15">
          <w:rPr>
            <w:rStyle w:val="Hyperlink"/>
            <w:color w:val="000080" w:themeColor="hyperlink" w:themeShade="80"/>
          </w:rPr>
          <w:t>(Nondiscrimination)</w:t>
        </w:r>
      </w:hyperlink>
      <w:r w:rsidR="00225A15">
        <w:rPr>
          <w:color w:val="984806" w:themeColor="accent6" w:themeShade="80"/>
        </w:rPr>
        <w:tab/>
      </w:r>
      <w:hyperlink r:id="rId23" w:history="1">
        <w:r w:rsidR="00225A15" w:rsidRPr="00507BE7">
          <w:rPr>
            <w:rStyle w:val="Hyperlink"/>
            <w:color w:val="000080" w:themeColor="hyperlink" w:themeShade="80"/>
          </w:rPr>
          <w:t>(Sexual Harassment)</w:t>
        </w:r>
      </w:hyperlink>
      <w:r>
        <w:rPr>
          <w:color w:val="984806" w:themeColor="accent6" w:themeShade="80"/>
        </w:rPr>
        <w:tab/>
      </w:r>
      <w:hyperlink r:id="rId24" w:history="1">
        <w:r w:rsidRPr="00507BE7">
          <w:rPr>
            <w:rStyle w:val="Hyperlink"/>
            <w:color w:val="000080" w:themeColor="hyperlink" w:themeShade="80"/>
          </w:rPr>
          <w:t>(Disabilities)</w:t>
        </w:r>
      </w:hyperlink>
      <w:r>
        <w:rPr>
          <w:color w:val="984806" w:themeColor="accent6" w:themeShade="80"/>
        </w:rPr>
        <w:tab/>
      </w:r>
      <w:hyperlink r:id="rId25" w:history="1">
        <w:r w:rsidRPr="00507BE7">
          <w:rPr>
            <w:rStyle w:val="Hyperlink"/>
            <w:color w:val="000080" w:themeColor="hyperlink" w:themeShade="80"/>
          </w:rPr>
          <w:t>(Veterans)</w:t>
        </w:r>
      </w:hyperlink>
    </w:p>
    <w:p w:rsidR="00507BE7" w:rsidRDefault="00507BE7" w:rsidP="00225A15">
      <w:pPr>
        <w:pStyle w:val="ListParagraph"/>
        <w:numPr>
          <w:ilvl w:val="1"/>
          <w:numId w:val="1"/>
        </w:numPr>
        <w:rPr>
          <w:color w:val="984806" w:themeColor="accent6" w:themeShade="80"/>
        </w:rPr>
      </w:pPr>
      <w:r>
        <w:rPr>
          <w:color w:val="984806" w:themeColor="accent6" w:themeShade="80"/>
        </w:rPr>
        <w:t>Diversity and Inclusion Training and Development**</w:t>
      </w:r>
    </w:p>
    <w:p w:rsidR="00507BE7" w:rsidRDefault="00A54B6A" w:rsidP="00225A15">
      <w:pPr>
        <w:pStyle w:val="ListParagraph"/>
        <w:numPr>
          <w:ilvl w:val="1"/>
          <w:numId w:val="1"/>
        </w:numPr>
        <w:rPr>
          <w:color w:val="984806" w:themeColor="accent6" w:themeShade="80"/>
        </w:rPr>
      </w:pPr>
      <w:r>
        <w:rPr>
          <w:color w:val="984806" w:themeColor="accent6" w:themeShade="80"/>
        </w:rPr>
        <w:t>University Fraud Policy Guidelines*</w:t>
      </w:r>
    </w:p>
    <w:p w:rsidR="00827237" w:rsidRDefault="00A54B6A" w:rsidP="008771F9">
      <w:pPr>
        <w:pStyle w:val="ListParagraph"/>
        <w:numPr>
          <w:ilvl w:val="1"/>
          <w:numId w:val="1"/>
        </w:numPr>
        <w:rPr>
          <w:color w:val="984806" w:themeColor="accent6" w:themeShade="80"/>
        </w:rPr>
      </w:pPr>
      <w:r>
        <w:rPr>
          <w:color w:val="984806" w:themeColor="accent6" w:themeShade="80"/>
        </w:rPr>
        <w:t>Drug and Alcohol Policies and Regulations*</w:t>
      </w:r>
      <w:r w:rsidR="00827237">
        <w:rPr>
          <w:color w:val="984806" w:themeColor="accent6" w:themeShade="80"/>
        </w:rPr>
        <w:t xml:space="preserve"> (No faculty version available online)</w:t>
      </w:r>
    </w:p>
    <w:p w:rsidR="00994103" w:rsidRDefault="00994103" w:rsidP="008771F9">
      <w:pPr>
        <w:pStyle w:val="ListParagraph"/>
        <w:numPr>
          <w:ilvl w:val="1"/>
          <w:numId w:val="1"/>
        </w:numPr>
        <w:rPr>
          <w:color w:val="984806" w:themeColor="accent6" w:themeShade="80"/>
        </w:rPr>
      </w:pPr>
      <w:r>
        <w:rPr>
          <w:color w:val="984806" w:themeColor="accent6" w:themeShade="80"/>
        </w:rPr>
        <w:t>COBRA</w:t>
      </w:r>
      <w:r>
        <w:rPr>
          <w:color w:val="984806" w:themeColor="accent6" w:themeShade="80"/>
        </w:rPr>
        <w:br/>
      </w:r>
      <w:hyperlink r:id="rId26" w:history="1">
        <w:r w:rsidRPr="00994103">
          <w:rPr>
            <w:rStyle w:val="Hyperlink"/>
          </w:rPr>
          <w:t>(Inf</w:t>
        </w:r>
        <w:r w:rsidRPr="00994103">
          <w:rPr>
            <w:rStyle w:val="Hyperlink"/>
          </w:rPr>
          <w:t>o</w:t>
        </w:r>
        <w:r w:rsidRPr="00994103">
          <w:rPr>
            <w:rStyle w:val="Hyperlink"/>
          </w:rPr>
          <w:t>)</w:t>
        </w:r>
      </w:hyperlink>
    </w:p>
    <w:p w:rsidR="00994103" w:rsidRDefault="008A4A38" w:rsidP="008771F9">
      <w:pPr>
        <w:pStyle w:val="ListParagraph"/>
        <w:numPr>
          <w:ilvl w:val="1"/>
          <w:numId w:val="1"/>
        </w:numPr>
        <w:rPr>
          <w:color w:val="984806" w:themeColor="accent6" w:themeShade="80"/>
        </w:rPr>
      </w:pPr>
      <w:r>
        <w:rPr>
          <w:color w:val="984806" w:themeColor="accent6" w:themeShade="80"/>
        </w:rPr>
        <w:lastRenderedPageBreak/>
        <w:t>Social Security Administration</w:t>
      </w:r>
      <w:r>
        <w:rPr>
          <w:color w:val="984806" w:themeColor="accent6" w:themeShade="80"/>
        </w:rPr>
        <w:br/>
      </w:r>
      <w:hyperlink r:id="rId27" w:history="1">
        <w:r w:rsidRPr="008A4A38">
          <w:rPr>
            <w:rStyle w:val="Hyperlink"/>
          </w:rPr>
          <w:t>(Statem</w:t>
        </w:r>
        <w:r w:rsidRPr="008A4A38">
          <w:rPr>
            <w:rStyle w:val="Hyperlink"/>
          </w:rPr>
          <w:t>e</w:t>
        </w:r>
        <w:r w:rsidRPr="008A4A38">
          <w:rPr>
            <w:rStyle w:val="Hyperlink"/>
          </w:rPr>
          <w:t>n</w:t>
        </w:r>
        <w:r w:rsidRPr="008A4A38">
          <w:rPr>
            <w:rStyle w:val="Hyperlink"/>
          </w:rPr>
          <w:t>t)</w:t>
        </w:r>
      </w:hyperlink>
      <w:r>
        <w:rPr>
          <w:color w:val="984806" w:themeColor="accent6" w:themeShade="80"/>
        </w:rPr>
        <w:tab/>
      </w:r>
      <w:hyperlink r:id="rId28" w:history="1">
        <w:r w:rsidRPr="008A4A38">
          <w:rPr>
            <w:rStyle w:val="Hyperlink"/>
          </w:rPr>
          <w:t>(Provision)</w:t>
        </w:r>
      </w:hyperlink>
    </w:p>
    <w:p w:rsidR="008A4A38" w:rsidRDefault="008A4A38" w:rsidP="008A4A38">
      <w:pPr>
        <w:pStyle w:val="ListParagraph"/>
        <w:numPr>
          <w:ilvl w:val="1"/>
          <w:numId w:val="1"/>
        </w:numPr>
        <w:rPr>
          <w:color w:val="984806" w:themeColor="accent6" w:themeShade="80"/>
        </w:rPr>
      </w:pPr>
      <w:r>
        <w:rPr>
          <w:color w:val="984806" w:themeColor="accent6" w:themeShade="80"/>
        </w:rPr>
        <w:t>Medical Leave</w:t>
      </w:r>
      <w:r>
        <w:rPr>
          <w:color w:val="984806" w:themeColor="accent6" w:themeShade="80"/>
        </w:rPr>
        <w:br/>
      </w:r>
      <w:hyperlink r:id="rId29" w:history="1">
        <w:r w:rsidRPr="008A4A38">
          <w:rPr>
            <w:rStyle w:val="Hyperlink"/>
          </w:rPr>
          <w:t>(Info)</w:t>
        </w:r>
      </w:hyperlink>
    </w:p>
    <w:p w:rsidR="007C6D67" w:rsidRDefault="007C6D67" w:rsidP="007C6D67">
      <w:pPr>
        <w:pStyle w:val="ListParagraph"/>
        <w:numPr>
          <w:ilvl w:val="1"/>
          <w:numId w:val="1"/>
        </w:numPr>
        <w:rPr>
          <w:color w:val="984806" w:themeColor="accent6" w:themeShade="80"/>
        </w:rPr>
      </w:pPr>
      <w:r>
        <w:rPr>
          <w:color w:val="984806" w:themeColor="accent6" w:themeShade="80"/>
        </w:rPr>
        <w:t>Libraries</w:t>
      </w:r>
      <w:r>
        <w:rPr>
          <w:color w:val="984806" w:themeColor="accent6" w:themeShade="80"/>
        </w:rPr>
        <w:br/>
      </w:r>
      <w:hyperlink r:id="rId30" w:history="1">
        <w:r w:rsidRPr="007C6D67">
          <w:rPr>
            <w:rStyle w:val="Hyperlink"/>
          </w:rPr>
          <w:t>(Info)</w:t>
        </w:r>
      </w:hyperlink>
    </w:p>
    <w:p w:rsidR="007C6D67" w:rsidRDefault="007C6D67" w:rsidP="007C6D67">
      <w:pPr>
        <w:pStyle w:val="ListParagraph"/>
        <w:numPr>
          <w:ilvl w:val="1"/>
          <w:numId w:val="1"/>
        </w:numPr>
        <w:rPr>
          <w:color w:val="984806" w:themeColor="accent6" w:themeShade="80"/>
        </w:rPr>
      </w:pPr>
      <w:r>
        <w:rPr>
          <w:color w:val="984806" w:themeColor="accent6" w:themeShade="80"/>
        </w:rPr>
        <w:t>Right to Know*</w:t>
      </w:r>
    </w:p>
    <w:p w:rsidR="00ED5B02" w:rsidRDefault="00ED5B02" w:rsidP="00ED5B02">
      <w:pPr>
        <w:pStyle w:val="Heading1"/>
        <w:spacing w:before="161" w:beforeAutospacing="0" w:after="161" w:afterAutospacing="0"/>
        <w:rPr>
          <w:rFonts w:ascii="Tahoma" w:hAnsi="Tahoma" w:cs="Tahoma"/>
          <w:color w:val="222222"/>
          <w:sz w:val="32"/>
          <w:szCs w:val="32"/>
        </w:rPr>
      </w:pPr>
      <w:r>
        <w:rPr>
          <w:rFonts w:ascii="Tahoma" w:hAnsi="Tahoma" w:cs="Tahoma"/>
          <w:color w:val="222222"/>
          <w:sz w:val="32"/>
          <w:szCs w:val="32"/>
        </w:rPr>
        <w:t>Legal Holiday Calendar</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 xml:space="preserve">This memo, which supersedes the last holiday memo issued October 4, 2012, contains a list of paid legal holidays and the schedule of dates when they will be observed as set forth in MGL Chapter 4, Section 7, </w:t>
      </w:r>
      <w:proofErr w:type="gramStart"/>
      <w:r>
        <w:rPr>
          <w:rFonts w:ascii="Arial" w:hAnsi="Arial" w:cs="Arial"/>
          <w:color w:val="222222"/>
          <w:sz w:val="20"/>
          <w:szCs w:val="20"/>
        </w:rPr>
        <w:t>Clause</w:t>
      </w:r>
      <w:proofErr w:type="gramEnd"/>
      <w:r>
        <w:rPr>
          <w:rFonts w:ascii="Arial" w:hAnsi="Arial" w:cs="Arial"/>
          <w:color w:val="222222"/>
          <w:sz w:val="20"/>
          <w:szCs w:val="20"/>
        </w:rPr>
        <w:t xml:space="preserve"> Eighteen. </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The following is a list of legal holidays and the dates on which they will be observed for calendar years 2014, 2015 and 2016.  Consult the Red Book or the relevant collective bargaining agreements with regard to compensatory time off or compensation for employees who work on holidays.  Also see: </w:t>
      </w:r>
      <w:r>
        <w:rPr>
          <w:rStyle w:val="apple-converted-space"/>
          <w:rFonts w:ascii="Arial" w:hAnsi="Arial" w:cs="Arial"/>
          <w:color w:val="222222"/>
          <w:sz w:val="20"/>
          <w:szCs w:val="20"/>
        </w:rPr>
        <w:t> </w:t>
      </w:r>
      <w:hyperlink r:id="rId31" w:history="1">
        <w:r>
          <w:rPr>
            <w:rStyle w:val="Hyperlink"/>
            <w:rFonts w:ascii="Arial" w:hAnsi="Arial" w:cs="Arial"/>
            <w:color w:val="64406B"/>
            <w:sz w:val="20"/>
            <w:szCs w:val="20"/>
          </w:rPr>
          <w:t>http://www.mass.gov/bb/gaa/fy2011/os_11/h5.htm</w:t>
        </w:r>
      </w:hyperlink>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 </w:t>
      </w:r>
    </w:p>
    <w:tbl>
      <w:tblPr>
        <w:tblW w:w="10305" w:type="dxa"/>
        <w:jc w:val="center"/>
        <w:tblBorders>
          <w:top w:val="outset" w:sz="6" w:space="0" w:color="C6E0ED"/>
          <w:left w:val="outset" w:sz="6" w:space="0" w:color="C6E0ED"/>
          <w:bottom w:val="outset" w:sz="6" w:space="0" w:color="C6E0ED"/>
          <w:right w:val="outset" w:sz="6" w:space="0" w:color="C6E0ED"/>
        </w:tblBorders>
        <w:tblCellMar>
          <w:top w:w="24" w:type="dxa"/>
          <w:left w:w="24" w:type="dxa"/>
          <w:bottom w:w="24" w:type="dxa"/>
          <w:right w:w="24" w:type="dxa"/>
        </w:tblCellMar>
        <w:tblLook w:val="04A0" w:firstRow="1" w:lastRow="0" w:firstColumn="1" w:lastColumn="0" w:noHBand="0" w:noVBand="1"/>
      </w:tblPr>
      <w:tblGrid>
        <w:gridCol w:w="3915"/>
        <w:gridCol w:w="2130"/>
        <w:gridCol w:w="2130"/>
        <w:gridCol w:w="2130"/>
      </w:tblGrid>
      <w:tr w:rsidR="00ED5B02" w:rsidTr="00ED5B02">
        <w:trPr>
          <w:trHeight w:val="276"/>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vAlign w:val="center"/>
            <w:hideMark/>
          </w:tcPr>
          <w:p w:rsidR="00ED5B02" w:rsidRDefault="00ED5B02">
            <w:pPr>
              <w:pStyle w:val="Heading4"/>
              <w:spacing w:before="0" w:beforeAutospacing="0" w:after="192" w:afterAutospacing="0"/>
              <w:jc w:val="center"/>
              <w:rPr>
                <w:rFonts w:ascii="Tahoma" w:hAnsi="Tahoma" w:cs="Tahoma"/>
                <w:sz w:val="27"/>
                <w:szCs w:val="27"/>
              </w:rPr>
            </w:pPr>
            <w:r>
              <w:rPr>
                <w:rFonts w:ascii="Tahoma" w:hAnsi="Tahoma" w:cs="Tahoma"/>
                <w:sz w:val="27"/>
                <w:szCs w:val="27"/>
              </w:rPr>
              <w:t>Legal Holidays</w:t>
            </w:r>
          </w:p>
          <w:p w:rsidR="00ED5B02" w:rsidRDefault="00ED5B02">
            <w:pPr>
              <w:pStyle w:val="NormalWeb"/>
              <w:spacing w:before="0" w:beforeAutospacing="0" w:after="240" w:afterAutospacing="0"/>
              <w:jc w:val="right"/>
            </w:pPr>
            <w:r>
              <w:t> </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vAlign w:val="center"/>
            <w:hideMark/>
          </w:tcPr>
          <w:p w:rsidR="00ED5B02" w:rsidRDefault="00ED5B02">
            <w:pPr>
              <w:pStyle w:val="NormalWeb"/>
              <w:spacing w:before="0" w:beforeAutospacing="0" w:after="240" w:afterAutospacing="0"/>
              <w:jc w:val="center"/>
            </w:pPr>
            <w:r>
              <w:rPr>
                <w:rStyle w:val="Strong"/>
              </w:rPr>
              <w:t>2014</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vAlign w:val="center"/>
            <w:hideMark/>
          </w:tcPr>
          <w:p w:rsidR="00ED5B02" w:rsidRDefault="00ED5B02">
            <w:pPr>
              <w:pStyle w:val="NormalWeb"/>
              <w:spacing w:before="0" w:beforeAutospacing="0" w:after="240" w:afterAutospacing="0"/>
              <w:jc w:val="center"/>
            </w:pPr>
            <w:r>
              <w:rPr>
                <w:rStyle w:val="Strong"/>
              </w:rPr>
              <w:t>2015</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vAlign w:val="center"/>
            <w:hideMark/>
          </w:tcPr>
          <w:p w:rsidR="00ED5B02" w:rsidRDefault="00ED5B02">
            <w:pPr>
              <w:pStyle w:val="NormalWeb"/>
              <w:spacing w:before="0" w:beforeAutospacing="0" w:after="240" w:afterAutospacing="0"/>
              <w:jc w:val="center"/>
            </w:pPr>
            <w:r>
              <w:rPr>
                <w:rStyle w:val="Strong"/>
              </w:rPr>
              <w:t>2016</w:t>
            </w:r>
          </w:p>
        </w:tc>
      </w:tr>
      <w:tr w:rsidR="00ED5B02" w:rsidTr="00ED5B02">
        <w:trPr>
          <w:jc w:val="center"/>
        </w:trPr>
        <w:tc>
          <w:tcPr>
            <w:tcW w:w="3792" w:type="dxa"/>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New Year's Day</w:t>
            </w:r>
          </w:p>
        </w:tc>
        <w:tc>
          <w:tcPr>
            <w:tcW w:w="2064" w:type="dxa"/>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1</w:t>
            </w:r>
          </w:p>
        </w:tc>
        <w:tc>
          <w:tcPr>
            <w:tcW w:w="2064" w:type="dxa"/>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1</w:t>
            </w:r>
          </w:p>
        </w:tc>
        <w:tc>
          <w:tcPr>
            <w:tcW w:w="2064" w:type="dxa"/>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1</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Martin Luther King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20</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19</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January 18</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President's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February 17</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February 16</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February 15</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Patriots' Day</w:t>
            </w:r>
            <w:bookmarkStart w:id="0" w:name="_GoBack"/>
            <w:bookmarkEnd w:id="0"/>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April 21</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April 20</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April 18</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Memorial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May 26</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May 25</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May 30</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Independence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July 4</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July 4*</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July 4</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Labor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September 1</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September 7</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September 5</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Columbus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October 13</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October 12</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October 10</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lastRenderedPageBreak/>
              <w:t>Veterans'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11</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11</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11</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Thanksgiving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27</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26</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November 24</w:t>
            </w:r>
          </w:p>
        </w:tc>
      </w:tr>
      <w:tr w:rsidR="00ED5B02" w:rsidTr="00ED5B02">
        <w:trPr>
          <w:jc w:val="center"/>
        </w:trPr>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Christmas Day</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December 25</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December 25</w:t>
            </w:r>
          </w:p>
        </w:tc>
        <w:tc>
          <w:tcPr>
            <w:tcW w:w="0" w:type="auto"/>
            <w:tcBorders>
              <w:top w:val="outset" w:sz="6" w:space="0" w:color="C6E0ED"/>
              <w:left w:val="outset" w:sz="6" w:space="0" w:color="C6E0ED"/>
              <w:bottom w:val="outset" w:sz="6" w:space="0" w:color="C6E0ED"/>
              <w:right w:val="outset" w:sz="6" w:space="0" w:color="C6E0ED"/>
            </w:tcBorders>
            <w:tcMar>
              <w:top w:w="72" w:type="dxa"/>
              <w:left w:w="72" w:type="dxa"/>
              <w:bottom w:w="72" w:type="dxa"/>
              <w:right w:w="72" w:type="dxa"/>
            </w:tcMar>
            <w:hideMark/>
          </w:tcPr>
          <w:p w:rsidR="00ED5B02" w:rsidRDefault="00ED5B02">
            <w:pPr>
              <w:rPr>
                <w:sz w:val="24"/>
                <w:szCs w:val="24"/>
              </w:rPr>
            </w:pPr>
            <w:r>
              <w:t>December 25**</w:t>
            </w:r>
          </w:p>
        </w:tc>
      </w:tr>
    </w:tbl>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 </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Suffolk County Holidays</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Legal</w:t>
      </w:r>
      <w:proofErr w:type="gramStart"/>
      <w:r>
        <w:rPr>
          <w:rStyle w:val="Strong"/>
          <w:rFonts w:ascii="Arial" w:hAnsi="Arial" w:cs="Arial"/>
          <w:color w:val="222222"/>
          <w:sz w:val="20"/>
          <w:szCs w:val="20"/>
        </w:rPr>
        <w:t>  Holidays</w:t>
      </w:r>
      <w:proofErr w:type="gramEnd"/>
      <w:r>
        <w:rPr>
          <w:rStyle w:val="Strong"/>
          <w:rFonts w:ascii="Arial" w:hAnsi="Arial" w:cs="Arial"/>
          <w:color w:val="222222"/>
          <w:sz w:val="20"/>
          <w:szCs w:val="20"/>
        </w:rPr>
        <w:t>                                              2014                            2015                2016</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t>Evacuation Day (Suffolk County)                March 17                     March 17         March 17</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rPr>
        <w:t>Bunker Hill Day (Suffolk County)               June 17                         June 17            June 17</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March 17 and June 17 remain legal holidays.  However, all state offices will remain open for business on these dates.  March 17 and June 17 are no longer holidays under the Red Book (Rules Governing Paid Leave and Other Benefits for Managers and Confidential Employees). </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Additionally, they are no longer holidays for many statewide bargaining units, including but not limited to, Units 1, 2, 3, 4A, 6, 8, 9, and 10.  If your bargaining unit is not listed here, please refer to your latest collective bargaining agreement or memorandum of understanding (MOU) to determine if these two dates are still recognized holidays for your bargaining unit.</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Saturday Holidays</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*In the event a legal holiday falls on a Saturday, all offices under the jurisdiction of any department of state government shall be open to the public for business on the Friday immediately preceding any Saturday holiday.</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Managers and confidential employees:</w:t>
      </w:r>
      <w:r>
        <w:rPr>
          <w:rFonts w:ascii="Arial" w:hAnsi="Arial" w:cs="Arial"/>
          <w:color w:val="222222"/>
          <w:sz w:val="20"/>
          <w:szCs w:val="20"/>
        </w:rPr>
        <w:t xml:space="preserve">  As many employees as possible should be given off </w:t>
      </w:r>
      <w:proofErr w:type="gramStart"/>
      <w:r>
        <w:rPr>
          <w:rFonts w:ascii="Arial" w:hAnsi="Arial" w:cs="Arial"/>
          <w:color w:val="222222"/>
          <w:sz w:val="20"/>
          <w:szCs w:val="20"/>
        </w:rPr>
        <w:t>the  Friday</w:t>
      </w:r>
      <w:proofErr w:type="gramEnd"/>
      <w:r>
        <w:rPr>
          <w:rFonts w:ascii="Arial" w:hAnsi="Arial" w:cs="Arial"/>
          <w:color w:val="222222"/>
          <w:sz w:val="20"/>
          <w:szCs w:val="20"/>
        </w:rPr>
        <w:t xml:space="preserve"> immediately preceding the Saturday holiday.  Whenever possible, the following Monday shall be used as the alternative day off.  Employees assigned to work shall be given an additional day off (Red Book). </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Bargaining unit employees:</w:t>
      </w:r>
      <w:r>
        <w:rPr>
          <w:rStyle w:val="apple-converted-space"/>
          <w:rFonts w:ascii="Arial" w:hAnsi="Arial" w:cs="Arial"/>
          <w:b/>
          <w:bCs/>
          <w:color w:val="222222"/>
          <w:sz w:val="20"/>
          <w:szCs w:val="20"/>
          <w:u w:val="single"/>
        </w:rPr>
        <w:t> </w:t>
      </w:r>
      <w:r>
        <w:rPr>
          <w:rFonts w:ascii="Arial" w:hAnsi="Arial" w:cs="Arial"/>
          <w:color w:val="222222"/>
          <w:sz w:val="20"/>
          <w:szCs w:val="20"/>
          <w:u w:val="single"/>
        </w:rPr>
        <w:t>See the relevant collective bargaining agreement.</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Style w:val="Strong"/>
          <w:rFonts w:ascii="Arial" w:hAnsi="Arial" w:cs="Arial"/>
          <w:color w:val="222222"/>
          <w:sz w:val="20"/>
          <w:szCs w:val="20"/>
        </w:rPr>
        <w:t>Sunday Holidays</w:t>
      </w:r>
    </w:p>
    <w:p w:rsidR="00ED5B02" w:rsidRDefault="00ED5B02" w:rsidP="00ED5B02">
      <w:pPr>
        <w:pStyle w:val="NormalWeb"/>
        <w:spacing w:before="0" w:beforeAutospacing="0" w:after="240" w:afterAutospacing="0" w:line="293" w:lineRule="atLeast"/>
        <w:rPr>
          <w:rFonts w:ascii="Arial" w:hAnsi="Arial" w:cs="Arial"/>
          <w:color w:val="222222"/>
          <w:sz w:val="20"/>
          <w:szCs w:val="20"/>
        </w:rPr>
      </w:pPr>
      <w:r>
        <w:rPr>
          <w:rFonts w:ascii="Arial" w:hAnsi="Arial" w:cs="Arial"/>
          <w:color w:val="222222"/>
          <w:sz w:val="20"/>
          <w:szCs w:val="20"/>
        </w:rPr>
        <w:t>** In the event a legal holiday falls on a Sunday, the holiday will be observed on the following Monday. </w:t>
      </w:r>
    </w:p>
    <w:p w:rsidR="00ED5B02" w:rsidRPr="007C6D67" w:rsidRDefault="00ED5B02" w:rsidP="007C6D67">
      <w:pPr>
        <w:pStyle w:val="ListParagraph"/>
        <w:numPr>
          <w:ilvl w:val="1"/>
          <w:numId w:val="1"/>
        </w:numPr>
        <w:rPr>
          <w:color w:val="984806" w:themeColor="accent6" w:themeShade="80"/>
        </w:rPr>
      </w:pPr>
    </w:p>
    <w:sectPr w:rsidR="00ED5B02" w:rsidRPr="007C6D67" w:rsidSect="00F90BBD">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4BF" w:rsidRDefault="003514BF" w:rsidP="00403B7D">
      <w:pPr>
        <w:spacing w:after="0" w:line="240" w:lineRule="auto"/>
      </w:pPr>
      <w:r>
        <w:separator/>
      </w:r>
    </w:p>
  </w:endnote>
  <w:endnote w:type="continuationSeparator" w:id="0">
    <w:p w:rsidR="003514BF" w:rsidRDefault="003514BF" w:rsidP="0040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4BF" w:rsidRDefault="003514BF" w:rsidP="00403B7D">
      <w:pPr>
        <w:spacing w:after="0" w:line="240" w:lineRule="auto"/>
      </w:pPr>
      <w:r>
        <w:separator/>
      </w:r>
    </w:p>
  </w:footnote>
  <w:footnote w:type="continuationSeparator" w:id="0">
    <w:p w:rsidR="003514BF" w:rsidRDefault="003514BF" w:rsidP="00403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7D" w:rsidRDefault="00403B7D" w:rsidP="00403B7D">
    <w:pPr>
      <w:pStyle w:val="Header"/>
      <w:jc w:val="right"/>
    </w:pPr>
    <w:r>
      <w:t xml:space="preserve"> 4 December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BD" w:rsidRDefault="00C6375A" w:rsidP="00F90BBD">
    <w:pPr>
      <w:pStyle w:val="Header"/>
      <w:tabs>
        <w:tab w:val="clear" w:pos="4680"/>
        <w:tab w:val="left" w:pos="8520"/>
      </w:tabs>
    </w:pPr>
    <w:r>
      <w:t>Sustainability HR Project</w:t>
    </w:r>
    <w:r w:rsidR="00F90BBD">
      <w:t xml:space="preserve">                                                                                                                </w:t>
    </w:r>
    <w:r>
      <w:t xml:space="preserve">4 </w:t>
    </w:r>
    <w:r w:rsidR="00F90BBD">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709"/>
    <w:multiLevelType w:val="hybridMultilevel"/>
    <w:tmpl w:val="41A8582A"/>
    <w:lvl w:ilvl="0" w:tplc="CB5C31D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7D"/>
    <w:rsid w:val="0001236D"/>
    <w:rsid w:val="00026210"/>
    <w:rsid w:val="0006773C"/>
    <w:rsid w:val="001952DB"/>
    <w:rsid w:val="00207F0A"/>
    <w:rsid w:val="00225A15"/>
    <w:rsid w:val="003514BF"/>
    <w:rsid w:val="00403B7D"/>
    <w:rsid w:val="00507BE7"/>
    <w:rsid w:val="00542C08"/>
    <w:rsid w:val="006400F6"/>
    <w:rsid w:val="00685853"/>
    <w:rsid w:val="007679FA"/>
    <w:rsid w:val="007C6D67"/>
    <w:rsid w:val="00822F02"/>
    <w:rsid w:val="00827237"/>
    <w:rsid w:val="008718E6"/>
    <w:rsid w:val="008771F9"/>
    <w:rsid w:val="008A4A38"/>
    <w:rsid w:val="008E5313"/>
    <w:rsid w:val="0092590A"/>
    <w:rsid w:val="00961836"/>
    <w:rsid w:val="00994103"/>
    <w:rsid w:val="009C6486"/>
    <w:rsid w:val="00A54B6A"/>
    <w:rsid w:val="00B90AD0"/>
    <w:rsid w:val="00B95293"/>
    <w:rsid w:val="00C6375A"/>
    <w:rsid w:val="00D12A92"/>
    <w:rsid w:val="00DF2AA7"/>
    <w:rsid w:val="00DF5857"/>
    <w:rsid w:val="00ED5B02"/>
    <w:rsid w:val="00F90BBD"/>
    <w:rsid w:val="00FB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B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B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B7D"/>
  </w:style>
  <w:style w:type="paragraph" w:styleId="Footer">
    <w:name w:val="footer"/>
    <w:basedOn w:val="Normal"/>
    <w:link w:val="FooterChar"/>
    <w:uiPriority w:val="99"/>
    <w:unhideWhenUsed/>
    <w:rsid w:val="00403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B7D"/>
  </w:style>
  <w:style w:type="paragraph" w:styleId="ListParagraph">
    <w:name w:val="List Paragraph"/>
    <w:basedOn w:val="Normal"/>
    <w:uiPriority w:val="34"/>
    <w:qFormat/>
    <w:rsid w:val="00403B7D"/>
    <w:pPr>
      <w:ind w:left="720"/>
      <w:contextualSpacing/>
    </w:pPr>
  </w:style>
  <w:style w:type="character" w:styleId="Hyperlink">
    <w:name w:val="Hyperlink"/>
    <w:basedOn w:val="DefaultParagraphFont"/>
    <w:uiPriority w:val="99"/>
    <w:unhideWhenUsed/>
    <w:rsid w:val="00207F0A"/>
    <w:rPr>
      <w:color w:val="0000FF" w:themeColor="hyperlink"/>
      <w:u w:val="single"/>
    </w:rPr>
  </w:style>
  <w:style w:type="character" w:styleId="FollowedHyperlink">
    <w:name w:val="FollowedHyperlink"/>
    <w:basedOn w:val="DefaultParagraphFont"/>
    <w:uiPriority w:val="99"/>
    <w:semiHidden/>
    <w:unhideWhenUsed/>
    <w:rsid w:val="00207F0A"/>
    <w:rPr>
      <w:color w:val="800080" w:themeColor="followedHyperlink"/>
      <w:u w:val="single"/>
    </w:rPr>
  </w:style>
  <w:style w:type="character" w:customStyle="1" w:styleId="Heading1Char">
    <w:name w:val="Heading 1 Char"/>
    <w:basedOn w:val="DefaultParagraphFont"/>
    <w:link w:val="Heading1"/>
    <w:uiPriority w:val="9"/>
    <w:rsid w:val="00ED5B0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B02"/>
    <w:rPr>
      <w:rFonts w:ascii="Times New Roman" w:eastAsia="Times New Roman" w:hAnsi="Times New Roman" w:cs="Times New Roman"/>
      <w:b/>
      <w:bCs/>
      <w:sz w:val="24"/>
      <w:szCs w:val="24"/>
    </w:rPr>
  </w:style>
  <w:style w:type="paragraph" w:styleId="NormalWeb">
    <w:name w:val="Normal (Web)"/>
    <w:basedOn w:val="Normal"/>
    <w:uiPriority w:val="99"/>
    <w:unhideWhenUsed/>
    <w:rsid w:val="00ED5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B02"/>
  </w:style>
  <w:style w:type="character" w:styleId="Strong">
    <w:name w:val="Strong"/>
    <w:basedOn w:val="DefaultParagraphFont"/>
    <w:uiPriority w:val="22"/>
    <w:qFormat/>
    <w:rsid w:val="00ED5B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B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B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B7D"/>
  </w:style>
  <w:style w:type="paragraph" w:styleId="Footer">
    <w:name w:val="footer"/>
    <w:basedOn w:val="Normal"/>
    <w:link w:val="FooterChar"/>
    <w:uiPriority w:val="99"/>
    <w:unhideWhenUsed/>
    <w:rsid w:val="00403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B7D"/>
  </w:style>
  <w:style w:type="paragraph" w:styleId="ListParagraph">
    <w:name w:val="List Paragraph"/>
    <w:basedOn w:val="Normal"/>
    <w:uiPriority w:val="34"/>
    <w:qFormat/>
    <w:rsid w:val="00403B7D"/>
    <w:pPr>
      <w:ind w:left="720"/>
      <w:contextualSpacing/>
    </w:pPr>
  </w:style>
  <w:style w:type="character" w:styleId="Hyperlink">
    <w:name w:val="Hyperlink"/>
    <w:basedOn w:val="DefaultParagraphFont"/>
    <w:uiPriority w:val="99"/>
    <w:unhideWhenUsed/>
    <w:rsid w:val="00207F0A"/>
    <w:rPr>
      <w:color w:val="0000FF" w:themeColor="hyperlink"/>
      <w:u w:val="single"/>
    </w:rPr>
  </w:style>
  <w:style w:type="character" w:styleId="FollowedHyperlink">
    <w:name w:val="FollowedHyperlink"/>
    <w:basedOn w:val="DefaultParagraphFont"/>
    <w:uiPriority w:val="99"/>
    <w:semiHidden/>
    <w:unhideWhenUsed/>
    <w:rsid w:val="00207F0A"/>
    <w:rPr>
      <w:color w:val="800080" w:themeColor="followedHyperlink"/>
      <w:u w:val="single"/>
    </w:rPr>
  </w:style>
  <w:style w:type="character" w:customStyle="1" w:styleId="Heading1Char">
    <w:name w:val="Heading 1 Char"/>
    <w:basedOn w:val="DefaultParagraphFont"/>
    <w:link w:val="Heading1"/>
    <w:uiPriority w:val="9"/>
    <w:rsid w:val="00ED5B0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B02"/>
    <w:rPr>
      <w:rFonts w:ascii="Times New Roman" w:eastAsia="Times New Roman" w:hAnsi="Times New Roman" w:cs="Times New Roman"/>
      <w:b/>
      <w:bCs/>
      <w:sz w:val="24"/>
      <w:szCs w:val="24"/>
    </w:rPr>
  </w:style>
  <w:style w:type="paragraph" w:styleId="NormalWeb">
    <w:name w:val="Normal (Web)"/>
    <w:basedOn w:val="Normal"/>
    <w:uiPriority w:val="99"/>
    <w:unhideWhenUsed/>
    <w:rsid w:val="00ED5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B02"/>
  </w:style>
  <w:style w:type="character" w:styleId="Strong">
    <w:name w:val="Strong"/>
    <w:basedOn w:val="DefaultParagraphFont"/>
    <w:uiPriority w:val="22"/>
    <w:qFormat/>
    <w:rsid w:val="00ED5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67584">
      <w:bodyDiv w:val="1"/>
      <w:marLeft w:val="0"/>
      <w:marRight w:val="0"/>
      <w:marTop w:val="0"/>
      <w:marBottom w:val="0"/>
      <w:divBdr>
        <w:top w:val="none" w:sz="0" w:space="0" w:color="auto"/>
        <w:left w:val="none" w:sz="0" w:space="0" w:color="auto"/>
        <w:bottom w:val="none" w:sz="0" w:space="0" w:color="auto"/>
        <w:right w:val="none" w:sz="0" w:space="0" w:color="auto"/>
      </w:divBdr>
      <w:divsChild>
        <w:div w:id="1950042062">
          <w:marLeft w:val="0"/>
          <w:marRight w:val="0"/>
          <w:marTop w:val="0"/>
          <w:marBottom w:val="0"/>
          <w:divBdr>
            <w:top w:val="none" w:sz="0" w:space="0" w:color="auto"/>
            <w:left w:val="none" w:sz="0" w:space="0" w:color="auto"/>
            <w:bottom w:val="none" w:sz="0" w:space="0" w:color="auto"/>
            <w:right w:val="none" w:sz="0" w:space="0" w:color="auto"/>
          </w:divBdr>
        </w:div>
        <w:div w:id="2048219816">
          <w:marLeft w:val="0"/>
          <w:marRight w:val="0"/>
          <w:marTop w:val="0"/>
          <w:marBottom w:val="0"/>
          <w:divBdr>
            <w:top w:val="none" w:sz="0" w:space="0" w:color="auto"/>
            <w:left w:val="none" w:sz="0" w:space="0" w:color="auto"/>
            <w:bottom w:val="none" w:sz="0" w:space="0" w:color="auto"/>
            <w:right w:val="none" w:sz="0" w:space="0" w:color="auto"/>
          </w:divBdr>
          <w:divsChild>
            <w:div w:id="1080564678">
              <w:marLeft w:val="0"/>
              <w:marRight w:val="0"/>
              <w:marTop w:val="0"/>
              <w:marBottom w:val="0"/>
              <w:divBdr>
                <w:top w:val="none" w:sz="0" w:space="0" w:color="auto"/>
                <w:left w:val="none" w:sz="0" w:space="0" w:color="auto"/>
                <w:bottom w:val="none" w:sz="0" w:space="0" w:color="auto"/>
                <w:right w:val="none" w:sz="0" w:space="0" w:color="auto"/>
              </w:divBdr>
              <w:divsChild>
                <w:div w:id="335499044">
                  <w:marLeft w:val="0"/>
                  <w:marRight w:val="0"/>
                  <w:marTop w:val="0"/>
                  <w:marBottom w:val="0"/>
                  <w:divBdr>
                    <w:top w:val="none" w:sz="0" w:space="0" w:color="auto"/>
                    <w:left w:val="none" w:sz="0" w:space="0" w:color="auto"/>
                    <w:bottom w:val="none" w:sz="0" w:space="0" w:color="auto"/>
                    <w:right w:val="none" w:sz="0" w:space="0" w:color="auto"/>
                  </w:divBdr>
                  <w:divsChild>
                    <w:div w:id="680663262">
                      <w:marLeft w:val="0"/>
                      <w:marRight w:val="0"/>
                      <w:marTop w:val="0"/>
                      <w:marBottom w:val="0"/>
                      <w:divBdr>
                        <w:top w:val="none" w:sz="0" w:space="0" w:color="auto"/>
                        <w:left w:val="none" w:sz="0" w:space="0" w:color="auto"/>
                        <w:bottom w:val="none" w:sz="0" w:space="0" w:color="auto"/>
                        <w:right w:val="none" w:sz="0" w:space="0" w:color="auto"/>
                      </w:divBdr>
                      <w:divsChild>
                        <w:div w:id="17460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gic/benefit_decision_guide.pdf" TargetMode="External"/><Relationship Id="rId13" Type="http://schemas.openxmlformats.org/officeDocument/2006/relationships/hyperlink" Target="files/retirement/new_member_enrollment_form.pdf" TargetMode="External"/><Relationship Id="rId18" Type="http://schemas.openxmlformats.org/officeDocument/2006/relationships/hyperlink" Target="files/voluntary_savings/comparison_403b_457b.pdf" TargetMode="External"/><Relationship Id="rId26" Type="http://schemas.openxmlformats.org/officeDocument/2006/relationships/hyperlink" Target="files/cobra/group_health_continuation.pdf" TargetMode="External"/><Relationship Id="rId3" Type="http://schemas.microsoft.com/office/2007/relationships/stylesWithEffects" Target="stylesWithEffects.xml"/><Relationship Id="rId21" Type="http://schemas.openxmlformats.org/officeDocument/2006/relationships/hyperlink" Target="files/flyers/tuition_remission_form.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s/gic/flex_spending_enrollment.pdf" TargetMode="External"/><Relationship Id="rId17" Type="http://schemas.openxmlformats.org/officeDocument/2006/relationships/hyperlink" Target="https://mass-smart.gwrs.com/login.do" TargetMode="External"/><Relationship Id="rId25" Type="http://schemas.openxmlformats.org/officeDocument/2006/relationships/hyperlink" Target="files/flyers/veterans_guidelines.pdf"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iles/voluntary_savings/summary_403b.pdf" TargetMode="External"/><Relationship Id="rId20" Type="http://schemas.openxmlformats.org/officeDocument/2006/relationships/hyperlink" Target="files/flyers/tuition_remission_info.pdf" TargetMode="External"/><Relationship Id="rId29" Type="http://schemas.openxmlformats.org/officeDocument/2006/relationships/hyperlink" Target="files/dol/medical_leave.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s/gic/flex_spending_handbook.pdf" TargetMode="External"/><Relationship Id="rId24" Type="http://schemas.openxmlformats.org/officeDocument/2006/relationships/hyperlink" Target="files/flyers/ada_guidelines.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s/retirement/orp_enrollment_guide.pdf" TargetMode="External"/><Relationship Id="rId23" Type="http://schemas.openxmlformats.org/officeDocument/2006/relationships/hyperlink" Target="files/flyers/sexual_harassment_guidelines.pdf" TargetMode="External"/><Relationship Id="rId28" Type="http://schemas.openxmlformats.org/officeDocument/2006/relationships/hyperlink" Target="files/ssa/windfall_elimination.pdf" TargetMode="External"/><Relationship Id="rId10" Type="http://schemas.openxmlformats.org/officeDocument/2006/relationships/hyperlink" Target="files/gic/dependent_enrollment_change_form.pdf" TargetMode="External"/><Relationship Id="rId19" Type="http://schemas.openxmlformats.org/officeDocument/2006/relationships/hyperlink" Target="files/flyers/umass_extras.pdf" TargetMode="External"/><Relationship Id="rId31" Type="http://schemas.openxmlformats.org/officeDocument/2006/relationships/hyperlink" Target="http://www.mass.gov/bb/gaa/fy2011/os_11/h5.htm" TargetMode="External"/><Relationship Id="rId4" Type="http://schemas.openxmlformats.org/officeDocument/2006/relationships/settings" Target="settings.xml"/><Relationship Id="rId9" Type="http://schemas.openxmlformats.org/officeDocument/2006/relationships/hyperlink" Target="files/gic/enrollment_change_form.pdf" TargetMode="External"/><Relationship Id="rId14" Type="http://schemas.openxmlformats.org/officeDocument/2006/relationships/hyperlink" Target="files/retirement/msrb_benefit_guide.pdf" TargetMode="External"/><Relationship Id="rId22" Type="http://schemas.openxmlformats.org/officeDocument/2006/relationships/hyperlink" Target="files/flyers/nondiscrimination_guidelines.pdf" TargetMode="External"/><Relationship Id="rId27" Type="http://schemas.openxmlformats.org/officeDocument/2006/relationships/hyperlink" Target="files/ssa/form_1945.pdf" TargetMode="External"/><Relationship Id="rId30" Type="http://schemas.openxmlformats.org/officeDocument/2006/relationships/hyperlink" Target="files/flyers/library.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UMass Lowell</dc:creator>
  <cp:lastModifiedBy>UMass Lowell</cp:lastModifiedBy>
  <cp:revision>11</cp:revision>
  <dcterms:created xsi:type="dcterms:W3CDTF">2015-12-04T17:15:00Z</dcterms:created>
  <dcterms:modified xsi:type="dcterms:W3CDTF">2016-01-21T16:54:00Z</dcterms:modified>
</cp:coreProperties>
</file>