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245744</wp:posOffset>
                </wp:positionV>
                <wp:extent cx="7315201" cy="1215391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1" cy="1215391"/>
                          <a:chOff x="0" y="0"/>
                          <a:chExt cx="7315200" cy="1215390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0" y="0"/>
                            <a:ext cx="7315201" cy="1129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0" y="1"/>
                            <a:ext cx="7315200" cy="1215390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4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315200,1215391">
                <w10:wrap type="none" side="bothSides" anchorx="page" anchory="page"/>
                <v:shape id="_x0000_s1027" style="position:absolute;left:0;top:0;width:7315200;height:1129665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0;height:1215390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Item 01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Calculo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Item 01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</w:rPr>
                        <w:t xml:space="preserve">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Calculo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8077835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1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</w:rPr>
        <w:br w:type="page"/>
      </w:r>
    </w:p>
    <w:p>
      <w:pPr>
        <w:pStyle w:val="Cuerpo"/>
      </w:pPr>
    </w:p>
    <w:p>
      <w:pPr>
        <w:pStyle w:val="Cuerpo"/>
      </w:pPr>
      <w:r>
        <w:br w:type="page"/>
      </w:r>
    </w:p>
    <w:p>
      <w:pPr>
        <w:pStyle w:val="Cuerpo"/>
        <w:rPr>
          <w:rStyle w:val="Subtítulo Car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"/>
      </w:pPr>
      <w:r>
        <w:rPr>
          <w:rStyle w:val="Subtítulo Car"/>
        </w:rPr>
        <w:fldChar w:fldCharType="begin" w:fldLock="0"/>
      </w:r>
      <w:r>
        <w:rPr>
          <w:rStyle w:val="Subtítulo Car"/>
        </w:rPr>
        <w:instrText xml:space="preserve"> TOC \t "heading 1, 1,heading 2, 2"</w:instrText>
      </w:r>
      <w:r>
        <w:rPr>
          <w:rStyle w:val="Subtítulo Ca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"/>
      </w:pPr>
      <w:r>
        <w:rPr>
          <w:rStyle w:val="Subtítulo Car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</w:rPr>
        <w:t xml:space="preserve">Coste del proyecto </w:t>
      </w:r>
      <w:bookmarkEnd w:id="0"/>
    </w:p>
    <w:p>
      <w:pPr>
        <w:pStyle w:val="Cuerpo"/>
      </w:pPr>
    </w:p>
    <w:p>
      <w:pPr>
        <w:pStyle w:val="Cuerpo"/>
        <w:ind w:left="360" w:firstLine="0"/>
        <w:jc w:val="both"/>
      </w:pPr>
      <w:r>
        <w:rPr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</w:rPr>
        <w:t>Coste de personal</w:t>
      </w:r>
      <w:bookmarkEnd w:id="1"/>
    </w:p>
    <w:p>
      <w:pPr>
        <w:pStyle w:val="Cuerpo"/>
      </w:pPr>
    </w:p>
    <w:p>
      <w:pPr>
        <w:pStyle w:val="Cuerpo"/>
        <w:ind w:left="360" w:firstLine="0"/>
        <w:jc w:val="both"/>
      </w:pPr>
      <w:r>
        <w:rPr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tl w:val="0"/>
          <w:lang w:val="es-ES_tradnl"/>
        </w:rPr>
        <w:t>s el salario.</w:t>
      </w:r>
    </w:p>
    <w:p>
      <w:pPr>
        <w:pStyle w:val="Cuerpo"/>
        <w:ind w:left="360" w:firstLine="0"/>
        <w:jc w:val="both"/>
      </w:pPr>
      <w:r>
        <w:rPr>
          <w:rtl w:val="0"/>
          <w:lang w:val="es-ES_tradnl"/>
        </w:rPr>
        <w:t>Puede consultar el total de horas empleadas para la realizaci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entregadle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"https://projetsii.informatica.us.es/projects/hnf247h7nyaxeppdp3n"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"/>
        <w:ind w:left="360" w:firstLine="0"/>
        <w:jc w:val="both"/>
      </w:pPr>
      <w:r>
        <w:rPr>
          <w:rtl w:val="0"/>
          <w:lang w:val="es-ES_tradnl"/>
        </w:rPr>
        <w:t>El n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 total de horas gastadas en el proyecto son: 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2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05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.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65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horas</w:t>
      </w:r>
      <w:r>
        <w:rPr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1.028,25 euros</w:t>
      </w:r>
      <w:r>
        <w:rPr>
          <w:rtl w:val="0"/>
        </w:rPr>
        <w:t>.</w:t>
      </w:r>
    </w:p>
    <w:p>
      <w:pPr>
        <w:pStyle w:val="Cuerpo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</w:rPr>
        <w:t>Servicios</w:t>
      </w:r>
      <w:bookmarkEnd w:id="2"/>
    </w:p>
    <w:p>
      <w:pPr>
        <w:pStyle w:val="Cuerpo"/>
      </w:pPr>
    </w:p>
    <w:p>
      <w:pPr>
        <w:pStyle w:val="Cuerpo"/>
        <w:ind w:left="360" w:firstLine="0"/>
        <w:jc w:val="both"/>
      </w:pPr>
      <w:r>
        <w:rPr>
          <w:rtl w:val="0"/>
          <w:lang w:val="es-ES_tradnl"/>
        </w:rPr>
        <w:t>Todos los servicios utilizados para la realizaci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este trabajo es software gratuito, tanto las aplicaciones de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usadas (WhatsApp y Hangouts), el sistema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amortizada en su totalidad.</w:t>
      </w:r>
    </w:p>
    <w:p>
      <w:pPr>
        <w:pStyle w:val="Cuerpo"/>
        <w:ind w:left="360" w:firstLine="0"/>
        <w:jc w:val="both"/>
      </w:pPr>
      <w:r>
        <w:rPr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tl w:val="0"/>
          <w:lang w:val="es-ES_tradnl"/>
        </w:rPr>
        <w:t>n a una media de 900 euros por equipo con lo que el valor amortizado para dos semanas de trabajo es: 77,6</w:t>
      </w:r>
      <w:r>
        <w:rPr>
          <w:rtl w:val="0"/>
          <w:lang w:val="en-US"/>
        </w:rPr>
        <w:t>2</w:t>
      </w:r>
      <w:r>
        <w:rPr>
          <w:rtl w:val="0"/>
          <w:lang w:val="es-ES_tradnl"/>
        </w:rPr>
        <w:t xml:space="preserve"> euros (El tiempo de amortizaci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cada equipo es de cuatro a</w:t>
      </w:r>
      <w:r>
        <w:rPr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</w:rPr>
        <w:t>Otros costes</w:t>
      </w:r>
      <w:bookmarkEnd w:id="3"/>
    </w:p>
    <w:p>
      <w:pPr>
        <w:pStyle w:val="Cuerpo"/>
      </w:pPr>
    </w:p>
    <w:p>
      <w:pPr>
        <w:pStyle w:val="Cuerpo"/>
        <w:ind w:left="360" w:firstLine="0"/>
        <w:rPr>
          <w:rStyle w:val="Ninguno"/>
          <w:u w:val="single"/>
        </w:rPr>
      </w:pPr>
      <w:r>
        <w:rPr>
          <w:rtl w:val="0"/>
          <w:lang w:val="pt-PT"/>
        </w:rPr>
        <w:t>No procede.</w:t>
      </w:r>
    </w:p>
    <w:p>
      <w:pPr>
        <w:pStyle w:val="Cuerpo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</w:rPr>
        <w:t>Coste final del proyecto</w:t>
      </w:r>
      <w:bookmarkEnd w:id="4"/>
    </w:p>
    <w:p>
      <w:pPr>
        <w:pStyle w:val="Cuerpo"/>
      </w:pPr>
    </w:p>
    <w:p>
      <w:pPr>
        <w:pStyle w:val="Cuerpo"/>
        <w:ind w:left="360" w:firstLine="0"/>
      </w:pPr>
      <w:r>
        <w:rPr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un importe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1.105,87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18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18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9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9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9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9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0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0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478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