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11" cy="1215402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11" cy="1215402"/>
                          <a:chOff x="-1" y="0"/>
                          <a:chExt cx="7315210" cy="1215401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2" y="-1"/>
                            <a:ext cx="7315211" cy="1129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-1" y="1"/>
                            <a:ext cx="7315207" cy="1215400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10,1215402">
                <w10:wrap type="none" side="bothSides" anchorx="page" anchory="page"/>
                <v:shape id="_x0000_s1027" style="position:absolute;left:-2;top:-1;width:7315210;height:1129676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5;height:1215400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del entrega</w:t>
      </w:r>
      <w:r>
        <w:rPr>
          <w:rStyle w:val="Ninguno"/>
          <w:rtl w:val="0"/>
          <w:lang w:val="en-US"/>
        </w:rPr>
        <w:t>bl</w:t>
      </w:r>
      <w:r>
        <w:rPr>
          <w:rStyle w:val="Ninguno"/>
          <w:rtl w:val="0"/>
          <w:lang w:val="es-ES_tradnl"/>
        </w:rPr>
        <w:t xml:space="preserve">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"https://projetsii.informatica.us.es/projects/2pp679z3krlzwqaxdzk"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171,80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859,00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 xml:space="preserve">n a una media de 900 euros por equipo con lo que el valor amortizado para dos semanas de trabajo es: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62,83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921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,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n-US"/>
        </w:rPr>
        <w:t>3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 xml:space="preserve">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9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