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SWIFTLOG LOGISTICS</w:t>
      </w:r>
    </w:p>
    <w:p>
      <w:pPr>
        <w:pStyle w:val="Title"/>
        <w:jc w:val="center"/>
      </w:pPr>
      <w:r>
        <w:t>Business Intelligence Findings</w:t>
        <w:br/>
        <w:t>&amp; Strategic Recommendations</w:t>
      </w:r>
    </w:p>
    <w:p>
      <w:pPr>
        <w:jc w:val="center"/>
      </w:pPr>
      <w:r>
        <w:t>Supply Chain Analytics &amp; Business Intelligence | Power BI Dashboard Review</w:t>
      </w:r>
    </w:p>
    <w:p>
      <w:r>
        <w:t>This document summarizes the dashboard evidence, business questions, operational findings, and proposed management actions supplied for the SwiftLog Logistics analysis.</w:t>
      </w:r>
    </w:p>
    <w:p>
      <w:pPr>
        <w:pStyle w:val="Heading1"/>
      </w:pPr>
      <w:r>
        <w:t>Executive Summary</w:t>
      </w:r>
    </w:p>
    <w:p>
      <w:r>
        <w:t>The dashboard figures indicate strong revenue contribution from Fashion and Food, a broadly distributed customer revenue base, and significant operational challenges in delivery timeliness, supplier performance, inventory movement, and cancellations. August appears to be the peak month for revenue and shipment activity, while September shows a sharp decline that should be investigated before being interpreted as an operational outage.</w:t>
      </w:r>
    </w:p>
    <w:p>
      <w:pPr>
        <w:pStyle w:val="Heading1"/>
      </w:pPr>
      <w:r>
        <w:t>Part 5 — Business Questions and Dashboard Findings</w:t>
      </w:r>
    </w:p>
    <w:p>
      <w:pPr>
        <w:pStyle w:val="Heading2"/>
      </w:pPr>
      <w:r>
        <w:t>1. Which products generate the highest revenue?</w:t>
      </w:r>
    </w:p>
    <w:p>
      <w:r>
        <w:t>On the Supplier and Product Overview page, the Total Revenue by Category donut chart and Product Breakdown Matrix show:</w:t>
      </w:r>
    </w:p>
    <w:p>
      <w:pPr>
        <w:pStyle w:val="ListBullet"/>
      </w:pPr>
      <w:r>
        <w:t>Fashion: ₦8.06M (37.2%) — highest category revenue.</w:t>
      </w:r>
    </w:p>
    <w:p>
      <w:pPr>
        <w:pStyle w:val="ListBullet"/>
      </w:pPr>
      <w:r>
        <w:t>Food: ₦7.11M (32.83%) — second largest contributor.</w:t>
      </w:r>
    </w:p>
    <w:p>
      <w:pPr>
        <w:pStyle w:val="ListBullet"/>
      </w:pPr>
      <w:r>
        <w:t>Electronics: ₦6.50M (29.98%).</w:t>
      </w:r>
    </w:p>
    <w:p>
      <w:pPr>
        <w:pStyle w:val="ListBullet"/>
      </w:pPr>
      <w:r>
        <w:t>At SKU level, P004 generated ₦153,672.75 from 315 units sold, outperforming lower-price items in total revenue.</w:t>
      </w:r>
    </w:p>
    <w:p>
      <w:pPr>
        <w:spacing w:after="120"/>
      </w:pPr>
      <w:r>
        <w:rPr>
          <w:i/>
          <w:sz w:val="17"/>
        </w:rPr>
        <w:t>Dashboard evidence: Total Revenue by Category donut chart and Product Breakdown Matrix.</w:t>
      </w:r>
    </w:p>
    <w:p>
      <w:pPr>
        <w:pStyle w:val="Heading2"/>
      </w:pPr>
      <w:r>
        <w:t>2. Which customers contribute the highest revenue?</w:t>
      </w:r>
    </w:p>
    <w:p>
      <w:r>
        <w:t>The Customer Analytics Overview page's Top 10 Customer by Revenue chart and table identify:</w:t>
      </w:r>
    </w:p>
    <w:p>
      <w:pPr>
        <w:pStyle w:val="ListBullet"/>
      </w:pPr>
      <w:r>
        <w:t>Customer 263: ₦74,102.56 (0.34% revenue share).</w:t>
      </w:r>
    </w:p>
    <w:p>
      <w:pPr>
        <w:pStyle w:val="ListBullet"/>
      </w:pPr>
      <w:r>
        <w:t>Customer 815: ₦70,176.55 (0.32%).</w:t>
      </w:r>
    </w:p>
    <w:p>
      <w:pPr>
        <w:pStyle w:val="ListBullet"/>
      </w:pPr>
      <w:r>
        <w:t>Customer 512: ₦69,852.45 (0.32%).</w:t>
      </w:r>
    </w:p>
    <w:p>
      <w:pPr>
        <w:pStyle w:val="ListBullet"/>
      </w:pPr>
      <w:r>
        <w:t>Customer 223: ₦69,397.71 (0.32%).</w:t>
      </w:r>
    </w:p>
    <w:p>
      <w:pPr>
        <w:pStyle w:val="ListBullet"/>
      </w:pPr>
      <w:r>
        <w:t>Customer 597: ₦65,424.70 (0.30%).</w:t>
      </w:r>
    </w:p>
    <w:p>
      <w:pPr>
        <w:pStyle w:val="ListBullet"/>
      </w:pPr>
      <w:r>
        <w:t>The largest individual share is reported as 0.34%, suggesting low single-customer revenue concentration. Confirm the calculation and filter context before concluding there is zero account concentration risk.</w:t>
      </w:r>
    </w:p>
    <w:p>
      <w:pPr>
        <w:spacing w:after="120"/>
      </w:pPr>
      <w:r>
        <w:rPr>
          <w:i/>
          <w:sz w:val="17"/>
        </w:rPr>
        <w:t>Dashboard evidence: Top 10 Customer by Revenue bar chart and table.</w:t>
      </w:r>
    </w:p>
    <w:p>
      <w:pPr>
        <w:pStyle w:val="Heading2"/>
      </w:pPr>
      <w:r>
        <w:t>3. Which warehouses operate most efficiently?</w:t>
      </w:r>
    </w:p>
    <w:p>
      <w:r>
        <w:t>The Inventory and Warehouse Overview page shows W12, W02, W11, and W14 among the highest stock-holding warehouses. The shipment page reports Lagos with the highest On-Time Delivery Rate at 38.2%.</w:t>
      </w:r>
    </w:p>
    <w:p>
      <w:pPr>
        <w:pStyle w:val="ListBullet"/>
      </w:pPr>
      <w:r>
        <w:t>W12 is reported to hold the highest inventory volume, near 78K units; this is a stock-holding measure, not proof of inventory or warehouse efficiency.</w:t>
      </w:r>
    </w:p>
    <w:p>
      <w:pPr>
        <w:pStyle w:val="ListBullet"/>
      </w:pPr>
      <w:r>
        <w:t>Lagos has the highest reported on-time delivery rate (38.2%), although the rate remains low overall.</w:t>
      </w:r>
    </w:p>
    <w:p>
      <w:pPr>
        <w:spacing w:after="120"/>
      </w:pPr>
      <w:r>
        <w:rPr>
          <w:i/>
          <w:sz w:val="17"/>
        </w:rPr>
        <w:t>Dashboard evidence: Inventory Stock Level by WarehouseID; On-Time Delivery Rate by location.</w:t>
      </w:r>
    </w:p>
    <w:p>
      <w:pPr>
        <w:pStyle w:val="Heading2"/>
      </w:pPr>
      <w:r>
        <w:t>4. Which suppliers consistently perform well?</w:t>
      </w:r>
    </w:p>
    <w:p>
      <w:r>
        <w:t>The Supplier and Product Overview page's Total Units Sold by ProductID visual is led by:</w:t>
      </w:r>
    </w:p>
    <w:p>
      <w:pPr>
        <w:pStyle w:val="ListBullet"/>
      </w:pPr>
      <w:r>
        <w:t>P245: 416 units.</w:t>
      </w:r>
    </w:p>
    <w:p>
      <w:pPr>
        <w:pStyle w:val="ListBullet"/>
      </w:pPr>
      <w:r>
        <w:t>P130: 416 units.</w:t>
      </w:r>
    </w:p>
    <w:p>
      <w:pPr>
        <w:pStyle w:val="ListBullet"/>
      </w:pPr>
      <w:r>
        <w:t>P007: 375 units.</w:t>
      </w:r>
    </w:p>
    <w:p>
      <w:pPr>
        <w:pStyle w:val="ListBullet"/>
      </w:pPr>
      <w:r>
        <w:t>The dashboard reports an overall Supplier Performance Rate KPI of 12.22%. High product sales alone do not establish supplier performance or replenishment consistency. Supplier-level conclusions require a verified supplier-to-product or supplier-to-shipment relationship and a documented score definition.</w:t>
      </w:r>
    </w:p>
    <w:p>
      <w:pPr>
        <w:spacing w:after="120"/>
      </w:pPr>
      <w:r>
        <w:rPr>
          <w:i/>
          <w:sz w:val="17"/>
        </w:rPr>
        <w:t>Dashboard evidence: Total Units Sold by ProductID and Supplier Performance Rate KPI.</w:t>
      </w:r>
    </w:p>
    <w:p>
      <w:pPr>
        <w:pStyle w:val="Heading2"/>
      </w:pPr>
      <w:r>
        <w:t>5. Which products have the highest return rates?</w:t>
      </w:r>
    </w:p>
    <w:p>
      <w:r>
        <w:t>The Supplier and Product Overview page reports an overall Return Rate KPI of 9.46%. Return reasons are shown as:</w:t>
      </w:r>
    </w:p>
    <w:p>
      <w:pPr>
        <w:pStyle w:val="ListBullet"/>
      </w:pPr>
      <w:r>
        <w:t>Late Delivery: 185 returns (37.0%); reported as the largest reason.</w:t>
      </w:r>
    </w:p>
    <w:p>
      <w:pPr>
        <w:pStyle w:val="ListBullet"/>
      </w:pPr>
      <w:r>
        <w:t>Damaged Goods: 163 returns (32.6%).</w:t>
      </w:r>
    </w:p>
    <w:p>
      <w:pPr>
        <w:pStyle w:val="ListBullet"/>
      </w:pPr>
      <w:r>
        <w:t>Wrong Item: 152 returns (30.4%).</w:t>
      </w:r>
    </w:p>
    <w:p>
      <w:pPr>
        <w:pStyle w:val="ListBullet"/>
      </w:pPr>
      <w:r>
        <w:t>The supplied product-level matrix notes Late Delivery at 3.64%, Wrong Item at 3.24%, and Damaged Goods at 3.02%. These figures should be checked against the underlying definitions and product-level filters before naming products with the highest return rates.</w:t>
      </w:r>
    </w:p>
    <w:p>
      <w:pPr>
        <w:spacing w:after="120"/>
      </w:pPr>
      <w:r>
        <w:rPr>
          <w:i/>
          <w:sz w:val="17"/>
        </w:rPr>
        <w:t>Dashboard evidence: Return Rate KPI, detailed matrix, and Total Return Reason donut chart.</w:t>
      </w:r>
    </w:p>
    <w:p>
      <w:pPr>
        <w:pStyle w:val="Heading2"/>
      </w:pPr>
      <w:r>
        <w:t>6. Which regions experience the most delayed deliveries?</w:t>
      </w:r>
    </w:p>
    <w:p>
      <w:r>
        <w:t>The Shipment and Delivery Performance page reports the following delayed shipment volumes:</w:t>
      </w:r>
    </w:p>
    <w:p>
      <w:pPr>
        <w:pStyle w:val="ListBullet"/>
      </w:pPr>
      <w:r>
        <w:t>Kano: over 1,150 delayed shipments — highest volume.</w:t>
      </w:r>
    </w:p>
    <w:p>
      <w:pPr>
        <w:pStyle w:val="ListBullet"/>
      </w:pPr>
      <w:r>
        <w:t>Lagos: approximately 1,100.</w:t>
      </w:r>
    </w:p>
    <w:p>
      <w:pPr>
        <w:pStyle w:val="ListBullet"/>
      </w:pPr>
      <w:r>
        <w:t>Ibadan: approximately 1,080.</w:t>
      </w:r>
    </w:p>
    <w:p>
      <w:pPr>
        <w:pStyle w:val="ListBullet"/>
      </w:pPr>
      <w:r>
        <w:t>Abuja: approximately 1,050.</w:t>
      </w:r>
    </w:p>
    <w:p>
      <w:pPr>
        <w:pStyle w:val="ListBullet"/>
      </w:pPr>
      <w:r>
        <w:t>Kano has the lowest reported On-Time Delivery Rate (about 34.5%); Lagos leads at about 38.2%. Delay counts and on-time percentages should be interpreted alongside shipment volume.</w:t>
      </w:r>
    </w:p>
    <w:p>
      <w:pPr>
        <w:spacing w:after="120"/>
      </w:pPr>
      <w:r>
        <w:rPr>
          <w:i/>
          <w:sz w:val="17"/>
        </w:rPr>
        <w:t>Dashboard evidence: Delayed Shipments by City and On-Time Delivery Rate.</w:t>
      </w:r>
    </w:p>
    <w:p>
      <w:pPr>
        <w:pStyle w:val="Heading2"/>
      </w:pPr>
      <w:r>
        <w:t>7. Which months record peak business activity?</w:t>
      </w:r>
    </w:p>
    <w:p>
      <w:r>
        <w:t>The Executive Dashboard Overview and Shipment Performance pages identify August as the peak month:</w:t>
      </w:r>
    </w:p>
    <w:p>
      <w:pPr>
        <w:pStyle w:val="ListBullet"/>
      </w:pPr>
      <w:r>
        <w:t>August: revenue approaching ₦2.8M and shipment volume around 650.</w:t>
      </w:r>
    </w:p>
    <w:p>
      <w:pPr>
        <w:pStyle w:val="ListBullet"/>
      </w:pPr>
      <w:r>
        <w:t>March and May: secondary shipment peaks of about 600 each.</w:t>
      </w:r>
    </w:p>
    <w:p>
      <w:pPr>
        <w:pStyle w:val="ListBullet"/>
      </w:pPr>
      <w:r>
        <w:t>September: shipments fall to around 180 and revenue below ₦1M. Investigate data completeness, reporting coverage, seasonality, and operational events before attributing this drop to an outage.</w:t>
      </w:r>
    </w:p>
    <w:p>
      <w:pPr>
        <w:spacing w:after="120"/>
      </w:pPr>
      <w:r>
        <w:rPr>
          <w:i/>
          <w:sz w:val="17"/>
        </w:rPr>
        <w:t>Dashboard evidence: Monthly Revenue over Time and Total Shipments by Month.</w:t>
      </w:r>
    </w:p>
    <w:p>
      <w:pPr>
        <w:pStyle w:val="Heading2"/>
      </w:pPr>
      <w:r>
        <w:t>8. Which KPIs require immediate management attention?</w:t>
      </w:r>
    </w:p>
    <w:p>
      <w:r>
        <w:t>The supplied dashboard reports these indicators for review:</w:t>
      </w:r>
    </w:p>
    <w:p>
      <w:pPr>
        <w:pStyle w:val="ListBullet"/>
      </w:pPr>
      <w:r>
        <w:t>On-Time Delivery Rate: 36.28%; 4,389 of 5,000 shipments reportedly delayed (87.78%); average delay 3.57 days.</w:t>
      </w:r>
    </w:p>
    <w:p>
      <w:pPr>
        <w:pStyle w:val="ListBullet"/>
      </w:pPr>
      <w:r>
        <w:t>Supplier Performance Rate: 12.22%; review its definition, data lineage, and supplier mapping.</w:t>
      </w:r>
    </w:p>
    <w:p>
      <w:pPr>
        <w:pStyle w:val="ListBullet"/>
      </w:pPr>
      <w:r>
        <w:t>Inventory Turnover Ratio: 0.02; reported stock is 1.01M units against 82.4K units sold. Validate the turnover formula, time period, and inventory valuation basis.</w:t>
      </w:r>
    </w:p>
    <w:p>
      <w:pPr>
        <w:pStyle w:val="ListBullet"/>
      </w:pPr>
      <w:r>
        <w:t>Cancelled Order Revenue: ₦7.23M (33.36%); confirm the revenue denominator and cancellation status logic.</w:t>
      </w:r>
    </w:p>
    <w:p>
      <w:pPr>
        <w:spacing w:after="120"/>
      </w:pPr>
      <w:r>
        <w:rPr>
          <w:i/>
          <w:sz w:val="17"/>
        </w:rPr>
        <w:t>Dashboard evidence: KPI cards for delivery, supplier performance, inventory turnover, and cancelled order revenue.</w:t>
      </w:r>
    </w:p>
    <w:p>
      <w:pPr>
        <w:pStyle w:val="Heading2"/>
      </w:pPr>
      <w:r>
        <w:t>9. What operational inefficiencies were identified?</w:t>
      </w:r>
    </w:p>
    <w:p>
      <w:r>
        <w:t>The dashboard points to several areas for investigation:</w:t>
      </w:r>
    </w:p>
    <w:p>
      <w:pPr>
        <w:pStyle w:val="ListBullet"/>
      </w:pPr>
      <w:r>
        <w:t>Potential excess or slow-moving inventory: 1.01M units held versus 82.4K units sold; holding costs cannot be confirmed without cost and time data.</w:t>
      </w:r>
    </w:p>
    <w:p>
      <w:pPr>
        <w:pStyle w:val="ListBullet"/>
      </w:pPr>
      <w:r>
        <w:t>Delivery bottlenecks: 4,389 of 5,000 shipments are reported delayed.</w:t>
      </w:r>
    </w:p>
    <w:p>
      <w:pPr>
        <w:pStyle w:val="ListBullet"/>
      </w:pPr>
      <w:r>
        <w:t>Order cancellations: ₦7.23M (33.36%) of revenue is reported as cancelled.</w:t>
      </w:r>
    </w:p>
    <w:p>
      <w:pPr>
        <w:pStyle w:val="ListBullet"/>
      </w:pPr>
      <w:r>
        <w:t>Returns: Damaged Goods (32.6%) and Wrong Item (30.4%) indicate potential packaging, picking, or quality-control issues; validate reasons and process ownership.</w:t>
      </w:r>
    </w:p>
    <w:p>
      <w:pPr>
        <w:spacing w:after="120"/>
      </w:pPr>
      <w:r>
        <w:rPr>
          <w:i/>
          <w:sz w:val="17"/>
        </w:rPr>
        <w:t>Dashboard evidence: Inventory, Shipment Performance, Cancellation, and Return Reason visuals.</w:t>
      </w:r>
    </w:p>
    <w:p>
      <w:pPr>
        <w:pStyle w:val="Heading2"/>
      </w:pPr>
      <w:r>
        <w:t>10. What business opportunities should SwiftLog pursue?</w:t>
      </w:r>
    </w:p>
    <w:p>
      <w:r>
        <w:t>The supplied analysis identifies these opportunities:</w:t>
      </w:r>
    </w:p>
    <w:p>
      <w:pPr>
        <w:pStyle w:val="ListBullet"/>
      </w:pPr>
      <w:r>
        <w:t>Customer retention: reported repeat customer rate of 95.96% (951 of 1,000) and order frequency of 5.0 orders/customer. Explore VIP or subscription delivery offers after validating cohort and time-period definitions.</w:t>
      </w:r>
    </w:p>
    <w:p>
      <w:pPr>
        <w:pStyle w:val="ListBullet"/>
      </w:pPr>
      <w:r>
        <w:t>Category growth: Fashion and Food contribute a reported 70.03% of revenue (₦15.17M combined); assess margins, stock availability, and demand before expanding assortment.</w:t>
      </w:r>
    </w:p>
    <w:p>
      <w:pPr>
        <w:pStyle w:val="ListBullet"/>
      </w:pPr>
      <w:r>
        <w:t>Northern logistics: Kano reportedly contributes 26.2% of customer revenue / 253 customers but has the lowest on-time rate. Investigate route, capacity, and dispatch constraints.</w:t>
      </w:r>
    </w:p>
    <w:p>
      <w:pPr>
        <w:spacing w:after="120"/>
      </w:pPr>
      <w:r>
        <w:rPr>
          <w:i/>
          <w:sz w:val="17"/>
        </w:rPr>
        <w:t>Dashboard evidence: Customer Analytics, Category Revenue, and Delivery Performance pages.</w:t>
      </w:r>
    </w:p>
    <w:p>
      <w:pPr>
        <w:pStyle w:val="Heading1"/>
      </w:pPr>
      <w:r>
        <w:t>Part 6 — Strategic Roadmap</w:t>
      </w:r>
    </w:p>
    <w:p>
      <w:r>
        <w:t>The targets below are proposed management targets from the supplied project notes, not validated commitments or forecasts.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pPr>
              <w:spacing w:after="0"/>
            </w:pPr>
            <w:r/>
            <w:r>
              <w:rPr>
                <w:b/>
                <w:color w:val="FFFFFF"/>
                <w:sz w:val="18"/>
              </w:rPr>
              <w:t>Focus Area</w:t>
            </w:r>
          </w:p>
        </w:tc>
        <w:tc>
          <w:tcPr>
            <w:tcW w:type="dxa" w:w="3360"/>
            <w:vAlign w:val="center"/>
            <w:shd w:fill="1F4E79"/>
          </w:tcPr>
          <w:p>
            <w:pPr>
              <w:spacing w:after="0"/>
            </w:pPr>
            <w:r/>
            <w:r>
              <w:rPr>
                <w:b/>
                <w:color w:val="FFFFFF"/>
                <w:sz w:val="18"/>
              </w:rPr>
              <w:t>Target KPI / Metric</w:t>
            </w:r>
          </w:p>
        </w:tc>
        <w:tc>
          <w:tcPr>
            <w:tcW w:type="dxa" w:w="3360"/>
            <w:vAlign w:val="center"/>
            <w:shd w:fill="1F4E79"/>
          </w:tcPr>
          <w:p>
            <w:pPr>
              <w:spacing w:after="0"/>
            </w:pPr>
            <w:r/>
            <w:r>
              <w:rPr>
                <w:b/>
                <w:color w:val="FFFFFF"/>
                <w:sz w:val="18"/>
              </w:rPr>
              <w:t>Strategic Initiative</w:t>
            </w:r>
          </w:p>
        </w:tc>
      </w:tr>
      <w:tr>
        <w:tc>
          <w:tcPr>
            <w:tcW w:type="dxa" w:w="3360"/>
            <w:vAlign w:val="center"/>
          </w:tcPr>
          <w:p>
            <w:pPr>
              <w:spacing w:after="0"/>
            </w:pPr>
            <w:r/>
            <w:r>
              <w:rPr>
                <w:b w:val="0"/>
                <w:sz w:val="17"/>
              </w:rPr>
              <w:t>Delivery Optimization</w:t>
            </w:r>
          </w:p>
        </w:tc>
        <w:tc>
          <w:tcPr>
            <w:tcW w:type="dxa" w:w="3360"/>
            <w:vAlign w:val="center"/>
          </w:tcPr>
          <w:p>
            <w:pPr>
              <w:spacing w:after="0"/>
            </w:pPr>
            <w:r/>
            <w:r>
              <w:rPr>
                <w:b w:val="0"/>
                <w:sz w:val="17"/>
              </w:rPr>
              <w:t>On-Time Rate: 36.28% → 75.0%</w:t>
            </w:r>
          </w:p>
        </w:tc>
        <w:tc>
          <w:tcPr>
            <w:tcW w:type="dxa" w:w="3360"/>
            <w:vAlign w:val="center"/>
          </w:tcPr>
          <w:p>
            <w:pPr>
              <w:spacing w:after="0"/>
            </w:pPr>
            <w:r/>
            <w:r>
              <w:rPr>
                <w:b w:val="0"/>
                <w:sz w:val="17"/>
              </w:rPr>
              <w:t>Route planning and exception monitoring</w:t>
            </w:r>
          </w:p>
        </w:tc>
      </w:tr>
      <w:tr>
        <w:tc>
          <w:tcPr>
            <w:tcW w:type="dxa" w:w="3360"/>
            <w:vAlign w:val="center"/>
          </w:tcPr>
          <w:p>
            <w:pPr>
              <w:spacing w:after="0"/>
            </w:pPr>
            <w:r/>
            <w:r>
              <w:rPr>
                <w:b w:val="0"/>
                <w:sz w:val="17"/>
              </w:rPr>
              <w:t>Inventory Management</w:t>
            </w:r>
          </w:p>
        </w:tc>
        <w:tc>
          <w:tcPr>
            <w:tcW w:type="dxa" w:w="3360"/>
            <w:vAlign w:val="center"/>
          </w:tcPr>
          <w:p>
            <w:pPr>
              <w:spacing w:after="0"/>
            </w:pPr>
            <w:r/>
            <w:r>
              <w:rPr>
                <w:b w:val="0"/>
                <w:sz w:val="17"/>
              </w:rPr>
              <w:t>Turnover Ratio: 0.02 → 0.25</w:t>
            </w:r>
          </w:p>
        </w:tc>
        <w:tc>
          <w:tcPr>
            <w:tcW w:type="dxa" w:w="3360"/>
            <w:vAlign w:val="center"/>
          </w:tcPr>
          <w:p>
            <w:pPr>
              <w:spacing w:after="0"/>
            </w:pPr>
            <w:r/>
            <w:r>
              <w:rPr>
                <w:b w:val="0"/>
                <w:sz w:val="17"/>
              </w:rPr>
              <w:t>Review reorder points; rebalance slow-moving stock</w:t>
            </w:r>
          </w:p>
        </w:tc>
      </w:tr>
      <w:tr>
        <w:tc>
          <w:tcPr>
            <w:tcW w:type="dxa" w:w="3360"/>
            <w:vAlign w:val="center"/>
          </w:tcPr>
          <w:p>
            <w:pPr>
              <w:spacing w:after="0"/>
            </w:pPr>
            <w:r/>
            <w:r>
              <w:rPr>
                <w:b w:val="0"/>
                <w:sz w:val="17"/>
              </w:rPr>
              <w:t>Warehouse Efficiency</w:t>
            </w:r>
          </w:p>
        </w:tc>
        <w:tc>
          <w:tcPr>
            <w:tcW w:type="dxa" w:w="3360"/>
            <w:vAlign w:val="center"/>
          </w:tcPr>
          <w:p>
            <w:pPr>
              <w:spacing w:after="0"/>
            </w:pPr>
            <w:r/>
            <w:r>
              <w:rPr>
                <w:b w:val="0"/>
                <w:sz w:val="17"/>
              </w:rPr>
              <w:t>Optimize reported 1.01M stock units</w:t>
            </w:r>
          </w:p>
        </w:tc>
        <w:tc>
          <w:tcPr>
            <w:tcW w:type="dxa" w:w="3360"/>
            <w:vAlign w:val="center"/>
          </w:tcPr>
          <w:p>
            <w:pPr>
              <w:spacing w:after="0"/>
            </w:pPr>
            <w:r/>
            <w:r>
              <w:rPr>
                <w:b w:val="0"/>
                <w:sz w:val="17"/>
              </w:rPr>
              <w:t>Warehouse management and batch-picking review</w:t>
            </w:r>
          </w:p>
        </w:tc>
      </w:tr>
      <w:tr>
        <w:tc>
          <w:tcPr>
            <w:tcW w:type="dxa" w:w="3360"/>
            <w:vAlign w:val="center"/>
          </w:tcPr>
          <w:p>
            <w:pPr>
              <w:spacing w:after="0"/>
            </w:pPr>
            <w:r/>
            <w:r>
              <w:rPr>
                <w:b w:val="0"/>
                <w:sz w:val="17"/>
              </w:rPr>
              <w:t>Supplier Improvement</w:t>
            </w:r>
          </w:p>
        </w:tc>
        <w:tc>
          <w:tcPr>
            <w:tcW w:type="dxa" w:w="3360"/>
            <w:vAlign w:val="center"/>
          </w:tcPr>
          <w:p>
            <w:pPr>
              <w:spacing w:after="0"/>
            </w:pPr>
            <w:r/>
            <w:r>
              <w:rPr>
                <w:b w:val="0"/>
                <w:sz w:val="17"/>
              </w:rPr>
              <w:t>Supplier Performance Rate: 12.22% → 60.0%</w:t>
            </w:r>
          </w:p>
        </w:tc>
        <w:tc>
          <w:tcPr>
            <w:tcW w:type="dxa" w:w="3360"/>
            <w:vAlign w:val="center"/>
          </w:tcPr>
          <w:p>
            <w:pPr>
              <w:spacing w:after="0"/>
            </w:pPr>
            <w:r/>
            <w:r>
              <w:rPr>
                <w:b w:val="0"/>
                <w:sz w:val="17"/>
              </w:rPr>
              <w:t>Define score, verify supplier links, and audit SLAs</w:t>
            </w:r>
          </w:p>
        </w:tc>
      </w:tr>
      <w:tr>
        <w:tc>
          <w:tcPr>
            <w:tcW w:type="dxa" w:w="3360"/>
            <w:vAlign w:val="center"/>
          </w:tcPr>
          <w:p>
            <w:pPr>
              <w:spacing w:after="0"/>
            </w:pPr>
            <w:r/>
            <w:r>
              <w:rPr>
                <w:b w:val="0"/>
                <w:sz w:val="17"/>
              </w:rPr>
              <w:t>Customer Retention</w:t>
            </w:r>
          </w:p>
        </w:tc>
        <w:tc>
          <w:tcPr>
            <w:tcW w:type="dxa" w:w="3360"/>
            <w:vAlign w:val="center"/>
          </w:tcPr>
          <w:p>
            <w:pPr>
              <w:spacing w:after="0"/>
            </w:pPr>
            <w:r/>
            <w:r>
              <w:rPr>
                <w:b w:val="0"/>
                <w:sz w:val="17"/>
              </w:rPr>
              <w:t>AOV: ₦4.33K → ₦5.50K</w:t>
            </w:r>
          </w:p>
        </w:tc>
        <w:tc>
          <w:tcPr>
            <w:tcW w:type="dxa" w:w="3360"/>
            <w:vAlign w:val="center"/>
          </w:tcPr>
          <w:p>
            <w:pPr>
              <w:spacing w:after="0"/>
            </w:pPr>
            <w:r/>
            <w:r>
              <w:rPr>
                <w:b w:val="0"/>
                <w:sz w:val="17"/>
              </w:rPr>
              <w:t>Test tiered loyalty and VIP delivery offers</w:t>
            </w:r>
          </w:p>
        </w:tc>
      </w:tr>
    </w:tbl>
    <w:p>
      <w:pPr>
        <w:pStyle w:val="Heading1"/>
      </w:pPr>
      <w:r>
        <w:t>Data Governance and Interpretation Notes</w:t>
      </w:r>
    </w:p>
    <w:p>
      <w:pPr>
        <w:pStyle w:val="ListBullet"/>
      </w:pPr>
      <w:r>
        <w:t>Figures and dashboard interpretations in this document were supplied by the project analyst and have not been independently recalculated from the source data.</w:t>
      </w:r>
    </w:p>
    <w:p>
      <w:pPr>
        <w:pStyle w:val="ListBullet"/>
      </w:pPr>
      <w:r>
        <w:t>Supplier performance conclusions require supplier identifiers connected to products, orders, or shipments, plus a documented KPI formula.</w:t>
      </w:r>
    </w:p>
    <w:p>
      <w:pPr>
        <w:pStyle w:val="ListBullet"/>
      </w:pPr>
      <w:r>
        <w:t>Inventory turnover requires a clear definition, appropriate cost/valuation data, and a comparable period. Unit counts alone may not represent turnover.</w:t>
      </w:r>
    </w:p>
    <w:p>
      <w:pPr>
        <w:pStyle w:val="ListBullet"/>
      </w:pPr>
      <w:r>
        <w:t>Warehouse stock volume or shipment volume should not automatically be described as efficiency; efficiency requires a denominator, target, or service/cost measure.</w:t>
      </w:r>
    </w:p>
    <w:p>
      <w:pPr>
        <w:pStyle w:val="ListBullet"/>
      </w:pPr>
      <w:r>
        <w:t>Check all percentages, totals, date filters, cancellation logic, return-rate definitions, and customer revenue-share calculations against the Power BI model before final presentation.</w:t>
      </w:r>
    </w:p>
    <w:p>
      <w:pPr>
        <w:pStyle w:val="ListBullet"/>
      </w:pPr>
      <w:r>
        <w:t>Treat the September decline as an investigation point, not a confirmed outage, until data completeness and operational records are checked.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SwiftLog Logistics | Business Intelligence Findings &amp; Strategic Recommendations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