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left"/>
      </w:pPr>
      <w:r>
        <w:rPr>
          <w:rFonts w:ascii="Aptos" w:hAnsi="Aptos"/>
          <w:b/>
          <w:sz w:val="44"/>
        </w:rPr>
        <w:t>Manual breve de la base de datos CMR</w:t>
      </w:r>
    </w:p>
    <w:p>
      <w:pPr>
        <w:spacing w:after="240" w:line="276" w:lineRule="auto"/>
      </w:pPr>
      <w:r>
        <w:rPr>
          <w:rFonts w:ascii="Aptos" w:hAnsi="Aptos"/>
          <w:b w:val="0"/>
          <w:color w:val="505050"/>
          <w:sz w:val="21"/>
        </w:rPr>
        <w:t>Guía simple para entender qué información guarda el sistema y cómo usarla.</w:t>
      </w:r>
    </w:p>
    <w:p>
      <w:pPr>
        <w:pStyle w:val="Heading1"/>
        <w:spacing w:before="240" w:after="100"/>
      </w:pPr>
      <w:r>
        <w:rPr>
          <w:rFonts w:ascii="Aptos" w:hAnsi="Aptos"/>
          <w:b/>
          <w:sz w:val="28"/>
        </w:rPr>
        <w:t>Para qué sirve</w:t>
      </w:r>
    </w:p>
    <w:p>
      <w:pPr>
        <w:spacing w:after="100" w:line="276" w:lineRule="auto"/>
      </w:pPr>
      <w:r>
        <w:rPr>
          <w:rFonts w:ascii="Aptos" w:hAnsi="Aptos"/>
          <w:b w:val="0"/>
          <w:sz w:val="21"/>
        </w:rPr>
        <w:t>La base de datos es la memoria del CRM. Guarda propiedades, contactos, consultas, visitas, usuarios y ubicaciones. El panel es la forma segura de cargar y consultar esa información; no hace falta editar tablas directamente.</w:t>
      </w:r>
    </w:p>
    <w:p>
      <w:pPr>
        <w:pStyle w:val="Heading1"/>
        <w:spacing w:before="240" w:after="100"/>
      </w:pPr>
      <w:r>
        <w:rPr>
          <w:rFonts w:ascii="Aptos" w:hAnsi="Aptos"/>
          <w:b/>
          <w:sz w:val="28"/>
        </w:rPr>
        <w:t>Las partes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552"/>
      </w:tblGrid>
      <w:tr>
        <w:tc>
          <w:tcPr>
            <w:tcW w:type="dxa" w:w="5083"/>
            <w:shd w:fill="1F4E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9"/>
              </w:rPr>
              <w:t>Tabla o grupo</w:t>
            </w:r>
          </w:p>
        </w:tc>
        <w:tc>
          <w:tcPr>
            <w:tcW w:type="dxa" w:w="5083"/>
            <w:shd w:fill="1F4E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9"/>
              </w:rPr>
              <w:t>Para qué sirve y cómo se usa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/>
                <w:sz w:val="19"/>
              </w:rPr>
              <w:t>usuarios y empresas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Guarda quién entra al panel, su rol y los datos de la inmobiliaria. Se usa para controlar accesos y mostrar la información correcta.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/>
                <w:sz w:val="19"/>
              </w:rPr>
              <w:t>propiedades y operaciones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 w:val="0"/>
                <w:sz w:val="19"/>
              </w:rPr>
              <w:t>Cada propiedad tiene su ficha. Las operaciones indican si está en venta, alquiler o alquiler temporal, con su precio y estado.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/>
                <w:sz w:val="19"/>
              </w:rPr>
              <w:t>tipos_propiedad y caracteristicas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Son las opciones reutilizables: casa, departamento, pileta, cochera, servicios y otros datos que sirven para filtrar.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/>
                <w:sz w:val="19"/>
              </w:rPr>
              <w:t>imagenes_propiedad y videos_propiedad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 w:val="0"/>
                <w:sz w:val="19"/>
              </w:rPr>
              <w:t>Guarda los archivos y enlaces que se muestran en la ficha pública de cada propiedad.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/>
                <w:sz w:val="19"/>
              </w:rPr>
              <w:t>consultas, tasaciones y visitas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Registra el seguimiento comercial: consultas recibidas, pedidos de tasación, visitas y sus resultados.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/>
                <w:sz w:val="19"/>
              </w:rPr>
              <w:t>ubicaciones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 w:val="0"/>
                <w:sz w:val="19"/>
              </w:rPr>
              <w:t>Es el árbol de lugares de Argentina que se usa al cargar una propiedad. Evita escribir una localidad o barrio de forma distinta cada vez.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/>
          <w:b/>
          <w:sz w:val="28"/>
        </w:rPr>
        <w:t>Cómo funciona Ubicaciones</w:t>
      </w:r>
    </w:p>
    <w:p>
      <w:pPr>
        <w:spacing w:after="100" w:line="276" w:lineRule="auto"/>
      </w:pPr>
      <w:r>
        <w:rPr>
          <w:rFonts w:ascii="Aptos" w:hAnsi="Aptos"/>
          <w:b w:val="0"/>
          <w:sz w:val="21"/>
        </w:rPr>
        <w:t>Las ubicaciones se organizan como un árbol. Cada lugar pertenece a otro lugar superior. Por ejemplo: Argentina, Buenos Aires, Partido de Tigre, Municipio de Tigre, Benavídez, Nordelta y un subbarrio.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552"/>
      </w:tblGrid>
      <w:tr>
        <w:tc>
          <w:tcPr>
            <w:tcW w:type="dxa" w:w="5083"/>
            <w:shd w:fill="1F4E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9"/>
              </w:rPr>
              <w:t>Tabla o grupo</w:t>
            </w:r>
          </w:p>
        </w:tc>
        <w:tc>
          <w:tcPr>
            <w:tcW w:type="dxa" w:w="5083"/>
            <w:shd w:fill="1F4E4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9"/>
              </w:rPr>
              <w:t>Para qué sirve y cómo se usa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/>
                <w:sz w:val="19"/>
              </w:rPr>
              <w:t>tipos_ubicacion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Define qué clase de lugar es cada registro: país, provincia, zona comercial, partido, departamento, comuna, municipio, localidad, barrio o subbarrio.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/>
                <w:sz w:val="19"/>
              </w:rPr>
              <w:t>ubicaciones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F4F8F7"/>
          </w:tcPr>
          <w:p>
            <w:r>
              <w:rPr>
                <w:rFonts w:ascii="Aptos" w:hAnsi="Aptos"/>
                <w:b w:val="0"/>
                <w:sz w:val="19"/>
              </w:rPr>
              <w:t>Contiene los nombres reales. La ubicación padre indica de qué lugar depende. También guarda si el dato vino de Georef o fue creado en el CRM.</w:t>
            </w:r>
          </w:p>
        </w:tc>
      </w:tr>
      <w:tr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/>
                <w:sz w:val="19"/>
              </w:rPr>
              <w:t>reglas_tipos_ubicacion</w:t>
            </w:r>
          </w:p>
        </w:tc>
        <w:tc>
          <w:tcPr>
            <w:tcW w:type="dxa" w:w="65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19"/>
              </w:rPr>
              <w:t>Marca qué combinaciones están permitidas. Así se evita crear, por ejemplo, una provincia dentro de un barrio.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</w:pPr>
      <w:r>
        <w:rPr>
          <w:rFonts w:ascii="Aptos" w:hAnsi="Aptos"/>
          <w:b/>
          <w:sz w:val="28"/>
        </w:rPr>
        <w:t>Uso diario recomendado</w:t>
      </w:r>
    </w:p>
    <w:p>
      <w:pPr>
        <w:spacing w:after="60" w:line="276" w:lineRule="auto"/>
        <w:ind w:left="115"/>
      </w:pPr>
      <w:r>
        <w:rPr>
          <w:rFonts w:ascii="Aptos" w:hAnsi="Aptos"/>
          <w:b w:val="0"/>
          <w:sz w:val="21"/>
        </w:rPr>
        <w:t>1. Al cargar una propiedad, buscá y elegí la ubicación más específica que ya exista.</w:t>
      </w:r>
    </w:p>
    <w:p>
      <w:pPr>
        <w:spacing w:after="60" w:line="276" w:lineRule="auto"/>
        <w:ind w:left="115"/>
      </w:pPr>
      <w:r>
        <w:rPr>
          <w:rFonts w:ascii="Aptos" w:hAnsi="Aptos"/>
          <w:b w:val="0"/>
          <w:sz w:val="21"/>
        </w:rPr>
        <w:t>2. Si falta un barrio o subbarrio, entrá a su lugar padre desde Ubicaciones y agregalo allí.</w:t>
      </w:r>
    </w:p>
    <w:p>
      <w:pPr>
        <w:spacing w:after="60" w:line="276" w:lineRule="auto"/>
        <w:ind w:left="115"/>
      </w:pPr>
      <w:r>
        <w:rPr>
          <w:rFonts w:ascii="Aptos" w:hAnsi="Aptos"/>
          <w:b w:val="0"/>
          <w:sz w:val="21"/>
        </w:rPr>
        <w:t>3. No dupliques nombres parecidos. Antes de crear, usá el buscador.</w:t>
      </w:r>
    </w:p>
    <w:p>
      <w:pPr>
        <w:spacing w:after="60" w:line="276" w:lineRule="auto"/>
        <w:ind w:left="115"/>
      </w:pPr>
      <w:r>
        <w:rPr>
          <w:rFonts w:ascii="Aptos" w:hAnsi="Aptos"/>
          <w:b w:val="0"/>
          <w:sz w:val="21"/>
        </w:rPr>
        <w:t>4. Las provincias, departamentos, municipios y localidades de Georef son datos oficiales. No hace falta volver a cargarlos a mano.</w:t>
      </w:r>
    </w:p>
    <w:p>
      <w:pPr>
        <w:spacing w:after="60" w:line="276" w:lineRule="auto"/>
        <w:ind w:left="115"/>
      </w:pPr>
      <w:r>
        <w:rPr>
          <w:rFonts w:ascii="Aptos" w:hAnsi="Aptos"/>
          <w:b w:val="0"/>
          <w:sz w:val="21"/>
        </w:rPr>
        <w:t>5. Si una ubicación ya se usa en propiedades, conviene desactivarla antes que eliminarla.</w:t>
      </w:r>
    </w:p>
    <w:p>
      <w:pPr>
        <w:pStyle w:val="Heading1"/>
        <w:spacing w:before="240" w:after="100"/>
      </w:pPr>
      <w:r>
        <w:rPr>
          <w:rFonts w:ascii="Aptos" w:hAnsi="Aptos"/>
          <w:b/>
          <w:sz w:val="28"/>
        </w:rPr>
        <w:t>Tablas técnicas</w:t>
      </w:r>
    </w:p>
    <w:p>
      <w:pPr>
        <w:spacing w:after="100" w:line="276" w:lineRule="auto"/>
      </w:pPr>
      <w:r>
        <w:rPr>
          <w:rFonts w:ascii="Aptos" w:hAnsi="Aptos"/>
          <w:b w:val="0"/>
          <w:sz w:val="21"/>
        </w:rPr>
        <w:t>Las tablas cache, jobs, job_batches, sessions y migrations ayudan al funcionamiento interno del sistema. No se usan para cargar información comercial. Solo se revisan durante mantenimiento técnico.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color w:val="646464"/>
        <w:sz w:val="16"/>
      </w:rPr>
      <w:t>CMR Inmobiliario  |  Manual interno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