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F7" w:rsidRDefault="005C75F7" w:rsidP="005C75F7">
      <w:pPr>
        <w:pStyle w:val="a5"/>
        <w:ind w:left="-709"/>
        <w:rPr>
          <w:b/>
          <w:sz w:val="24"/>
        </w:rPr>
      </w:pPr>
      <w:r>
        <w:rPr>
          <w:b/>
          <w:sz w:val="24"/>
        </w:rPr>
        <w:t>Министерство образования Республики Беларусь</w:t>
      </w:r>
    </w:p>
    <w:p w:rsidR="005C75F7" w:rsidRDefault="005C75F7" w:rsidP="005C75F7">
      <w:pPr>
        <w:pStyle w:val="a9"/>
        <w:spacing w:line="240" w:lineRule="auto"/>
        <w:ind w:left="-709"/>
        <w:rPr>
          <w:rFonts w:ascii="Times New Roman" w:hAnsi="Times New Roman"/>
          <w:sz w:val="24"/>
        </w:rPr>
      </w:pPr>
    </w:p>
    <w:p w:rsidR="005C75F7" w:rsidRDefault="005C75F7" w:rsidP="005C75F7">
      <w:pPr>
        <w:pStyle w:val="a9"/>
        <w:spacing w:line="240" w:lineRule="auto"/>
        <w:ind w:left="-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5C75F7" w:rsidRDefault="005C75F7" w:rsidP="005C75F7">
      <w:pPr>
        <w:spacing w:line="240" w:lineRule="auto"/>
        <w:ind w:left="-709"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5C75F7" w:rsidRDefault="005C75F7" w:rsidP="005C75F7">
      <w:pPr>
        <w:spacing w:line="240" w:lineRule="auto"/>
        <w:ind w:left="-709"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5C75F7" w:rsidRDefault="005C75F7" w:rsidP="005C75F7">
      <w:pPr>
        <w:ind w:left="-709"/>
        <w:rPr>
          <w:sz w:val="24"/>
        </w:rPr>
      </w:pPr>
    </w:p>
    <w:p w:rsidR="005C75F7" w:rsidRDefault="005C75F7" w:rsidP="005C75F7">
      <w:pPr>
        <w:rPr>
          <w:sz w:val="24"/>
        </w:rPr>
      </w:pPr>
    </w:p>
    <w:p w:rsidR="005C75F7" w:rsidRDefault="005C75F7" w:rsidP="005C75F7">
      <w:pPr>
        <w:spacing w:before="0" w:after="0" w:line="240" w:lineRule="auto"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5C75F7" w:rsidRDefault="005C75F7" w:rsidP="005C75F7">
      <w:pPr>
        <w:spacing w:before="0" w:after="0" w:line="240" w:lineRule="auto"/>
        <w:rPr>
          <w:sz w:val="24"/>
        </w:rPr>
      </w:pPr>
    </w:p>
    <w:p w:rsidR="005C75F7" w:rsidRDefault="005C75F7" w:rsidP="005C75F7">
      <w:pPr>
        <w:spacing w:before="0" w:after="0" w:line="240" w:lineRule="auto"/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5C75F7" w:rsidRDefault="005C75F7" w:rsidP="005C75F7">
      <w:pPr>
        <w:spacing w:before="0" w:after="0" w:line="240" w:lineRule="auto"/>
        <w:rPr>
          <w:sz w:val="6"/>
        </w:rPr>
      </w:pPr>
    </w:p>
    <w:p w:rsidR="005C75F7" w:rsidRDefault="005C75F7" w:rsidP="005C75F7">
      <w:pPr>
        <w:pStyle w:val="1"/>
        <w:spacing w:before="0" w:after="0"/>
        <w:ind w:left="-709"/>
        <w:rPr>
          <w:rFonts w:eastAsiaTheme="minorHAnsi" w:cstheme="minorBidi"/>
          <w:sz w:val="24"/>
          <w:szCs w:val="22"/>
          <w:lang w:eastAsia="en-US"/>
        </w:rPr>
      </w:pPr>
    </w:p>
    <w:p w:rsidR="005C75F7" w:rsidRDefault="005C75F7" w:rsidP="005C75F7">
      <w:pPr>
        <w:spacing w:before="0" w:after="0"/>
        <w:ind w:left="-709"/>
        <w:jc w:val="center"/>
        <w:rPr>
          <w:sz w:val="24"/>
        </w:rPr>
      </w:pPr>
      <w:r>
        <w:rPr>
          <w:sz w:val="24"/>
        </w:rPr>
        <w:t>Отчет</w:t>
      </w:r>
    </w:p>
    <w:p w:rsidR="005C75F7" w:rsidRDefault="005C75F7" w:rsidP="005C75F7">
      <w:pPr>
        <w:spacing w:before="0" w:after="0"/>
        <w:ind w:left="-709"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5C75F7" w:rsidRDefault="005C75F7" w:rsidP="005C75F7">
      <w:pPr>
        <w:spacing w:before="0" w:after="0"/>
        <w:ind w:left="-709"/>
        <w:jc w:val="center"/>
        <w:rPr>
          <w:sz w:val="24"/>
        </w:rPr>
      </w:pPr>
      <w:r>
        <w:rPr>
          <w:sz w:val="24"/>
        </w:rPr>
        <w:t>на тему:</w:t>
      </w:r>
    </w:p>
    <w:p w:rsidR="005C75F7" w:rsidRPr="005C75F7" w:rsidRDefault="004C74E2" w:rsidP="005C75F7">
      <w:pPr>
        <w:spacing w:before="0" w:after="0"/>
        <w:ind w:left="-709"/>
        <w:jc w:val="center"/>
        <w:rPr>
          <w:sz w:val="24"/>
        </w:rPr>
      </w:pPr>
      <w:r>
        <w:t>ИЗУЧЕНИЕ ПРОЦЕССА МОДЕЛИРОВАНИЯ ПОТОКОВ ДАННЫХ ДЛЯ ЗАДАННОЙ ПРЕДМЕТНОЙ ОБЛАСТИ С ПОМОЩЬЮ ИНСТРУМЕНТАЛЬНОЙ СРЕДЫ BPWIN</w:t>
      </w: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4255"/>
        <w:gridCol w:w="2552"/>
        <w:gridCol w:w="2553"/>
      </w:tblGrid>
      <w:tr w:rsidR="005C75F7" w:rsidTr="005C75F7">
        <w:trPr>
          <w:trHeight w:val="408"/>
        </w:trPr>
        <w:tc>
          <w:tcPr>
            <w:tcW w:w="4255" w:type="dxa"/>
            <w:hideMark/>
          </w:tcPr>
          <w:p w:rsidR="005C75F7" w:rsidRDefault="000D3809" w:rsidP="005C75F7">
            <w:pPr>
              <w:pStyle w:val="a7"/>
              <w:ind w:left="-7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C75F7">
              <w:rPr>
                <w:sz w:val="24"/>
              </w:rPr>
              <w:t>Выполнила</w:t>
            </w:r>
          </w:p>
          <w:p w:rsidR="005C75F7" w:rsidRDefault="000D3809" w:rsidP="005C75F7">
            <w:pPr>
              <w:pStyle w:val="a7"/>
              <w:ind w:left="-7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C75F7">
              <w:rPr>
                <w:sz w:val="24"/>
              </w:rPr>
              <w:t>Студентка гр. 651005</w:t>
            </w: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 w:firstLine="176"/>
              <w:jc w:val="left"/>
              <w:rPr>
                <w:sz w:val="24"/>
              </w:rPr>
            </w:pPr>
          </w:p>
          <w:p w:rsidR="005C75F7" w:rsidRDefault="005C75F7" w:rsidP="005C75F7">
            <w:pPr>
              <w:pStyle w:val="a7"/>
              <w:ind w:left="-709" w:firstLine="176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В. В    В.В. </w:t>
            </w:r>
            <w:proofErr w:type="spellStart"/>
            <w:r>
              <w:rPr>
                <w:sz w:val="24"/>
              </w:rPr>
              <w:t>Масилевич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5C75F7" w:rsidTr="005C75F7">
        <w:trPr>
          <w:trHeight w:val="80"/>
        </w:trPr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  <w:p w:rsidR="005C75F7" w:rsidRDefault="000D3809" w:rsidP="005C75F7">
            <w:pPr>
              <w:pStyle w:val="a7"/>
              <w:ind w:left="-7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C75F7">
              <w:rPr>
                <w:sz w:val="24"/>
              </w:rPr>
              <w:t>Проверила</w:t>
            </w: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 w:right="-100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 w:right="-100" w:firstLine="176"/>
              <w:jc w:val="left"/>
              <w:rPr>
                <w:sz w:val="24"/>
              </w:rPr>
            </w:pPr>
          </w:p>
          <w:p w:rsidR="005C75F7" w:rsidRPr="005C75F7" w:rsidRDefault="005C75F7" w:rsidP="005C75F7">
            <w:pPr>
              <w:pStyle w:val="a7"/>
              <w:ind w:left="-709" w:right="-100" w:firstLine="176"/>
              <w:jc w:val="left"/>
              <w:rPr>
                <w:sz w:val="24"/>
              </w:rPr>
            </w:pPr>
            <w:r>
              <w:rPr>
                <w:sz w:val="24"/>
              </w:rPr>
              <w:t>Асс     Е.Е. Фадеева</w:t>
            </w:r>
          </w:p>
        </w:tc>
      </w:tr>
      <w:tr w:rsidR="005C75F7" w:rsidTr="005C75F7"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347"/>
        </w:trPr>
        <w:tc>
          <w:tcPr>
            <w:tcW w:w="4255" w:type="dxa"/>
          </w:tcPr>
          <w:p w:rsidR="005C75F7" w:rsidRDefault="005C75F7" w:rsidP="005C75F7">
            <w:pPr>
              <w:pStyle w:val="a7"/>
              <w:tabs>
                <w:tab w:val="left" w:pos="318"/>
                <w:tab w:val="left" w:pos="601"/>
                <w:tab w:val="left" w:pos="885"/>
              </w:tabs>
              <w:ind w:left="-709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423"/>
        </w:trPr>
        <w:tc>
          <w:tcPr>
            <w:tcW w:w="4255" w:type="dxa"/>
          </w:tcPr>
          <w:p w:rsidR="005C75F7" w:rsidRDefault="005C75F7" w:rsidP="005C75F7">
            <w:pPr>
              <w:pStyle w:val="a7"/>
              <w:tabs>
                <w:tab w:val="left" w:pos="318"/>
                <w:tab w:val="left" w:pos="601"/>
                <w:tab w:val="left" w:pos="885"/>
              </w:tabs>
              <w:ind w:left="-709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438"/>
        </w:trPr>
        <w:tc>
          <w:tcPr>
            <w:tcW w:w="4255" w:type="dxa"/>
          </w:tcPr>
          <w:p w:rsidR="005C75F7" w:rsidRDefault="005C75F7" w:rsidP="005C75F7">
            <w:pPr>
              <w:pStyle w:val="a7"/>
              <w:tabs>
                <w:tab w:val="left" w:pos="318"/>
                <w:tab w:val="left" w:pos="601"/>
                <w:tab w:val="left" w:pos="885"/>
              </w:tabs>
              <w:ind w:left="-709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445"/>
        </w:trPr>
        <w:tc>
          <w:tcPr>
            <w:tcW w:w="4255" w:type="dxa"/>
          </w:tcPr>
          <w:p w:rsidR="005C75F7" w:rsidRDefault="005C75F7" w:rsidP="005C75F7">
            <w:pPr>
              <w:pStyle w:val="a7"/>
              <w:spacing w:before="80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spacing w:before="80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spacing w:before="80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</w:tbl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spacing w:before="360"/>
        <w:ind w:left="-709"/>
        <w:jc w:val="center"/>
      </w:pPr>
      <w:r>
        <w:t>Минск, 2018</w:t>
      </w:r>
    </w:p>
    <w:p w:rsidR="0069330D" w:rsidRPr="004C74E2" w:rsidRDefault="0069330D" w:rsidP="004C74E2">
      <w:pPr>
        <w:spacing w:before="0" w:after="0" w:line="276" w:lineRule="auto"/>
        <w:rPr>
          <w:b/>
          <w:sz w:val="24"/>
          <w:szCs w:val="24"/>
        </w:rPr>
      </w:pPr>
      <w:r w:rsidRPr="004C74E2">
        <w:rPr>
          <w:b/>
          <w:sz w:val="24"/>
          <w:szCs w:val="24"/>
        </w:rPr>
        <w:lastRenderedPageBreak/>
        <w:t>Индивидуальная практическая работа № 1</w:t>
      </w:r>
    </w:p>
    <w:p w:rsidR="00F077E7" w:rsidRP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 xml:space="preserve">Целью работы является изучение процесса моделирования потоков данных для заданной предметной области с помощью инструментальной среды </w:t>
      </w:r>
      <w:proofErr w:type="spellStart"/>
      <w:r w:rsidRPr="004C74E2">
        <w:rPr>
          <w:sz w:val="24"/>
          <w:szCs w:val="24"/>
        </w:rPr>
        <w:t>BPwin</w:t>
      </w:r>
      <w:proofErr w:type="spellEnd"/>
      <w:r w:rsidRPr="004C74E2">
        <w:rPr>
          <w:sz w:val="24"/>
          <w:szCs w:val="24"/>
        </w:rPr>
        <w:t>.</w:t>
      </w:r>
    </w:p>
    <w:p w:rsidR="00F077E7" w:rsidRPr="004C74E2" w:rsidRDefault="00F077E7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b/>
          <w:sz w:val="24"/>
          <w:szCs w:val="24"/>
        </w:rPr>
        <w:t>Формулировка задачи</w:t>
      </w:r>
      <w:r w:rsidRPr="004C74E2">
        <w:rPr>
          <w:sz w:val="24"/>
          <w:szCs w:val="24"/>
        </w:rPr>
        <w:t xml:space="preserve">:  Необходимо создать функциональную модель процесса покупки билета на ЧМ-2018. </w:t>
      </w:r>
    </w:p>
    <w:p w:rsidR="00F077E7" w:rsidRPr="004C74E2" w:rsidRDefault="00F077E7" w:rsidP="004C74E2">
      <w:pPr>
        <w:spacing w:before="0" w:after="0" w:line="276" w:lineRule="auto"/>
        <w:rPr>
          <w:sz w:val="24"/>
          <w:szCs w:val="24"/>
        </w:rPr>
      </w:pPr>
    </w:p>
    <w:p w:rsidR="004C74E2" w:rsidRP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>Диаграммы потоков данных (</w:t>
      </w:r>
      <w:proofErr w:type="spellStart"/>
      <w:r w:rsidRPr="004C74E2">
        <w:rPr>
          <w:sz w:val="24"/>
          <w:szCs w:val="24"/>
        </w:rPr>
        <w:t>Data</w:t>
      </w:r>
      <w:proofErr w:type="spellEnd"/>
      <w:r w:rsidRPr="004C74E2">
        <w:rPr>
          <w:sz w:val="24"/>
          <w:szCs w:val="24"/>
        </w:rPr>
        <w:t xml:space="preserve"> </w:t>
      </w:r>
      <w:proofErr w:type="spellStart"/>
      <w:r w:rsidRPr="004C74E2">
        <w:rPr>
          <w:sz w:val="24"/>
          <w:szCs w:val="24"/>
        </w:rPr>
        <w:t>Flow</w:t>
      </w:r>
      <w:proofErr w:type="spellEnd"/>
      <w:r w:rsidRPr="004C74E2">
        <w:rPr>
          <w:sz w:val="24"/>
          <w:szCs w:val="24"/>
        </w:rPr>
        <w:t xml:space="preserve"> </w:t>
      </w:r>
      <w:proofErr w:type="spellStart"/>
      <w:r w:rsidRPr="004C74E2">
        <w:rPr>
          <w:sz w:val="24"/>
          <w:szCs w:val="24"/>
        </w:rPr>
        <w:t>Diagramming</w:t>
      </w:r>
      <w:proofErr w:type="spellEnd"/>
      <w:r w:rsidRPr="004C74E2">
        <w:rPr>
          <w:sz w:val="24"/>
          <w:szCs w:val="24"/>
        </w:rPr>
        <w:t xml:space="preserve">, DFD) используются для описания документооборота и обработки информации. Подобно IDEF0, DFD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 DFD описывает: </w:t>
      </w:r>
    </w:p>
    <w:p w:rsidR="004C74E2" w:rsidRP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>• функции обработки информации (работы);</w:t>
      </w:r>
    </w:p>
    <w:p w:rsidR="00F077E7" w:rsidRP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 xml:space="preserve">• документы (стрелки, </w:t>
      </w:r>
      <w:proofErr w:type="spellStart"/>
      <w:r w:rsidRPr="004C74E2">
        <w:rPr>
          <w:sz w:val="24"/>
          <w:szCs w:val="24"/>
        </w:rPr>
        <w:t>arrow</w:t>
      </w:r>
      <w:proofErr w:type="spellEnd"/>
      <w:r w:rsidRPr="004C74E2">
        <w:rPr>
          <w:sz w:val="24"/>
          <w:szCs w:val="24"/>
        </w:rPr>
        <w:t xml:space="preserve">), объекты, сотрудников или отделы, </w:t>
      </w:r>
      <w:proofErr w:type="spellStart"/>
      <w:r w:rsidRPr="004C74E2">
        <w:rPr>
          <w:sz w:val="24"/>
          <w:szCs w:val="24"/>
        </w:rPr>
        <w:t>кото</w:t>
      </w:r>
      <w:proofErr w:type="spellEnd"/>
      <w:r w:rsidRPr="004C74E2">
        <w:rPr>
          <w:sz w:val="24"/>
          <w:szCs w:val="24"/>
        </w:rPr>
        <w:t xml:space="preserve">- </w:t>
      </w:r>
      <w:proofErr w:type="spellStart"/>
      <w:r w:rsidRPr="004C74E2">
        <w:rPr>
          <w:sz w:val="24"/>
          <w:szCs w:val="24"/>
        </w:rPr>
        <w:t>рые</w:t>
      </w:r>
      <w:proofErr w:type="spellEnd"/>
      <w:r w:rsidRPr="004C74E2">
        <w:rPr>
          <w:sz w:val="24"/>
          <w:szCs w:val="24"/>
        </w:rPr>
        <w:t xml:space="preserve"> участвуют в обработке информации;</w:t>
      </w:r>
    </w:p>
    <w:p w:rsidR="004C74E2" w:rsidRP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>• внешние ссылки (</w:t>
      </w:r>
      <w:proofErr w:type="spellStart"/>
      <w:r w:rsidRPr="004C74E2">
        <w:rPr>
          <w:sz w:val="24"/>
          <w:szCs w:val="24"/>
        </w:rPr>
        <w:t>external</w:t>
      </w:r>
      <w:proofErr w:type="spellEnd"/>
      <w:r w:rsidRPr="004C74E2">
        <w:rPr>
          <w:sz w:val="24"/>
          <w:szCs w:val="24"/>
        </w:rPr>
        <w:t xml:space="preserve"> </w:t>
      </w:r>
      <w:proofErr w:type="spellStart"/>
      <w:r w:rsidRPr="004C74E2">
        <w:rPr>
          <w:sz w:val="24"/>
          <w:szCs w:val="24"/>
        </w:rPr>
        <w:t>references</w:t>
      </w:r>
      <w:proofErr w:type="spellEnd"/>
      <w:r w:rsidRPr="004C74E2">
        <w:rPr>
          <w:sz w:val="24"/>
          <w:szCs w:val="24"/>
        </w:rPr>
        <w:t xml:space="preserve">), которые обеспечивают интерфейс с внешними объектами, находящимися за границами моделируемой системы; </w:t>
      </w:r>
    </w:p>
    <w:p w:rsidR="004C74E2" w:rsidRP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 xml:space="preserve">• таблицы для хранения документов (хранилище данных, </w:t>
      </w:r>
      <w:proofErr w:type="spellStart"/>
      <w:r w:rsidRPr="004C74E2">
        <w:rPr>
          <w:sz w:val="24"/>
          <w:szCs w:val="24"/>
        </w:rPr>
        <w:t>data</w:t>
      </w:r>
      <w:proofErr w:type="spellEnd"/>
      <w:r w:rsidRPr="004C74E2">
        <w:rPr>
          <w:sz w:val="24"/>
          <w:szCs w:val="24"/>
        </w:rPr>
        <w:t xml:space="preserve"> </w:t>
      </w:r>
      <w:proofErr w:type="spellStart"/>
      <w:r w:rsidRPr="004C74E2">
        <w:rPr>
          <w:sz w:val="24"/>
          <w:szCs w:val="24"/>
        </w:rPr>
        <w:t>store</w:t>
      </w:r>
      <w:proofErr w:type="spellEnd"/>
      <w:r w:rsidRPr="004C74E2">
        <w:rPr>
          <w:sz w:val="24"/>
          <w:szCs w:val="24"/>
        </w:rPr>
        <w:t xml:space="preserve">). </w:t>
      </w:r>
    </w:p>
    <w:p w:rsidR="004C74E2" w:rsidRP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 xml:space="preserve">В </w:t>
      </w:r>
      <w:proofErr w:type="spellStart"/>
      <w:r w:rsidRPr="004C74E2">
        <w:rPr>
          <w:sz w:val="24"/>
          <w:szCs w:val="24"/>
        </w:rPr>
        <w:t>BPwin</w:t>
      </w:r>
      <w:proofErr w:type="spellEnd"/>
      <w:r w:rsidRPr="004C74E2">
        <w:rPr>
          <w:sz w:val="24"/>
          <w:szCs w:val="24"/>
        </w:rPr>
        <w:t xml:space="preserve"> для построения диаграмм потоков данных используется нотация </w:t>
      </w:r>
      <w:proofErr w:type="spellStart"/>
      <w:r w:rsidRPr="004C74E2">
        <w:rPr>
          <w:sz w:val="24"/>
          <w:szCs w:val="24"/>
        </w:rPr>
        <w:t>Гейна-Сарсона</w:t>
      </w:r>
      <w:proofErr w:type="spellEnd"/>
      <w:r w:rsidRPr="004C74E2">
        <w:rPr>
          <w:sz w:val="24"/>
          <w:szCs w:val="24"/>
        </w:rPr>
        <w:t>. В отличие от стрелок IDEF0, которые представляют собой жесткие взаимосвязи, стрелки DFD показывают, как объекты (включая данные) двигаются от одной работы к другой. Это представление потоков совместно с хранилищами данных и внешними сущностями делает модели DFD более похожими на физические характеристики системы – движение объектов (</w:t>
      </w:r>
      <w:proofErr w:type="spellStart"/>
      <w:r w:rsidRPr="004C74E2">
        <w:rPr>
          <w:sz w:val="24"/>
          <w:szCs w:val="24"/>
        </w:rPr>
        <w:t>data</w:t>
      </w:r>
      <w:proofErr w:type="spellEnd"/>
      <w:r w:rsidRPr="004C74E2">
        <w:rPr>
          <w:sz w:val="24"/>
          <w:szCs w:val="24"/>
        </w:rPr>
        <w:t xml:space="preserve"> </w:t>
      </w:r>
      <w:proofErr w:type="spellStart"/>
      <w:r w:rsidRPr="004C74E2">
        <w:rPr>
          <w:sz w:val="24"/>
          <w:szCs w:val="24"/>
        </w:rPr>
        <w:t>flow</w:t>
      </w:r>
      <w:proofErr w:type="spellEnd"/>
      <w:r w:rsidRPr="004C74E2">
        <w:rPr>
          <w:sz w:val="24"/>
          <w:szCs w:val="24"/>
        </w:rPr>
        <w:t>), хранение объектов (</w:t>
      </w:r>
      <w:proofErr w:type="spellStart"/>
      <w:r w:rsidRPr="004C74E2">
        <w:rPr>
          <w:sz w:val="24"/>
          <w:szCs w:val="24"/>
        </w:rPr>
        <w:t>data</w:t>
      </w:r>
      <w:proofErr w:type="spellEnd"/>
      <w:r w:rsidRPr="004C74E2">
        <w:rPr>
          <w:sz w:val="24"/>
          <w:szCs w:val="24"/>
        </w:rPr>
        <w:t xml:space="preserve"> </w:t>
      </w:r>
      <w:proofErr w:type="spellStart"/>
      <w:r w:rsidRPr="004C74E2">
        <w:rPr>
          <w:sz w:val="24"/>
          <w:szCs w:val="24"/>
        </w:rPr>
        <w:t>stores</w:t>
      </w:r>
      <w:proofErr w:type="spellEnd"/>
      <w:r w:rsidRPr="004C74E2">
        <w:rPr>
          <w:sz w:val="24"/>
          <w:szCs w:val="24"/>
        </w:rPr>
        <w:t>), поставка и распространение объектов (</w:t>
      </w:r>
      <w:proofErr w:type="spellStart"/>
      <w:r w:rsidRPr="004C74E2">
        <w:rPr>
          <w:sz w:val="24"/>
          <w:szCs w:val="24"/>
        </w:rPr>
        <w:t>external</w:t>
      </w:r>
      <w:proofErr w:type="spellEnd"/>
      <w:r w:rsidRPr="004C74E2">
        <w:rPr>
          <w:sz w:val="24"/>
          <w:szCs w:val="24"/>
        </w:rPr>
        <w:t xml:space="preserve"> </w:t>
      </w:r>
      <w:proofErr w:type="spellStart"/>
      <w:r w:rsidRPr="004C74E2">
        <w:rPr>
          <w:sz w:val="24"/>
          <w:szCs w:val="24"/>
        </w:rPr>
        <w:t>entities</w:t>
      </w:r>
      <w:proofErr w:type="spellEnd"/>
      <w:r w:rsidRPr="004C74E2">
        <w:rPr>
          <w:sz w:val="24"/>
          <w:szCs w:val="24"/>
        </w:rPr>
        <w:t>). В отличие от IDEF0, где система рассматривается как взаимосвязанные работы, DFD рассматривает систему как совокупность предметов. Включение внешних ссылок в контекстную диаграмму не отменяет требования методологии четко определить цель, область и единую точку зрения на моделируемую систему. Работы. В DFD работы представляют собой функции системы, преобразующие входы в выходы. Хотя работы изображаются прямоугольниками со скругленными углами, смысл их совпадает со смыслом работ IDEF0 и IDEF3. Так же как работы IDEF3, они имеют входы и выходы, но не поддерживают управления и механизмы, как IDEF0. Внешние сущности. Внешние сущности изображают входы в систему и/или выходы из системы. Внешние сущности изображаются в виде прямоугольника с тенью и обычно располагаются по краям диаграммы.</w:t>
      </w:r>
    </w:p>
    <w:p w:rsidR="004C74E2" w:rsidRDefault="004C74E2" w:rsidP="004C74E2">
      <w:pPr>
        <w:spacing w:before="0" w:after="0" w:line="276" w:lineRule="auto"/>
        <w:rPr>
          <w:sz w:val="24"/>
          <w:szCs w:val="24"/>
        </w:rPr>
      </w:pPr>
      <w:r w:rsidRPr="004C74E2">
        <w:rPr>
          <w:sz w:val="24"/>
          <w:szCs w:val="24"/>
        </w:rPr>
        <w:t>Одна внешняя сущность может быть использована многократно на одной или нескольких диаграммах. Обычно такой прием используют, чтобы не рисовать слишком длинных и запутанных стрелок. Стрелки (Потоки данных). Стрелки описывают движение объектов из одной части системы в другую. Поскольку в DFD каждая сторона работы не имеет четкого назначения, как в IDEF0, стрелки могут подходить/выходить из любой грани прямоугольника работы. В DFD также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сущностями. Хранилище данных. В отличие от стрелок, описывающих объекты в движении, хранилища данных изображают объекты в покое. В материальных системах хранилища данных изображаются там, где объекты ожидают обработки, например, в очереди. В системах обработки информации хранилища данных являются механизмом, который позволяет сохранить данные для последующих процессов.</w:t>
      </w:r>
    </w:p>
    <w:p w:rsidR="004C74E2" w:rsidRDefault="000D3809" w:rsidP="000D3809">
      <w:pPr>
        <w:spacing w:before="0" w:after="0" w:line="276" w:lineRule="auto"/>
        <w:jc w:val="center"/>
        <w:rPr>
          <w:b/>
          <w:sz w:val="24"/>
        </w:rPr>
      </w:pPr>
      <w:r>
        <w:rPr>
          <w:sz w:val="20"/>
          <w:szCs w:val="24"/>
        </w:rPr>
        <w:lastRenderedPageBreak/>
        <w:t>1. С</w:t>
      </w:r>
      <w:r w:rsidRPr="000D3809">
        <w:rPr>
          <w:sz w:val="20"/>
          <w:szCs w:val="24"/>
        </w:rPr>
        <w:t>хемы</w:t>
      </w:r>
      <w:r w:rsidR="004C74E2">
        <w:rPr>
          <w:b/>
          <w:noProof/>
          <w:sz w:val="24"/>
          <w:lang w:eastAsia="ru-RU"/>
        </w:rPr>
        <w:drawing>
          <wp:inline distT="0" distB="0" distL="0" distR="0">
            <wp:extent cx="5821033" cy="4079390"/>
            <wp:effectExtent l="19050" t="0" r="8267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763" cy="40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881208" cy="4132053"/>
            <wp:effectExtent l="19050" t="0" r="524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796" cy="41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4E2">
        <w:rPr>
          <w:b/>
          <w:noProof/>
          <w:sz w:val="24"/>
          <w:lang w:eastAsia="ru-RU"/>
        </w:rPr>
        <w:drawing>
          <wp:inline distT="0" distB="0" distL="0" distR="0">
            <wp:extent cx="5846912" cy="4048151"/>
            <wp:effectExtent l="19050" t="0" r="1438" b="0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912" cy="40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E2" w:rsidRDefault="000D3809" w:rsidP="004C74E2">
      <w:pPr>
        <w:spacing w:before="0" w:after="0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940425" cy="415256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4E2" w:rsidRDefault="000D3809" w:rsidP="004C74E2">
      <w:pPr>
        <w:spacing w:before="0" w:after="0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940425" cy="415432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809" w:rsidRDefault="000D3809" w:rsidP="004C74E2">
      <w:pPr>
        <w:spacing w:before="0" w:after="0"/>
        <w:jc w:val="center"/>
        <w:rPr>
          <w:b/>
          <w:sz w:val="24"/>
        </w:rPr>
      </w:pPr>
    </w:p>
    <w:p w:rsidR="004C74E2" w:rsidRDefault="000D3809" w:rsidP="004C74E2">
      <w:pPr>
        <w:spacing w:before="0" w:after="0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940425" cy="40540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ru-RU"/>
        </w:rPr>
        <w:drawing>
          <wp:inline distT="0" distB="0" distL="0" distR="0">
            <wp:extent cx="5940425" cy="4116480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940425" cy="414422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4C74E2" w:rsidRDefault="004C74E2" w:rsidP="004C74E2">
      <w:pPr>
        <w:spacing w:before="0" w:after="0"/>
        <w:jc w:val="center"/>
        <w:rPr>
          <w:b/>
          <w:sz w:val="24"/>
        </w:rPr>
      </w:pPr>
    </w:p>
    <w:p w:rsidR="000D3809" w:rsidRDefault="000D3809" w:rsidP="004C74E2">
      <w:pPr>
        <w:spacing w:before="0" w:after="0"/>
        <w:jc w:val="center"/>
        <w:rPr>
          <w:b/>
          <w:sz w:val="24"/>
        </w:rPr>
      </w:pPr>
    </w:p>
    <w:p w:rsidR="000D3809" w:rsidRDefault="000D3809" w:rsidP="004C74E2">
      <w:pPr>
        <w:spacing w:before="0" w:after="0"/>
        <w:jc w:val="center"/>
        <w:rPr>
          <w:b/>
          <w:sz w:val="24"/>
        </w:rPr>
      </w:pPr>
    </w:p>
    <w:p w:rsidR="004C74E2" w:rsidRPr="000D3809" w:rsidRDefault="000D3809" w:rsidP="004C74E2">
      <w:pPr>
        <w:spacing w:before="0" w:after="0"/>
        <w:jc w:val="center"/>
        <w:rPr>
          <w:sz w:val="20"/>
        </w:rPr>
      </w:pPr>
      <w:r w:rsidRPr="000D3809">
        <w:rPr>
          <w:sz w:val="20"/>
        </w:rPr>
        <w:lastRenderedPageBreak/>
        <w:t xml:space="preserve">2. </w:t>
      </w:r>
      <w:r w:rsidR="004C74E2" w:rsidRPr="000D3809">
        <w:rPr>
          <w:sz w:val="20"/>
        </w:rPr>
        <w:t>Отчеты</w:t>
      </w:r>
    </w:p>
    <w:p w:rsidR="004C74E2" w:rsidRDefault="004C74E2" w:rsidP="00F077E7">
      <w:pPr>
        <w:spacing w:before="0" w:after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420482" cy="3762900"/>
            <wp:effectExtent l="19050" t="0" r="8768" b="0"/>
            <wp:docPr id="13" name="Рисунок 1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>
            <wp:extent cx="5113667" cy="3730708"/>
            <wp:effectExtent l="19050" t="0" r="0" b="0"/>
            <wp:docPr id="11" name="Рисунок 10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526" cy="37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E2" w:rsidRPr="004C74E2" w:rsidRDefault="004C74E2" w:rsidP="00F077E7">
      <w:pPr>
        <w:spacing w:before="0" w:after="0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4152265"/>
            <wp:effectExtent l="19050" t="0" r="3175" b="0"/>
            <wp:docPr id="14" name="Рисунок 13" descr="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4E2" w:rsidRPr="004C74E2" w:rsidSect="006D4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9330D"/>
    <w:rsid w:val="000D3809"/>
    <w:rsid w:val="004C74E2"/>
    <w:rsid w:val="00592E1A"/>
    <w:rsid w:val="005C75F7"/>
    <w:rsid w:val="0069330D"/>
    <w:rsid w:val="006D4C01"/>
    <w:rsid w:val="007D67A7"/>
    <w:rsid w:val="00E810F6"/>
    <w:rsid w:val="00F0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0D"/>
    <w:pPr>
      <w:spacing w:before="120" w:after="120" w:line="360" w:lineRule="auto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5C75F7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7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7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нак Знак Знак"/>
    <w:basedOn w:val="a0"/>
    <w:link w:val="1"/>
    <w:rsid w:val="005C75F7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Title"/>
    <w:basedOn w:val="a"/>
    <w:link w:val="a6"/>
    <w:qFormat/>
    <w:rsid w:val="005C75F7"/>
    <w:pPr>
      <w:widowControl w:val="0"/>
      <w:overflowPunct w:val="0"/>
      <w:autoSpaceDE w:val="0"/>
      <w:autoSpaceDN w:val="0"/>
      <w:adjustRightInd w:val="0"/>
      <w:spacing w:before="0" w:after="0" w:line="240" w:lineRule="auto"/>
      <w:ind w:firstLine="567"/>
      <w:jc w:val="center"/>
    </w:pPr>
    <w:rPr>
      <w:rFonts w:eastAsia="Times New Roman" w:cs="Times New Roman"/>
      <w:szCs w:val="20"/>
      <w:lang w:eastAsia="ru-RU"/>
    </w:rPr>
  </w:style>
  <w:style w:type="character" w:customStyle="1" w:styleId="a6">
    <w:name w:val="Название Знак"/>
    <w:basedOn w:val="a0"/>
    <w:link w:val="a5"/>
    <w:rsid w:val="005C75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5C75F7"/>
    <w:pPr>
      <w:widowControl w:val="0"/>
      <w:overflowPunct w:val="0"/>
      <w:autoSpaceDE w:val="0"/>
      <w:autoSpaceDN w:val="0"/>
      <w:adjustRightInd w:val="0"/>
      <w:spacing w:before="0" w:after="0" w:line="260" w:lineRule="exact"/>
      <w:ind w:firstLine="567"/>
      <w:jc w:val="both"/>
    </w:pPr>
    <w:rPr>
      <w:rFonts w:eastAsia="Times New Roman" w:cs="Times New Roman"/>
      <w:sz w:val="22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5C75F7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Subtitle"/>
    <w:basedOn w:val="a"/>
    <w:link w:val="aa"/>
    <w:qFormat/>
    <w:rsid w:val="005C75F7"/>
    <w:pPr>
      <w:spacing w:before="0"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5C75F7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2018-03-03T14:28:00Z</dcterms:created>
  <dcterms:modified xsi:type="dcterms:W3CDTF">2018-03-18T15:01:00Z</dcterms:modified>
</cp:coreProperties>
</file>