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2F6CF" w14:textId="74165F53" w:rsidR="004F488C" w:rsidRPr="00705903" w:rsidRDefault="0097761F" w:rsidP="0097761F">
      <w:pPr>
        <w:pStyle w:val="Heading1"/>
      </w:pPr>
      <w:r w:rsidRPr="00705903">
        <w:t>ESG AND ASSET PRICING IN CHINA: POLICY-CONTINGENT RETURNS AND RISK MITIGATION</w:t>
      </w:r>
    </w:p>
    <w:p w14:paraId="5FC0A4C7" w14:textId="77777777" w:rsidR="004F488C" w:rsidRPr="00705903" w:rsidRDefault="004F488C" w:rsidP="0097761F">
      <w:pPr>
        <w:spacing w:line="360" w:lineRule="auto"/>
        <w:jc w:val="both"/>
        <w:rPr>
          <w:lang w:val="en-US" w:eastAsia="zh-CN"/>
        </w:rPr>
      </w:pPr>
    </w:p>
    <w:p w14:paraId="2CE72658" w14:textId="083A2B7C" w:rsidR="00057326" w:rsidRPr="00705903" w:rsidRDefault="00057326" w:rsidP="0097761F">
      <w:pPr>
        <w:pStyle w:val="Heading1"/>
      </w:pPr>
      <w:r w:rsidRPr="00705903">
        <w:t>Abstract</w:t>
      </w:r>
    </w:p>
    <w:p w14:paraId="4336B63B" w14:textId="77777777" w:rsidR="00E4576F" w:rsidRPr="00705903" w:rsidRDefault="0057723D" w:rsidP="0097761F">
      <w:pPr>
        <w:spacing w:line="240" w:lineRule="auto"/>
        <w:jc w:val="both"/>
        <w:rPr>
          <w:lang w:val="en-US"/>
        </w:rPr>
      </w:pPr>
      <w:r w:rsidRPr="00705903">
        <w:rPr>
          <w:lang w:val="en-US"/>
        </w:rPr>
        <w:t>This paper examines whether environmental, social, and governance (ESG) performance generates excess returns or mitigates downside risk in China’s A-share market. Using a comprehensive panel of 65,000 firm-year observations from the CNRDS ESG Rating Database (2007–2022), I construct ESG-based long–short portfolios and estimate Fama–French five-factor regressions. The results reveal a consistent negative ESG–return relation, mainly driven by the governance (G) pillar, while high-ESG portfolios exhibit lower volatility and downside deviation. Dynamic tests show that ESG effects are policy-contingent and episodic, turning positive only during government promotion periods. Robustness checks using alternative data sources and fixed-effects models confirm that these findings are not driven by data or portfolio design. Overall, ESG in China functions primarily as a risk-mitigation and policy-alignment signal, rather than a structural source of abnormal returns.</w:t>
      </w:r>
    </w:p>
    <w:p w14:paraId="6573EE12" w14:textId="77777777" w:rsidR="00FC33AC" w:rsidRPr="00705903" w:rsidRDefault="00FC33AC" w:rsidP="0097761F">
      <w:pPr>
        <w:spacing w:line="240" w:lineRule="auto"/>
        <w:ind w:firstLine="0"/>
        <w:jc w:val="both"/>
        <w:rPr>
          <w:lang w:val="en-US"/>
        </w:rPr>
      </w:pPr>
    </w:p>
    <w:p w14:paraId="7BA0296C" w14:textId="5FA44A18" w:rsidR="001D4099" w:rsidRPr="00705903" w:rsidRDefault="001D4099" w:rsidP="0097761F">
      <w:pPr>
        <w:spacing w:line="240" w:lineRule="auto"/>
        <w:ind w:firstLine="0"/>
        <w:jc w:val="both"/>
        <w:rPr>
          <w:lang w:val="en-US" w:eastAsia="zh-CN"/>
        </w:rPr>
      </w:pPr>
      <w:r w:rsidRPr="00705903">
        <w:rPr>
          <w:lang w:val="en-US"/>
        </w:rPr>
        <w:br w:type="page"/>
      </w:r>
    </w:p>
    <w:p w14:paraId="1DDD2234" w14:textId="2724EDEC" w:rsidR="00AF4522" w:rsidRPr="00705903" w:rsidRDefault="001D4099" w:rsidP="0097761F">
      <w:pPr>
        <w:pStyle w:val="Heading1"/>
        <w:numPr>
          <w:ilvl w:val="0"/>
          <w:numId w:val="34"/>
        </w:numPr>
      </w:pPr>
      <w:r w:rsidRPr="00705903">
        <w:lastRenderedPageBreak/>
        <w:t>Introduction</w:t>
      </w:r>
    </w:p>
    <w:p w14:paraId="630903ED" w14:textId="7592007D" w:rsidR="005F0888" w:rsidRPr="00705903" w:rsidRDefault="005F0888" w:rsidP="0097761F">
      <w:pPr>
        <w:spacing w:line="360" w:lineRule="auto"/>
        <w:jc w:val="both"/>
      </w:pPr>
      <w:r w:rsidRPr="00705903">
        <w:t xml:space="preserve">Environmental, social, and governance (ESG) investing has become one of the most influential developments in global capital markets. Institutional investors and regulators now routinely treat ESG </w:t>
      </w:r>
      <w:r w:rsidR="0088077B" w:rsidRPr="00705903">
        <w:rPr>
          <w:lang w:eastAsia="zh-CN"/>
        </w:rPr>
        <w:t>performance</w:t>
      </w:r>
      <w:r w:rsidRPr="00705903">
        <w:t xml:space="preserve"> as a key dimension of corporate value, long-term sustainability, and risk management. Yet the financial implications of ESG remain debated. While some studies document higher risk-adjusted returns or lower cost of capital for high-ESG firms (Lins et al., 2017; Albuquerque et al., 2020; </w:t>
      </w:r>
      <w:proofErr w:type="spellStart"/>
      <w:r w:rsidRPr="00705903">
        <w:t>Derwall</w:t>
      </w:r>
      <w:proofErr w:type="spellEnd"/>
      <w:r w:rsidRPr="00705903">
        <w:t xml:space="preserve"> et al., 2005), others find little or no </w:t>
      </w:r>
      <w:r w:rsidR="0088077B" w:rsidRPr="00705903">
        <w:rPr>
          <w:lang w:eastAsia="zh-CN"/>
        </w:rPr>
        <w:t>effect of ESG on financial performance</w:t>
      </w:r>
      <w:r w:rsidRPr="00705903">
        <w:t xml:space="preserve"> (Hoepner et al., 2019; Gillan et al., 2021; Whelan et al., 2021). These mixed findings raise a fundamental question: does ESG generate excess returns, or does it primarily mitigate downside risk?</w:t>
      </w:r>
    </w:p>
    <w:p w14:paraId="17C018EF" w14:textId="16619588" w:rsidR="005F0888" w:rsidRPr="00705903" w:rsidRDefault="005F0888" w:rsidP="0097761F">
      <w:pPr>
        <w:spacing w:line="360" w:lineRule="auto"/>
        <w:jc w:val="both"/>
      </w:pPr>
      <w:r w:rsidRPr="00705903">
        <w:t xml:space="preserve">Most existing evidence is drawn from developed markets where disclosure standards and governance frameworks are mature (Khan et al., 2016; Krüger, 2015; Gibson et al., 2023). In contrast, evidence from emerging markets—particularly China—remains limited and theoretically underdeveloped. Prior literature suggests that ESG’s financial effects depend critically on institutional features such as regulatory enforcement, information </w:t>
      </w:r>
      <w:r w:rsidR="0088077B" w:rsidRPr="00705903">
        <w:rPr>
          <w:lang w:eastAsia="zh-CN"/>
        </w:rPr>
        <w:t>asymmetry</w:t>
      </w:r>
      <w:r w:rsidRPr="00705903">
        <w:t xml:space="preserve">, and </w:t>
      </w:r>
      <w:r w:rsidR="0088077B" w:rsidRPr="00705903">
        <w:rPr>
          <w:lang w:eastAsia="zh-CN"/>
        </w:rPr>
        <w:t>state-led oversight</w:t>
      </w:r>
      <w:r w:rsidRPr="00705903">
        <w:t xml:space="preserve"> (Friede et al., 2015; Broadstock et al., 2021; Albuquerque &amp; Shen, 2020). In China, where disclosure is heterogeneous and policy intervention is frequent, ESG ratings may capture not only firm-level sustainability practices but also compliance, transparency, and alignment with government priorities. This creates a distinct environment in which the meaning and pricing of ESG differ from those in developed economies.</w:t>
      </w:r>
    </w:p>
    <w:p w14:paraId="42F69901" w14:textId="7161E8C4" w:rsidR="005F0888" w:rsidRPr="00705903" w:rsidRDefault="005F0888" w:rsidP="0097761F">
      <w:pPr>
        <w:spacing w:line="360" w:lineRule="auto"/>
        <w:jc w:val="both"/>
      </w:pPr>
      <w:r w:rsidRPr="00705903">
        <w:t xml:space="preserve">China provides a policy-driven </w:t>
      </w:r>
      <w:r w:rsidR="0088077B" w:rsidRPr="00705903">
        <w:rPr>
          <w:lang w:eastAsia="zh-CN"/>
        </w:rPr>
        <w:t>institutional environment for examining</w:t>
      </w:r>
      <w:r w:rsidRPr="00705903">
        <w:t xml:space="preserve"> ESG pricing. Unlike developed markets where ESG reflects voluntary disclosure and market-driven sustainability preferences, China’s ESG system is shaped by administrative mandates, state-ownership </w:t>
      </w:r>
      <w:r w:rsidR="0088077B" w:rsidRPr="00705903">
        <w:rPr>
          <w:lang w:eastAsia="zh-CN"/>
        </w:rPr>
        <w:t>governance</w:t>
      </w:r>
      <w:r w:rsidRPr="00705903">
        <w:t xml:space="preserve">, and heterogeneous enforcement intensity. As a result, ESG scores embed not only sustainability practices but also </w:t>
      </w:r>
      <w:r w:rsidR="0088077B" w:rsidRPr="00705903">
        <w:rPr>
          <w:lang w:eastAsia="zh-CN"/>
        </w:rPr>
        <w:t>regulatory compliance</w:t>
      </w:r>
      <w:r w:rsidRPr="00705903">
        <w:t xml:space="preserve">. Within this institutional structure, governance </w:t>
      </w:r>
      <w:r w:rsidR="0088077B" w:rsidRPr="00705903">
        <w:rPr>
          <w:lang w:eastAsia="zh-CN"/>
        </w:rPr>
        <w:t xml:space="preserve">scores </w:t>
      </w:r>
      <w:r w:rsidRPr="00705903">
        <w:t>(G</w:t>
      </w:r>
      <w:r w:rsidR="0088077B" w:rsidRPr="00705903">
        <w:rPr>
          <w:lang w:eastAsia="zh-CN"/>
        </w:rPr>
        <w:t xml:space="preserve"> scores</w:t>
      </w:r>
      <w:r w:rsidRPr="00705903">
        <w:t xml:space="preserve">) </w:t>
      </w:r>
      <w:r w:rsidR="0088077B" w:rsidRPr="00705903">
        <w:t>play</w:t>
      </w:r>
      <w:r w:rsidRPr="00705903">
        <w:t xml:space="preserve"> a disproportionately important role: governance quality is directly monitored by regulators, tightly linked to credit allocation and SOE oversight, and far less susceptible to </w:t>
      </w:r>
      <w:r w:rsidR="0088077B" w:rsidRPr="00705903">
        <w:rPr>
          <w:lang w:eastAsia="zh-CN"/>
        </w:rPr>
        <w:t>information</w:t>
      </w:r>
      <w:r w:rsidRPr="00705903">
        <w:t xml:space="preserve"> asymmetry than environmental (E) or social (S) metrics. These features imply that ESG in China behaves </w:t>
      </w:r>
      <w:r w:rsidR="0088077B" w:rsidRPr="00705903">
        <w:rPr>
          <w:lang w:eastAsia="zh-CN"/>
        </w:rPr>
        <w:t>less like</w:t>
      </w:r>
      <w:r w:rsidRPr="00705903">
        <w:t xml:space="preserve"> a stable priced characteristic </w:t>
      </w:r>
      <w:r w:rsidR="0088077B" w:rsidRPr="00705903">
        <w:rPr>
          <w:lang w:eastAsia="zh-CN"/>
        </w:rPr>
        <w:t>and more like</w:t>
      </w:r>
      <w:r w:rsidRPr="00705903">
        <w:t xml:space="preserve"> a state-contingent beta whose valuation depends on policy stance. A simple conditional-pricing framework illustrates this mechanism:</w:t>
      </w:r>
    </w:p>
    <w:p w14:paraId="72BD0654" w14:textId="33EFF347" w:rsidR="00683A29" w:rsidRPr="00705903" w:rsidRDefault="00000000" w:rsidP="0097761F">
      <w:pPr>
        <w:spacing w:line="360" w:lineRule="auto"/>
        <w:jc w:val="both"/>
        <w:rPr>
          <w:lang w:val="en-US"/>
        </w:rPr>
      </w:pPr>
      <m:oMathPara>
        <m:oMath>
          <m:sSub>
            <m:sSubPr>
              <m:ctrlPr>
                <w:rPr>
                  <w:rFonts w:ascii="Cambria Math" w:hAnsi="Cambria Math"/>
                  <w:lang w:val="en-US"/>
                </w:rPr>
              </m:ctrlPr>
            </m:sSubPr>
            <m:e>
              <m:r>
                <m:rPr>
                  <m:sty m:val="p"/>
                </m:rPr>
                <w:rPr>
                  <w:rFonts w:ascii="Cambria Math" w:hAnsi="Cambria Math"/>
                  <w:lang w:val="en-US"/>
                </w:rPr>
                <m:t>R</m:t>
              </m:r>
            </m:e>
            <m:sub>
              <m:r>
                <m:rPr>
                  <m:sty m:val="p"/>
                </m:rPr>
                <w:rPr>
                  <w:rFonts w:ascii="Cambria Math" w:hAnsi="Cambria Math"/>
                  <w:lang w:val="en-US"/>
                </w:rPr>
                <m:t>i,t+1</m:t>
              </m:r>
            </m:sub>
          </m:sSub>
          <m:r>
            <m:rPr>
              <m:sty m:val="p"/>
            </m:rPr>
            <w:rPr>
              <w:rFonts w:ascii="Cambria Math" w:hAnsi="Cambria Math"/>
              <w:lang w:val="en-US"/>
            </w:rPr>
            <m:t>=α+</m:t>
          </m:r>
          <m:sSub>
            <m:sSubPr>
              <m:ctrlPr>
                <w:rPr>
                  <w:rFonts w:ascii="Cambria Math" w:hAnsi="Cambria Math"/>
                  <w:lang w:val="en-US"/>
                </w:rPr>
              </m:ctrlPr>
            </m:sSubPr>
            <m:e>
              <m:r>
                <m:rPr>
                  <m:sty m:val="p"/>
                </m:rPr>
                <w:rPr>
                  <w:rFonts w:ascii="Cambria Math" w:hAnsi="Cambria Math"/>
                  <w:lang w:val="en-US"/>
                </w:rPr>
                <m:t>β</m:t>
              </m:r>
            </m:e>
            <m:sub>
              <m:r>
                <m:rPr>
                  <m:sty m:val="p"/>
                </m:rPr>
                <w:rPr>
                  <w:rFonts w:ascii="Cambria Math" w:hAnsi="Cambria Math"/>
                  <w:lang w:val="en-US"/>
                </w:rPr>
                <m:t>ESG,t</m:t>
              </m:r>
            </m:sub>
          </m:sSub>
          <m:r>
            <m:rPr>
              <m:nor/>
            </m:rPr>
            <w:rPr>
              <w:lang w:val="en-US"/>
            </w:rPr>
            <m:t> </m:t>
          </m:r>
          <m:r>
            <m:rPr>
              <m:sty m:val="p"/>
            </m:rPr>
            <w:rPr>
              <w:rFonts w:ascii="Cambria Math" w:hAnsi="Cambria Math"/>
              <w:lang w:val="en-US"/>
            </w:rPr>
            <m:t>ES</m:t>
          </m:r>
          <m:sSub>
            <m:sSubPr>
              <m:ctrlPr>
                <w:rPr>
                  <w:rFonts w:ascii="Cambria Math" w:hAnsi="Cambria Math"/>
                  <w:lang w:val="en-US"/>
                </w:rPr>
              </m:ctrlPr>
            </m:sSubPr>
            <m:e>
              <m:r>
                <m:rPr>
                  <m:sty m:val="p"/>
                </m:rPr>
                <w:rPr>
                  <w:rFonts w:ascii="Cambria Math" w:hAnsi="Cambria Math"/>
                  <w:lang w:val="en-US"/>
                </w:rPr>
                <m:t>G</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ε</m:t>
              </m:r>
            </m:e>
            <m:sub>
              <m:r>
                <m:rPr>
                  <m:sty m:val="p"/>
                </m:rPr>
                <w:rPr>
                  <w:rFonts w:ascii="Cambria Math" w:hAnsi="Cambria Math"/>
                  <w:lang w:val="en-US"/>
                </w:rPr>
                <m:t>i,t+1</m:t>
              </m:r>
            </m:sub>
          </m:sSub>
          <m:r>
            <m:rPr>
              <m:sty m:val="p"/>
            </m:rPr>
            <w:rPr>
              <w:rFonts w:ascii="Cambria Math" w:hAnsi="Cambria Math"/>
              <w:lang w:val="en-US"/>
            </w:rPr>
            <m:t>,</m:t>
          </m:r>
        </m:oMath>
      </m:oMathPara>
    </w:p>
    <w:p w14:paraId="58A8C9AA" w14:textId="41361089" w:rsidR="00683A29" w:rsidRPr="00705903" w:rsidRDefault="00683A29" w:rsidP="0097761F">
      <w:pPr>
        <w:spacing w:line="360" w:lineRule="auto"/>
        <w:jc w:val="both"/>
        <w:rPr>
          <w:lang w:val="en-US"/>
        </w:rPr>
      </w:pPr>
      <w:r w:rsidRPr="00705903">
        <w:rPr>
          <w:lang w:val="en-US"/>
        </w:rPr>
        <w:t xml:space="preserve">where the ESG-beta </w:t>
      </w:r>
      <m:oMath>
        <m:sSub>
          <m:sSubPr>
            <m:ctrlPr>
              <w:rPr>
                <w:rFonts w:ascii="Cambria Math" w:hAnsi="Cambria Math"/>
                <w:lang w:val="en-US"/>
              </w:rPr>
            </m:ctrlPr>
          </m:sSubPr>
          <m:e>
            <m:r>
              <m:rPr>
                <m:sty m:val="p"/>
              </m:rPr>
              <w:rPr>
                <w:rFonts w:ascii="Cambria Math" w:hAnsi="Cambria Math"/>
                <w:lang w:val="en-US"/>
              </w:rPr>
              <m:t>β</m:t>
            </m:r>
          </m:e>
          <m:sub>
            <m:r>
              <m:rPr>
                <m:sty m:val="p"/>
              </m:rPr>
              <w:rPr>
                <w:rFonts w:ascii="Cambria Math" w:hAnsi="Cambria Math"/>
                <w:lang w:val="en-US"/>
              </w:rPr>
              <m:t>ESG,t</m:t>
            </m:r>
          </m:sub>
        </m:sSub>
      </m:oMath>
      <w:r w:rsidRPr="00705903">
        <w:rPr>
          <w:lang w:val="en-US"/>
        </w:rPr>
        <w:t>evolves with policy intensity:</w:t>
      </w:r>
    </w:p>
    <w:p w14:paraId="5E4D5B98" w14:textId="217F4BD7" w:rsidR="00683A29" w:rsidRPr="00705903" w:rsidRDefault="00000000" w:rsidP="0097761F">
      <w:pPr>
        <w:spacing w:line="360" w:lineRule="auto"/>
        <w:jc w:val="both"/>
        <w:rPr>
          <w:lang w:val="en-US"/>
        </w:rPr>
      </w:pPr>
      <m:oMathPara>
        <m:oMath>
          <m:sSub>
            <m:sSubPr>
              <m:ctrlPr>
                <w:rPr>
                  <w:rFonts w:ascii="Cambria Math" w:hAnsi="Cambria Math"/>
                  <w:lang w:val="en-US"/>
                </w:rPr>
              </m:ctrlPr>
            </m:sSubPr>
            <m:e>
              <m:r>
                <m:rPr>
                  <m:sty m:val="p"/>
                </m:rPr>
                <w:rPr>
                  <w:rFonts w:ascii="Cambria Math" w:hAnsi="Cambria Math"/>
                  <w:lang w:val="en-US"/>
                </w:rPr>
                <m:t>β</m:t>
              </m:r>
            </m:e>
            <m:sub>
              <m:r>
                <m:rPr>
                  <m:sty m:val="p"/>
                </m:rPr>
                <w:rPr>
                  <w:rFonts w:ascii="Cambria Math" w:hAnsi="Cambria Math"/>
                  <w:lang w:val="en-US"/>
                </w:rPr>
                <m:t>ESG,t</m:t>
              </m:r>
            </m:sub>
          </m:sSub>
          <m:r>
            <m:rPr>
              <m:sty m:val="p"/>
            </m:rPr>
            <w:rPr>
              <w:rFonts w:ascii="Cambria Math" w:hAnsi="Cambria Math"/>
              <w:lang w:val="en-US"/>
            </w:rPr>
            <m:t>={</m:t>
          </m:r>
          <m:m>
            <m:mPr>
              <m:plcHide m:val="1"/>
              <m:mcs>
                <m:mc>
                  <m:mcPr>
                    <m:count m:val="2"/>
                    <m:mcJc m:val="center"/>
                  </m:mcPr>
                </m:mc>
              </m:mcs>
              <m:ctrlPr>
                <w:rPr>
                  <w:rFonts w:ascii="Cambria Math" w:hAnsi="Cambria Math"/>
                  <w:lang w:val="en-US"/>
                </w:rPr>
              </m:ctrlPr>
            </m:mPr>
            <m:mr>
              <m:e>
                <m:sSup>
                  <m:sSupPr>
                    <m:ctrlPr>
                      <w:rPr>
                        <w:rFonts w:ascii="Cambria Math" w:hAnsi="Cambria Math"/>
                        <w:lang w:val="en-US"/>
                      </w:rPr>
                    </m:ctrlPr>
                  </m:sSupPr>
                  <m:e>
                    <m:r>
                      <m:rPr>
                        <m:sty m:val="p"/>
                      </m:rPr>
                      <w:rPr>
                        <w:rFonts w:ascii="Cambria Math" w:hAnsi="Cambria Math"/>
                        <w:lang w:val="en-US"/>
                      </w:rPr>
                      <m:t>β</m:t>
                    </m:r>
                  </m:e>
                  <m:sup>
                    <m:r>
                      <m:rPr>
                        <m:sty m:val="p"/>
                      </m:rPr>
                      <w:rPr>
                        <w:rFonts w:ascii="Cambria Math" w:hAnsi="Cambria Math"/>
                        <w:lang w:val="en-US"/>
                      </w:rPr>
                      <m:t>(H)</m:t>
                    </m:r>
                  </m:sup>
                </m:sSup>
                <m:r>
                  <m:rPr>
                    <m:sty m:val="p"/>
                  </m:rPr>
                  <w:rPr>
                    <w:rFonts w:ascii="Cambria Math" w:hAnsi="Cambria Math"/>
                    <w:lang w:val="en-US"/>
                  </w:rPr>
                  <m:t>,</m:t>
                </m:r>
              </m:e>
              <m:e>
                <m:r>
                  <m:rPr>
                    <m:nor/>
                  </m:rPr>
                  <w:rPr>
                    <w:lang w:val="en-US"/>
                  </w:rPr>
                  <m:t>if policy stance is strict or supportive of green governance</m:t>
                </m:r>
                <m:r>
                  <m:rPr>
                    <m:sty m:val="p"/>
                  </m:rPr>
                  <w:rPr>
                    <w:rFonts w:ascii="Cambria Math" w:hAnsi="Cambria Math"/>
                    <w:lang w:val="en-US"/>
                  </w:rPr>
                  <m:t>,</m:t>
                </m:r>
              </m:e>
            </m:mr>
            <m:mr>
              <m:e>
                <m:sSup>
                  <m:sSupPr>
                    <m:ctrlPr>
                      <w:rPr>
                        <w:rFonts w:ascii="Cambria Math" w:hAnsi="Cambria Math"/>
                        <w:lang w:val="en-US"/>
                      </w:rPr>
                    </m:ctrlPr>
                  </m:sSupPr>
                  <m:e>
                    <m:r>
                      <m:rPr>
                        <m:sty m:val="p"/>
                      </m:rPr>
                      <w:rPr>
                        <w:rFonts w:ascii="Cambria Math" w:hAnsi="Cambria Math"/>
                        <w:lang w:val="en-US"/>
                      </w:rPr>
                      <m:t>β</m:t>
                    </m:r>
                  </m:e>
                  <m:sup>
                    <m:r>
                      <m:rPr>
                        <m:sty m:val="p"/>
                      </m:rPr>
                      <w:rPr>
                        <w:rFonts w:ascii="Cambria Math" w:hAnsi="Cambria Math"/>
                        <w:lang w:val="en-US"/>
                      </w:rPr>
                      <m:t>(L)</m:t>
                    </m:r>
                  </m:sup>
                </m:sSup>
                <m:r>
                  <m:rPr>
                    <m:sty m:val="p"/>
                  </m:rPr>
                  <w:rPr>
                    <w:rFonts w:ascii="Cambria Math" w:hAnsi="Cambria Math"/>
                    <w:lang w:val="en-US"/>
                  </w:rPr>
                  <m:t>,</m:t>
                </m:r>
              </m:e>
              <m:e>
                <m:r>
                  <m:rPr>
                    <m:nor/>
                  </m:rPr>
                  <w:rPr>
                    <w:lang w:val="en-US"/>
                  </w:rPr>
                  <m:t>if policy stance is weak or neutral</m:t>
                </m:r>
                <m:r>
                  <m:rPr>
                    <m:sty m:val="p"/>
                  </m:rPr>
                  <w:rPr>
                    <w:rFonts w:ascii="Cambria Math" w:hAnsi="Cambria Math"/>
                    <w:lang w:val="en-US"/>
                  </w:rPr>
                  <m:t>.</m:t>
                </m:r>
              </m:e>
            </m:mr>
          </m:m>
        </m:oMath>
      </m:oMathPara>
    </w:p>
    <w:p w14:paraId="371CED28" w14:textId="17A9C9B0" w:rsidR="007D2EC4" w:rsidRPr="00705903" w:rsidRDefault="007D2EC4" w:rsidP="0097761F">
      <w:pPr>
        <w:spacing w:line="360" w:lineRule="auto"/>
        <w:jc w:val="both"/>
        <w:rPr>
          <w:lang w:val="en-US"/>
        </w:rPr>
      </w:pPr>
      <w:r w:rsidRPr="00705903">
        <w:t>Under this state-dependent structure, ESG characteristics command stronger pricing power during periods of regulatory tightening, reflecting heightened investor attention and policy-driven capital reallocation. Importantly, this mechanism predicts that the governance (G) pillar should dominate ESG pricing in China. Governance scores</w:t>
      </w:r>
      <w:r w:rsidR="009027A1" w:rsidRPr="00705903">
        <w:rPr>
          <w:lang w:eastAsia="zh-CN"/>
        </w:rPr>
        <w:t xml:space="preserve"> (G scores)</w:t>
      </w:r>
      <w:r w:rsidRPr="00705903">
        <w:t xml:space="preserve"> are more tightly monitored by regulators, respond more directly to government directives—especially for state-owned enterprises—and reduce information asymmetry and financing frictions in a market where disclosure on environmental and social metrics remains limited. This reduction in information asymmetry arises through several concrete channels. High-governance firms must disclose detailed board reports, internal-control evaluations, and related-party transactions under CSRC and SASAC regulations, providing standardized and verifiable information to outside investors. They also undergo more rigorous audits and financial reporting procedures, which increase financial transparency and lower uncertainty faced by lenders in China’s bank-</w:t>
      </w:r>
      <w:proofErr w:type="spellStart"/>
      <w:r w:rsidRPr="00705903">
        <w:t>centered</w:t>
      </w:r>
      <w:proofErr w:type="spellEnd"/>
      <w:r w:rsidRPr="00705903">
        <w:t xml:space="preserve"> financial system. These institutional features make governance the most informative and policy-sensitive pillar, enabling </w:t>
      </w:r>
      <w:r w:rsidR="00077A2D" w:rsidRPr="00705903">
        <w:rPr>
          <w:lang w:eastAsia="zh-CN"/>
        </w:rPr>
        <w:t>governance attributes</w:t>
      </w:r>
      <w:r w:rsidRPr="00705903">
        <w:t xml:space="preserve"> to transmit regulatory shocks into asset prices more effectively than the environmental or social dimensions.</w:t>
      </w:r>
    </w:p>
    <w:p w14:paraId="26A73E63" w14:textId="72EEBBAD" w:rsidR="005F7CD1" w:rsidRPr="00705903" w:rsidRDefault="005F7CD1" w:rsidP="0097761F">
      <w:pPr>
        <w:spacing w:line="360" w:lineRule="auto"/>
        <w:jc w:val="both"/>
      </w:pPr>
      <w:r w:rsidRPr="00705903">
        <w:t>I use China’s A-share market as a distinctive empirical setting. As the world’s second-largest capital market, China has undergone rapid ESG institutionalization through increased disclosure requirements and state-driven sustainability initiatives (Luo, Tang &amp; Lan, 2013; Broadstock &amp; Zhang, 2023). I draw on the CNRDS ESG Rating Database, which covers all listed firms from 2007 to 2022 across 11 industries and provides the most comprehensive longitudinal ESG dataset available in China. This setting allows me to evaluate both market-driven and policy-driven effects. The coexistence of expanding disclosure and heterogeneous enforcement creates a quasi-natural environment to observe whether ESG s</w:t>
      </w:r>
      <w:r w:rsidR="00077A2D" w:rsidRPr="00705903">
        <w:rPr>
          <w:lang w:eastAsia="zh-CN"/>
        </w:rPr>
        <w:t>cores</w:t>
      </w:r>
      <w:r w:rsidRPr="00705903">
        <w:t xml:space="preserve"> predict financial returns or primarily serve as a risk buffer during policy cycles. </w:t>
      </w:r>
    </w:p>
    <w:p w14:paraId="20C639FD" w14:textId="20106706" w:rsidR="005F7CD1" w:rsidRPr="00705903" w:rsidRDefault="005F7CD1" w:rsidP="0097761F">
      <w:pPr>
        <w:spacing w:line="360" w:lineRule="auto"/>
        <w:jc w:val="both"/>
      </w:pPr>
      <w:r w:rsidRPr="00705903">
        <w:t xml:space="preserve">I conduct a multi-step empirical analysis. First, I examine ESG coverage ratios and </w:t>
      </w:r>
      <w:r w:rsidR="00077A2D" w:rsidRPr="00705903">
        <w:rPr>
          <w:lang w:eastAsia="zh-CN"/>
        </w:rPr>
        <w:t>rating</w:t>
      </w:r>
      <w:r w:rsidRPr="00705903">
        <w:t xml:space="preserve"> trends across industries from 2007 to 2022. Second, I </w:t>
      </w:r>
      <w:r w:rsidR="005F0888" w:rsidRPr="00705903">
        <w:t>analyse</w:t>
      </w:r>
      <w:r w:rsidRPr="00705903">
        <w:t xml:space="preserve"> </w:t>
      </w:r>
      <w:r w:rsidR="00077A2D" w:rsidRPr="00705903">
        <w:rPr>
          <w:lang w:eastAsia="zh-CN"/>
        </w:rPr>
        <w:t>score</w:t>
      </w:r>
      <w:r w:rsidRPr="00705903">
        <w:t xml:space="preserve"> distributions, rank stability, and coverage bias using a logit regression of ESG participation on firm characteristics. Third, following Fama and French (1993) and Lins, Servaes, and Tamayo (2017), I construct decile-based high–low (H–L) portfolios for ESG, E, S, and G scores to evaluate excess returns, volatility, Sharpe ratios, and turnover rates, capturing both profitability and stability of ESG-based strategies. Fourth, I examine ESG’s relation to downside risk by comparing high- and low-ESG portfolios’ volatility and drawdowns relative to major indices (CSI 300, SSE, SZSE), in line with Albuquerque et al. (2020) and Hoepner et al. (2019). Finally, I evaluate dynamic and policy-driven effects, testing whether ESG </w:t>
      </w:r>
      <w:r w:rsidR="00077A2D" w:rsidRPr="00705903">
        <w:rPr>
          <w:lang w:eastAsia="zh-CN"/>
        </w:rPr>
        <w:t>pricing</w:t>
      </w:r>
      <w:r w:rsidRPr="00705903">
        <w:t xml:space="preserve"> patterns </w:t>
      </w:r>
      <w:r w:rsidR="00077A2D" w:rsidRPr="00705903">
        <w:rPr>
          <w:lang w:eastAsia="zh-CN"/>
        </w:rPr>
        <w:t>vary systematically</w:t>
      </w:r>
      <w:r w:rsidRPr="00705903">
        <w:t xml:space="preserve"> with regulatory cycles and macroeconomic stress periods. </w:t>
      </w:r>
    </w:p>
    <w:p w14:paraId="49D2F86B" w14:textId="02857986" w:rsidR="005F0888" w:rsidRPr="00705903" w:rsidRDefault="005F7CD1" w:rsidP="0097761F">
      <w:pPr>
        <w:spacing w:line="360" w:lineRule="auto"/>
        <w:jc w:val="both"/>
      </w:pPr>
      <w:r w:rsidRPr="00705903">
        <w:t xml:space="preserve">I find that ESG coverage expanded rapidly. All industries show upward trends, with Information Technology growing fastest and Real Estate slowest. The average ESG </w:t>
      </w:r>
      <w:r w:rsidR="00077A2D" w:rsidRPr="00705903">
        <w:rPr>
          <w:lang w:eastAsia="zh-CN"/>
        </w:rPr>
        <w:t>rating</w:t>
      </w:r>
      <w:r w:rsidRPr="00705903">
        <w:t xml:space="preserve"> rose at an annualized rate of 3.6 percent, while Consumer Staples, Health Care, and Utilities consistently outperformed across the E, S, and G dimensions. </w:t>
      </w:r>
    </w:p>
    <w:p w14:paraId="7C39FD71" w14:textId="2381165B" w:rsidR="005F0888" w:rsidRPr="00705903" w:rsidRDefault="005F7CD1" w:rsidP="0097761F">
      <w:pPr>
        <w:spacing w:line="360" w:lineRule="auto"/>
        <w:jc w:val="both"/>
      </w:pPr>
      <w:r w:rsidRPr="00705903">
        <w:t xml:space="preserve">I document substantial structural heterogeneity in ESG </w:t>
      </w:r>
      <w:r w:rsidR="00077A2D" w:rsidRPr="00705903">
        <w:rPr>
          <w:lang w:eastAsia="zh-CN"/>
        </w:rPr>
        <w:t>rating</w:t>
      </w:r>
      <w:r w:rsidRPr="00705903">
        <w:t xml:space="preserve">s. The rank correlation between </w:t>
      </w:r>
      <w:r w:rsidR="00077A2D" w:rsidRPr="00705903">
        <w:t>Environmental (E) and Social (S) dimensions</w:t>
      </w:r>
      <w:r w:rsidR="00077A2D" w:rsidRPr="00705903">
        <w:rPr>
          <w:lang w:eastAsia="zh-CN"/>
        </w:rPr>
        <w:t xml:space="preserve"> </w:t>
      </w:r>
      <w:r w:rsidRPr="00705903">
        <w:t xml:space="preserve">is positive, while that between </w:t>
      </w:r>
      <w:r w:rsidR="00077A2D" w:rsidRPr="00705903">
        <w:t xml:space="preserve">Environmental (E) and Governance (G) </w:t>
      </w:r>
      <w:r w:rsidR="00077A2D" w:rsidRPr="00705903">
        <w:rPr>
          <w:lang w:eastAsia="zh-CN"/>
        </w:rPr>
        <w:t>dimension</w:t>
      </w:r>
      <w:r w:rsidRPr="00705903">
        <w:t xml:space="preserve"> is negative. </w:t>
      </w:r>
      <w:r w:rsidR="00077A2D" w:rsidRPr="00705903">
        <w:rPr>
          <w:lang w:eastAsia="zh-CN"/>
        </w:rPr>
        <w:t>F</w:t>
      </w:r>
      <w:r w:rsidR="00077A2D" w:rsidRPr="00705903">
        <w:t>irms covered by ESG ratings</w:t>
      </w:r>
      <w:r w:rsidR="00077A2D" w:rsidRPr="00705903">
        <w:rPr>
          <w:lang w:eastAsia="zh-CN"/>
        </w:rPr>
        <w:t xml:space="preserve"> </w:t>
      </w:r>
      <w:r w:rsidRPr="00705903">
        <w:t xml:space="preserve">tend to be larger and more valuable, indicating a coverage bias confirmed by logit regression results (p &lt; 0.01). Industry-level ranking stability varies significantly; Energy and Telecommunications show the highest volatility, consistent with sectoral differences in regulatory intensity and environmental exposure (Broadstock et al., 2021). </w:t>
      </w:r>
    </w:p>
    <w:p w14:paraId="4F15CCD5" w14:textId="65ED9000" w:rsidR="005F0888" w:rsidRPr="00705903" w:rsidRDefault="005F7CD1" w:rsidP="0097761F">
      <w:pPr>
        <w:spacing w:line="360" w:lineRule="auto"/>
        <w:jc w:val="both"/>
      </w:pPr>
      <w:r w:rsidRPr="00705903">
        <w:t xml:space="preserve">I </w:t>
      </w:r>
      <w:r w:rsidR="00077A2D" w:rsidRPr="00705903">
        <w:rPr>
          <w:lang w:eastAsia="zh-CN"/>
        </w:rPr>
        <w:t xml:space="preserve">further </w:t>
      </w:r>
      <w:r w:rsidRPr="00705903">
        <w:t xml:space="preserve">show that ESG factor performance exhibits cyclical patterns aligned with policy interventions. From 2010 to 2015, ESG and E-factor returns declined sharply, rebounded during 2016–2020, and fell again after 2021—mirroring major policy cycles in green finance and sustainability governance. Firms with higher ESG scores exhibit lower downside volatility, especially during periods of market turbulence or regulatory tightening, indicating that ESG acts primarily as a defensive, risk-mitigating </w:t>
      </w:r>
      <w:r w:rsidR="005364B7" w:rsidRPr="00705903">
        <w:rPr>
          <w:lang w:eastAsia="zh-CN"/>
        </w:rPr>
        <w:t>exposure</w:t>
      </w:r>
      <w:r w:rsidRPr="00705903">
        <w:t xml:space="preserve"> rather than a return-enhancing driver in China’s transitional market. </w:t>
      </w:r>
    </w:p>
    <w:p w14:paraId="77818315" w14:textId="5F2EBDD9" w:rsidR="005F0888" w:rsidRPr="00705903" w:rsidRDefault="005F7CD1" w:rsidP="0097761F">
      <w:pPr>
        <w:spacing w:line="360" w:lineRule="auto"/>
        <w:jc w:val="both"/>
      </w:pPr>
      <w:r w:rsidRPr="00705903">
        <w:t xml:space="preserve">Based on the conceptual framework and the institutional characteristics of China’s policy-driven ESG environment, I propose the following testable hypotheses: H1. ESG performance is negatively related to subsequent stock returns. High-ESG firms earn lower future returns, consistent with ESG functioning as a priced characteristic whose premium is compressed in a transitional, policy-sensitive market. H2. The governance (G) pillar exhibits the strongest return predictability among the ESG components. Governance scores are more tightly linked to regulatory oversight, information </w:t>
      </w:r>
      <w:r w:rsidR="009027A1" w:rsidRPr="00705903">
        <w:rPr>
          <w:lang w:eastAsia="zh-CN"/>
        </w:rPr>
        <w:t>asymmetry</w:t>
      </w:r>
      <w:r w:rsidRPr="00705903">
        <w:t xml:space="preserve">, and state-led capital reallocation, leading to stronger pricing effects relative to environmental or social dimensions. H3. ESG return differentials are state-contingent and strengthen during periods of regulatory tightening or high policy intensity. ESG’s pricing power varies with policy cycles, increasing when government sustainability initiatives or green finance policies intensify. H4. High-ESG firms have lower downside risk, particularly during market stress or policy tightening episodes. ESG operates primarily as a defensive characteristic, reducing volatility, drawdowns, and tail losses relative to low-ESG firms. </w:t>
      </w:r>
    </w:p>
    <w:p w14:paraId="28861261" w14:textId="77777777" w:rsidR="00A20847" w:rsidRPr="00705903" w:rsidRDefault="005F7CD1" w:rsidP="0097761F">
      <w:pPr>
        <w:spacing w:line="360" w:lineRule="auto"/>
        <w:jc w:val="both"/>
      </w:pPr>
      <w:r w:rsidRPr="00705903">
        <w:t>The remainder of the paper is organized as follows. Section 2 describes the data, variable construction, and methodology. Section 3 presents empirical results on ESG coverage, rating dynamics, and pricing tests, followed by a dynamic analysis of time-varying and policy-contingent ESG effects. Section 4 discusses robustness tests and policy implications. Section 5 concludes.</w:t>
      </w:r>
    </w:p>
    <w:p w14:paraId="3A7BDCBF" w14:textId="1FA983FD" w:rsidR="00A20847" w:rsidRPr="00705903" w:rsidRDefault="00A20847" w:rsidP="0097761F">
      <w:pPr>
        <w:spacing w:line="360" w:lineRule="auto"/>
        <w:jc w:val="both"/>
      </w:pPr>
      <w:r w:rsidRPr="00705903">
        <w:t xml:space="preserve">This study makes three contributions. First, it integrates ESG into an asset-pricing framework for an emerging market and provides the first comprehensive long-span evidence using CNRDS </w:t>
      </w:r>
      <w:r w:rsidR="005364B7" w:rsidRPr="00705903">
        <w:rPr>
          <w:lang w:eastAsia="zh-CN"/>
        </w:rPr>
        <w:t>ESG ratings</w:t>
      </w:r>
      <w:r w:rsidRPr="00705903">
        <w:t xml:space="preserve">. Second, it bridges the ESG–return and ESG–risk literatures by showing that ESG’s value in China lies in downside protection rather than premium generation. Third, it demonstrates the policy-dependent nature of ESG development in transitional economies, offering implications for regulators and investors regarding the stability and efficiency of ESG-driven capital allocation. </w:t>
      </w:r>
    </w:p>
    <w:p w14:paraId="6ACEACAE" w14:textId="1953F00F" w:rsidR="00F20675" w:rsidRPr="00705903" w:rsidRDefault="00F20675" w:rsidP="0097761F">
      <w:pPr>
        <w:spacing w:line="360" w:lineRule="auto"/>
        <w:ind w:firstLine="0"/>
        <w:jc w:val="both"/>
      </w:pPr>
    </w:p>
    <w:p w14:paraId="154EE4F6" w14:textId="77777777" w:rsidR="0097761F" w:rsidRPr="00705903" w:rsidRDefault="0097761F" w:rsidP="0097761F">
      <w:pPr>
        <w:spacing w:line="360" w:lineRule="auto"/>
        <w:ind w:firstLine="0"/>
        <w:jc w:val="both"/>
        <w:rPr>
          <w:sz w:val="28"/>
          <w:szCs w:val="28"/>
          <w:lang w:val="en-US" w:eastAsia="zh-CN"/>
        </w:rPr>
      </w:pPr>
    </w:p>
    <w:p w14:paraId="0E0E5B98" w14:textId="12C70C44" w:rsidR="00AB238E" w:rsidRPr="00705903" w:rsidRDefault="0097761F" w:rsidP="0097761F">
      <w:pPr>
        <w:pStyle w:val="Heading1"/>
      </w:pPr>
      <w:r w:rsidRPr="00705903">
        <w:rPr>
          <w:rFonts w:hint="eastAsia"/>
        </w:rPr>
        <w:t xml:space="preserve">2. </w:t>
      </w:r>
      <w:r w:rsidR="000B4927" w:rsidRPr="00705903">
        <w:t>Data and Methodology</w:t>
      </w:r>
    </w:p>
    <w:p w14:paraId="1D79CBDF" w14:textId="7C7DB14E" w:rsidR="000B4927" w:rsidRPr="00705903" w:rsidRDefault="000B4927" w:rsidP="0097761F">
      <w:pPr>
        <w:pStyle w:val="Heading2"/>
      </w:pPr>
      <w:r w:rsidRPr="00705903">
        <w:t>2.1 Data Description</w:t>
      </w:r>
      <w:r w:rsidR="00D41A58" w:rsidRPr="00705903">
        <w:t xml:space="preserve"> </w:t>
      </w:r>
    </w:p>
    <w:p w14:paraId="1FF33C7E" w14:textId="068E52CB" w:rsidR="00F20675" w:rsidRPr="00705903" w:rsidRDefault="00F20675" w:rsidP="0097761F">
      <w:pPr>
        <w:spacing w:line="360" w:lineRule="auto"/>
        <w:ind w:firstLine="720"/>
        <w:jc w:val="both"/>
        <w:rPr>
          <w:lang w:val="en-US"/>
        </w:rPr>
      </w:pPr>
      <w:r w:rsidRPr="00705903">
        <w:rPr>
          <w:lang w:val="en-US"/>
        </w:rPr>
        <w:t>I construct the dataset using the CNRDS ESG Rating Database</w:t>
      </w:r>
      <w:r w:rsidR="00D41A58" w:rsidRPr="00705903">
        <w:rPr>
          <w:rStyle w:val="FootnoteReference"/>
          <w:lang w:val="en-US"/>
        </w:rPr>
        <w:footnoteReference w:id="1"/>
      </w:r>
      <w:r w:rsidRPr="00705903">
        <w:rPr>
          <w:lang w:val="en-US"/>
        </w:rPr>
        <w:t xml:space="preserve">, which provides the most comprehensive panel of ESG </w:t>
      </w:r>
      <w:r w:rsidR="005364B7" w:rsidRPr="00705903">
        <w:rPr>
          <w:lang w:val="en-US" w:eastAsia="zh-CN"/>
        </w:rPr>
        <w:t>ratings</w:t>
      </w:r>
      <w:r w:rsidRPr="00705903">
        <w:rPr>
          <w:lang w:val="en-US"/>
        </w:rPr>
        <w:t xml:space="preserve"> for all listed firms in China’s A-share market from 2007 to 2022. Each firm-year observation includes an overall ESG </w:t>
      </w:r>
      <w:r w:rsidR="007E6162" w:rsidRPr="00705903">
        <w:rPr>
          <w:lang w:val="en-US" w:eastAsia="zh-CN"/>
        </w:rPr>
        <w:t>rating</w:t>
      </w:r>
      <w:r w:rsidRPr="00705903">
        <w:rPr>
          <w:lang w:val="en-US"/>
        </w:rPr>
        <w:t xml:space="preserve"> as well as three sub-scores for the environmental (E), social (S), and governance (G) dimensions. The CNRDS evaluation framework is developed based on international disclosure standards—ISO 26000, GRI Standards, and SASB Standards—and adapted to China’s domestic regulatory context. Each firm’s ESG performance is evaluated using a three-tier structure consisting of 3 primary, 14 secondary, and 39 tertiary indicators.</w:t>
      </w:r>
    </w:p>
    <w:p w14:paraId="181DEA6F" w14:textId="1F113DA3" w:rsidR="00F20675" w:rsidRPr="00705903" w:rsidRDefault="005364B7" w:rsidP="0097761F">
      <w:pPr>
        <w:spacing w:line="360" w:lineRule="auto"/>
        <w:ind w:firstLine="720"/>
        <w:jc w:val="both"/>
        <w:rPr>
          <w:lang w:val="en-US"/>
        </w:rPr>
      </w:pPr>
      <w:r w:rsidRPr="00705903">
        <w:rPr>
          <w:lang w:val="en-US"/>
        </w:rPr>
        <w:t>ESG information is</w:t>
      </w:r>
      <w:r w:rsidRPr="00705903">
        <w:rPr>
          <w:lang w:val="en-US" w:eastAsia="zh-CN"/>
        </w:rPr>
        <w:t xml:space="preserve"> </w:t>
      </w:r>
      <w:r w:rsidR="00F20675" w:rsidRPr="00705903">
        <w:rPr>
          <w:lang w:val="en-US"/>
        </w:rPr>
        <w:t>manually collected and verified from publicly available information, including annual reports, CSR/ESG reports, regulatory filings, and verified media sources</w:t>
      </w:r>
      <w:r w:rsidR="00D41A58" w:rsidRPr="00705903">
        <w:rPr>
          <w:rStyle w:val="FootnoteReference"/>
          <w:lang w:val="en-US"/>
        </w:rPr>
        <w:footnoteReference w:id="2"/>
      </w:r>
      <w:r w:rsidR="00F20675" w:rsidRPr="00705903">
        <w:rPr>
          <w:lang w:val="en-US"/>
        </w:rPr>
        <w:t>. Qualitative indicators are assigned binary (0–1) values, while quantitative indicators are standardized and aggregated from 0 to 100</w:t>
      </w:r>
      <w:r w:rsidRPr="00705903">
        <w:rPr>
          <w:lang w:val="en-US" w:eastAsia="zh-CN"/>
        </w:rPr>
        <w:t xml:space="preserve"> and then composite into ESG ratings</w:t>
      </w:r>
      <w:r w:rsidR="00F20675" w:rsidRPr="00705903">
        <w:rPr>
          <w:lang w:val="en-US"/>
        </w:rPr>
        <w:t xml:space="preserve">. This methodology ensures cross-firm and intertemporal comparability of ESG </w:t>
      </w:r>
      <w:r w:rsidR="007E6162" w:rsidRPr="00705903">
        <w:rPr>
          <w:lang w:val="en-US" w:eastAsia="zh-CN"/>
        </w:rPr>
        <w:t>rating</w:t>
      </w:r>
      <w:r w:rsidR="00F20675" w:rsidRPr="00705903">
        <w:rPr>
          <w:lang w:val="en-US"/>
        </w:rPr>
        <w:t>s. I follow the official documentation of the CNRDS platform for data citation and verification procedures (CNRDS, 2024).</w:t>
      </w:r>
    </w:p>
    <w:p w14:paraId="6DFD3F1F" w14:textId="5B383F54" w:rsidR="00F20675" w:rsidRPr="00705903" w:rsidRDefault="00F20675" w:rsidP="0097761F">
      <w:pPr>
        <w:spacing w:line="360" w:lineRule="auto"/>
        <w:ind w:firstLine="720"/>
        <w:jc w:val="both"/>
        <w:rPr>
          <w:lang w:val="en-US"/>
        </w:rPr>
      </w:pPr>
      <w:r w:rsidRPr="00705903">
        <w:rPr>
          <w:lang w:val="en-US"/>
        </w:rPr>
        <w:t>Following prior studies on ESG performance and financial outcomes (e.g., Lins, Servaes, and Tamayo, 2017; Khan, Serafeim, and Yoon, 2016; Broadstock et al., 2021), I focus on firm-level ESG ratings and their dynamic interactions with corporate financial characteristics. Compared with international databases such as MSCI or Refinitiv, which provide limited coverage of Chinese firms, the CNRDS database offers complete coverage of all A-share listed firms</w:t>
      </w:r>
      <w:r w:rsidR="00D41A58" w:rsidRPr="00705903">
        <w:rPr>
          <w:rStyle w:val="FootnoteReference"/>
          <w:lang w:val="en-US"/>
        </w:rPr>
        <w:footnoteReference w:id="3"/>
      </w:r>
      <w:r w:rsidRPr="00705903">
        <w:rPr>
          <w:lang w:val="en-US"/>
        </w:rPr>
        <w:t xml:space="preserve"> and integrates local disclosure rules into its rating system, making it the most representative and policy-aligned ESG </w:t>
      </w:r>
      <w:r w:rsidR="00BE447A" w:rsidRPr="00705903">
        <w:rPr>
          <w:lang w:val="en-US" w:eastAsia="zh-CN"/>
        </w:rPr>
        <w:t>rating system in China</w:t>
      </w:r>
      <w:r w:rsidRPr="00705903">
        <w:rPr>
          <w:lang w:val="en-US"/>
        </w:rPr>
        <w:t xml:space="preserve"> market.</w:t>
      </w:r>
    </w:p>
    <w:p w14:paraId="00170643" w14:textId="5B096874" w:rsidR="00D41A58" w:rsidRPr="00705903" w:rsidRDefault="00F20675" w:rsidP="0097761F">
      <w:pPr>
        <w:spacing w:line="360" w:lineRule="auto"/>
        <w:ind w:firstLine="720"/>
        <w:jc w:val="both"/>
        <w:rPr>
          <w:lang w:val="en-US" w:eastAsia="zh-CN"/>
        </w:rPr>
      </w:pPr>
      <w:r w:rsidRPr="00705903">
        <w:rPr>
          <w:lang w:val="en-US"/>
        </w:rPr>
        <w:t>To maintain cross-sectoral comparability, I retain financial firms and include 11 CSRC industry categories in the final sample. To complement the ESG information, I merge firm-level financial data from CSMAR and Wind</w:t>
      </w:r>
      <w:r w:rsidR="00D41A58" w:rsidRPr="00705903">
        <w:rPr>
          <w:rStyle w:val="FootnoteReference"/>
          <w:lang w:val="en-US"/>
        </w:rPr>
        <w:footnoteReference w:id="4"/>
      </w:r>
      <w:r w:rsidRPr="00705903">
        <w:rPr>
          <w:lang w:val="en-US"/>
        </w:rPr>
        <w:t>, including market capitalization, price-to-book ratio, and daily stock returns, which are used for portfolio construction and factor-based regressions.</w:t>
      </w:r>
      <w:r w:rsidRPr="00705903">
        <w:rPr>
          <w:lang w:val="en-US" w:eastAsia="zh-CN"/>
        </w:rPr>
        <w:t xml:space="preserve"> </w:t>
      </w:r>
    </w:p>
    <w:p w14:paraId="2FA00A2D" w14:textId="6945A193" w:rsidR="00F20675" w:rsidRPr="00705903" w:rsidRDefault="00F20675" w:rsidP="0097761F">
      <w:pPr>
        <w:spacing w:line="360" w:lineRule="auto"/>
        <w:ind w:firstLine="720"/>
        <w:jc w:val="both"/>
        <w:rPr>
          <w:lang w:val="en-US"/>
        </w:rPr>
      </w:pPr>
      <w:r w:rsidRPr="00705903">
        <w:rPr>
          <w:lang w:val="en-US"/>
        </w:rPr>
        <w:t xml:space="preserve">After merging and filtering, the final balanced panel consists of approximately 65,000 firm-year observations. I </w:t>
      </w:r>
      <w:proofErr w:type="spellStart"/>
      <w:r w:rsidRPr="00705903">
        <w:rPr>
          <w:lang w:val="en-US"/>
        </w:rPr>
        <w:t>winsorize</w:t>
      </w:r>
      <w:proofErr w:type="spellEnd"/>
      <w:r w:rsidRPr="00705903">
        <w:rPr>
          <w:lang w:val="en-US"/>
        </w:rPr>
        <w:t xml:space="preserve"> all continuous variables at the 1st and 99th percentiles to mitigate the influence of outliers</w:t>
      </w:r>
      <w:r w:rsidR="00D41A58" w:rsidRPr="00705903">
        <w:rPr>
          <w:rStyle w:val="FootnoteReference"/>
          <w:lang w:val="en-US"/>
        </w:rPr>
        <w:footnoteReference w:id="5"/>
      </w:r>
      <w:r w:rsidRPr="00705903">
        <w:rPr>
          <w:lang w:val="en-US"/>
        </w:rPr>
        <w:t xml:space="preserve">. The number of observations expands from 5,076 in 2007 to 5,084 in 2022, reflecting the rapid institutionalization of ESG disclosure in China over the past decade. </w:t>
      </w:r>
      <w:r w:rsidR="0012788E" w:rsidRPr="00705903">
        <w:t>I report summary statistics by year and industry in Table 1 and present the distribution of ESG coverage and average scores across the E, S, and G dimensions in Table 2.</w:t>
      </w:r>
    </w:p>
    <w:p w14:paraId="434B2176" w14:textId="46FE4251" w:rsidR="005D0C1F" w:rsidRPr="00705903" w:rsidRDefault="005A3FD5" w:rsidP="0097761F">
      <w:pPr>
        <w:spacing w:line="360" w:lineRule="auto"/>
        <w:ind w:firstLine="720"/>
        <w:jc w:val="both"/>
        <w:rPr>
          <w:lang w:val="en-US" w:eastAsia="zh-CN"/>
        </w:rPr>
      </w:pPr>
      <w:r w:rsidRPr="00705903">
        <w:rPr>
          <w:lang w:val="en-US" w:eastAsia="zh-CN"/>
        </w:rPr>
        <w:t xml:space="preserve">I choose 2007 to 2022 as sample period </w:t>
      </w:r>
      <w:r w:rsidR="001C44F2" w:rsidRPr="00705903">
        <w:rPr>
          <w:lang w:val="en-US" w:eastAsia="zh-CN"/>
        </w:rPr>
        <w:t xml:space="preserve">because 2007 marks the first year with full ESG coverage for A-share firms in the CNRDS </w:t>
      </w:r>
      <w:r w:rsidR="00BE447A" w:rsidRPr="00705903">
        <w:rPr>
          <w:lang w:val="en-US" w:eastAsia="zh-CN"/>
        </w:rPr>
        <w:t xml:space="preserve">rating </w:t>
      </w:r>
      <w:r w:rsidR="001C44F2" w:rsidRPr="00705903">
        <w:rPr>
          <w:lang w:val="en-US" w:eastAsia="zh-CN"/>
        </w:rPr>
        <w:t>database, while 2022 represents the latest year before the CSRC’s 2023 ESG disclosure reform, ensuring data consistency and comparability across years.</w:t>
      </w:r>
      <w:r w:rsidR="00EC3017" w:rsidRPr="00705903">
        <w:rPr>
          <w:lang w:val="en-US" w:eastAsia="zh-CN"/>
        </w:rPr>
        <w:t xml:space="preserve"> </w:t>
      </w:r>
      <w:r w:rsidR="005D0C1F" w:rsidRPr="00705903">
        <w:rPr>
          <w:lang w:val="en-US" w:eastAsia="zh-CN"/>
        </w:rPr>
        <w:t>Firm-level variables include standardized ESG, E, S, and G scores, market capitalization, price-to-book ratio, and daily return. At the portfolio level, I construct performance and risk measures, including monthly and excess returns, Sharpe ratios, turnover, and downside risk indicators, derived from firm-level data to assess the financial implications of ESG performance.</w:t>
      </w:r>
    </w:p>
    <w:p w14:paraId="127D2FCB" w14:textId="41C706AF" w:rsidR="005D0C1F" w:rsidRPr="00705903" w:rsidRDefault="00BE447A" w:rsidP="0097761F">
      <w:pPr>
        <w:spacing w:line="360" w:lineRule="auto"/>
        <w:ind w:firstLine="720"/>
        <w:jc w:val="both"/>
        <w:rPr>
          <w:lang w:eastAsia="zh-CN"/>
        </w:rPr>
      </w:pPr>
      <w:r w:rsidRPr="00705903">
        <w:rPr>
          <w:lang w:val="en-US" w:eastAsia="zh-CN"/>
        </w:rPr>
        <w:t>For</w:t>
      </w:r>
      <w:r w:rsidR="005D0C1F" w:rsidRPr="00705903">
        <w:rPr>
          <w:lang w:eastAsia="zh-CN"/>
        </w:rPr>
        <w:t xml:space="preserve"> robustness analyses, I further complement the CNRDS data with the ESG ratings sourced from the CSMAR–</w:t>
      </w:r>
      <w:proofErr w:type="spellStart"/>
      <w:r w:rsidR="005D0C1F" w:rsidRPr="00705903">
        <w:rPr>
          <w:lang w:eastAsia="zh-CN"/>
        </w:rPr>
        <w:t>SynTao</w:t>
      </w:r>
      <w:proofErr w:type="spellEnd"/>
      <w:r w:rsidR="005D0C1F" w:rsidRPr="00705903">
        <w:rPr>
          <w:lang w:eastAsia="zh-CN"/>
        </w:rPr>
        <w:t xml:space="preserve"> Green Finance database, which provides an independent ESG evaluation framework covering all A-share firms since 2015. The </w:t>
      </w:r>
      <w:proofErr w:type="spellStart"/>
      <w:r w:rsidR="005D0C1F" w:rsidRPr="00705903">
        <w:rPr>
          <w:lang w:eastAsia="zh-CN"/>
        </w:rPr>
        <w:t>SynTao</w:t>
      </w:r>
      <w:proofErr w:type="spellEnd"/>
      <w:r w:rsidR="005D0C1F" w:rsidRPr="00705903">
        <w:rPr>
          <w:lang w:eastAsia="zh-CN"/>
        </w:rPr>
        <w:t xml:space="preserve"> system adopts a 14-issue, 200-indicator structure with 51 industry models, focusing on ESG management performance and risk exposure. This enables a direct cross-database comparison of rating consistency and mitigates potential measurement bias from a single data provider (see Appendix B). </w:t>
      </w:r>
    </w:p>
    <w:p w14:paraId="40D46362" w14:textId="4FCD6860" w:rsidR="005D0C1F" w:rsidRPr="00705903" w:rsidRDefault="005D0C1F" w:rsidP="0097761F">
      <w:pPr>
        <w:spacing w:line="360" w:lineRule="auto"/>
        <w:ind w:firstLine="720"/>
        <w:jc w:val="both"/>
        <w:rPr>
          <w:lang w:eastAsia="zh-CN"/>
        </w:rPr>
      </w:pPr>
      <w:r w:rsidRPr="00705903">
        <w:rPr>
          <w:lang w:eastAsia="zh-CN"/>
        </w:rPr>
        <w:t xml:space="preserve">To ensure the robustness of the empirical results, all continuous variables—including ESG scores, financial ratios, and stock returns—are </w:t>
      </w:r>
      <w:proofErr w:type="spellStart"/>
      <w:r w:rsidRPr="00705903">
        <w:rPr>
          <w:lang w:eastAsia="zh-CN"/>
        </w:rPr>
        <w:t>winsorized</w:t>
      </w:r>
      <w:proofErr w:type="spellEnd"/>
      <w:r w:rsidRPr="00705903">
        <w:rPr>
          <w:lang w:eastAsia="zh-CN"/>
        </w:rPr>
        <w:t xml:space="preserve"> at the 1st and 99th percentiles on an annual basis to mitigate the influence of extreme outliers. This procedure is consistently applied across portfolio sorts and regression analyses.</w:t>
      </w:r>
      <w:r w:rsidR="00C14B95" w:rsidRPr="00705903">
        <w:t xml:space="preserve"> </w:t>
      </w:r>
      <w:r w:rsidR="00C14B95" w:rsidRPr="00705903">
        <w:rPr>
          <w:lang w:eastAsia="zh-CN"/>
        </w:rPr>
        <w:t xml:space="preserve">Having established the construction and characteristics of the dataset, I proceed to </w:t>
      </w:r>
      <w:proofErr w:type="spellStart"/>
      <w:r w:rsidR="00C14B95" w:rsidRPr="00705903">
        <w:rPr>
          <w:lang w:eastAsia="zh-CN"/>
        </w:rPr>
        <w:t>analyze</w:t>
      </w:r>
      <w:proofErr w:type="spellEnd"/>
      <w:r w:rsidR="00C14B95" w:rsidRPr="00705903">
        <w:rPr>
          <w:lang w:eastAsia="zh-CN"/>
        </w:rPr>
        <w:t xml:space="preserve"> industry-level heterogeneity and temporal trends in ESG performance, which provide the foundation for subsequent pricing tests.</w:t>
      </w:r>
    </w:p>
    <w:p w14:paraId="2F24721E" w14:textId="2B385DF8" w:rsidR="00BE359B" w:rsidRPr="00705903" w:rsidRDefault="00BE359B" w:rsidP="0097761F">
      <w:pPr>
        <w:spacing w:line="360" w:lineRule="auto"/>
        <w:ind w:firstLine="0"/>
        <w:jc w:val="both"/>
        <w:rPr>
          <w:lang w:val="en-US"/>
        </w:rPr>
      </w:pPr>
    </w:p>
    <w:p w14:paraId="027C60A5" w14:textId="14AD72AA" w:rsidR="00162BB2" w:rsidRPr="00705903" w:rsidRDefault="00162BB2" w:rsidP="0097761F">
      <w:pPr>
        <w:pStyle w:val="Heading2"/>
      </w:pPr>
      <w:r w:rsidRPr="00705903">
        <w:t xml:space="preserve">2.2 </w:t>
      </w:r>
      <w:r w:rsidR="0057191B" w:rsidRPr="00705903">
        <w:t>Industry Heterogeneity and Temporal Trends in ESG Performance</w:t>
      </w:r>
    </w:p>
    <w:p w14:paraId="26037CAA" w14:textId="77A50C41" w:rsidR="007C364A" w:rsidRPr="00705903" w:rsidRDefault="007C364A" w:rsidP="0097761F">
      <w:pPr>
        <w:spacing w:line="360" w:lineRule="auto"/>
        <w:ind w:firstLine="720"/>
        <w:jc w:val="both"/>
        <w:rPr>
          <w:lang w:val="en-US"/>
        </w:rPr>
      </w:pPr>
      <w:r w:rsidRPr="00705903">
        <w:rPr>
          <w:lang w:val="en-US"/>
        </w:rPr>
        <w:t xml:space="preserve">Our sample covers all listed firms in China’s A-share market from 2007 to 2022, encompassing 11 CSRC industry categories and approximately 65 000 firm-year observations. Both financial and non-financial firms are retained to preserve cross-sector comparability. ESG coverage </w:t>
      </w:r>
      <w:r w:rsidR="00702DAB" w:rsidRPr="00705903">
        <w:rPr>
          <w:lang w:val="en-US" w:eastAsia="zh-CN"/>
        </w:rPr>
        <w:t xml:space="preserve">rates </w:t>
      </w:r>
      <w:r w:rsidR="00702DAB" w:rsidRPr="00705903">
        <w:rPr>
          <w:lang w:val="en-US"/>
        </w:rPr>
        <w:t>expand</w:t>
      </w:r>
      <w:r w:rsidRPr="00705903">
        <w:rPr>
          <w:lang w:val="en-US"/>
        </w:rPr>
        <w:t xml:space="preserve"> steadily from 27.5 percent in 2007 to 95.4 percent in 2022, indicating the institutionalization of sustainability disclosure and the progressive integration of ESG principles into corporate governance</w:t>
      </w:r>
      <w:r w:rsidRPr="00705903">
        <w:rPr>
          <w:rStyle w:val="FootnoteReference"/>
          <w:lang w:val="en-US"/>
        </w:rPr>
        <w:footnoteReference w:id="6"/>
      </w:r>
      <w:r w:rsidRPr="00705903">
        <w:rPr>
          <w:lang w:val="en-US"/>
        </w:rPr>
        <w:t xml:space="preserve">. The mean ESG </w:t>
      </w:r>
      <w:r w:rsidR="00702DAB" w:rsidRPr="00705903">
        <w:rPr>
          <w:lang w:val="en-US" w:eastAsia="zh-CN"/>
        </w:rPr>
        <w:t>score</w:t>
      </w:r>
      <w:r w:rsidRPr="00705903">
        <w:rPr>
          <w:lang w:val="en-US"/>
        </w:rPr>
        <w:t xml:space="preserve"> increases at an annualized rate of about 3.6 percent, with sharp upturns following major regulatory initiatives—particularly the Green Finance Guidelines (2015) and the Revised ESG Disclosure Mandates (2020)—underscoring the strong policy</w:t>
      </w:r>
      <w:r w:rsidR="00702DAB" w:rsidRPr="00705903">
        <w:rPr>
          <w:lang w:val="en-US" w:eastAsia="zh-CN"/>
        </w:rPr>
        <w:t xml:space="preserve">-driven nature </w:t>
      </w:r>
      <w:r w:rsidRPr="00705903">
        <w:rPr>
          <w:lang w:val="en-US"/>
        </w:rPr>
        <w:t>of China’s ESG landscape.</w:t>
      </w:r>
    </w:p>
    <w:p w14:paraId="6ED24D29" w14:textId="703E5E8B" w:rsidR="007C364A" w:rsidRPr="00705903" w:rsidRDefault="007C364A" w:rsidP="0097761F">
      <w:pPr>
        <w:spacing w:line="360" w:lineRule="auto"/>
        <w:ind w:firstLine="720"/>
        <w:jc w:val="both"/>
        <w:rPr>
          <w:lang w:val="en-US"/>
        </w:rPr>
      </w:pPr>
      <w:r w:rsidRPr="00705903">
        <w:rPr>
          <w:lang w:val="en-US"/>
        </w:rPr>
        <w:t xml:space="preserve">To assess cross-sectional heterogeneity, I compare ESG ratings across 11 industries. Firms in consumer staples, health care, and </w:t>
      </w:r>
      <w:r w:rsidR="00404D19" w:rsidRPr="00705903">
        <w:rPr>
          <w:lang w:val="en-US" w:eastAsia="zh-CN"/>
        </w:rPr>
        <w:t>materials</w:t>
      </w:r>
      <w:r w:rsidRPr="00705903">
        <w:rPr>
          <w:lang w:val="en-US"/>
        </w:rPr>
        <w:t xml:space="preserve"> consistently outperform the market average, whereas </w:t>
      </w:r>
      <w:r w:rsidR="00404D19" w:rsidRPr="00705903">
        <w:rPr>
          <w:lang w:val="en-US" w:eastAsia="zh-CN"/>
        </w:rPr>
        <w:t>telecommunication</w:t>
      </w:r>
      <w:r w:rsidRPr="00705903">
        <w:rPr>
          <w:lang w:val="en-US"/>
        </w:rPr>
        <w:t>, and real estate trail behind—reflecting structural differences in environmental intensity and regulatory exposure</w:t>
      </w:r>
      <w:r w:rsidRPr="00705903">
        <w:rPr>
          <w:rStyle w:val="FootnoteReference"/>
          <w:lang w:val="en-US"/>
        </w:rPr>
        <w:footnoteReference w:id="7"/>
      </w:r>
      <w:r w:rsidRPr="00705903">
        <w:rPr>
          <w:lang w:val="en-US"/>
        </w:rPr>
        <w:t xml:space="preserve">. Among the three dimensions, the environmental (E) score exhibits the largest dispersion, implying heterogeneous responses to pollution control and energy-transition policies. </w:t>
      </w:r>
      <w:r w:rsidR="007A5849" w:rsidRPr="00705903">
        <w:rPr>
          <w:lang w:val="en-US"/>
        </w:rPr>
        <w:t xml:space="preserve">Among the three ESG dimensions, the environmental (E) score exhibits the greatest dispersion, reflecting substantial heterogeneity in firms’ responses to pollution control measures and energy-transition policies. The social (S) dimension appears more homogeneous across sectors, suggesting a relatively consistent approach to social responsibility practices. In contrast, the governance (G) dimension clusters around mid-range values, consistent with the standardized governance frameworks imposed </w:t>
      </w:r>
      <w:r w:rsidR="007A5849" w:rsidRPr="00705903">
        <w:rPr>
          <w:lang w:val="en-US" w:eastAsia="zh-CN"/>
        </w:rPr>
        <w:t xml:space="preserve">by </w:t>
      </w:r>
      <w:r w:rsidR="007A5849" w:rsidRPr="00705903">
        <w:rPr>
          <w:lang w:val="en-US"/>
        </w:rPr>
        <w:t>State-owned Assets Supervision and Administration Commission</w:t>
      </w:r>
      <w:r w:rsidRPr="00705903">
        <w:rPr>
          <w:lang w:val="en-US"/>
        </w:rPr>
        <w:t xml:space="preserve"> </w:t>
      </w:r>
      <w:r w:rsidR="007A5849" w:rsidRPr="00705903">
        <w:rPr>
          <w:lang w:val="en-US" w:eastAsia="zh-CN"/>
        </w:rPr>
        <w:t>(</w:t>
      </w:r>
      <w:r w:rsidRPr="00705903">
        <w:rPr>
          <w:lang w:val="en-US"/>
        </w:rPr>
        <w:t>SASAC</w:t>
      </w:r>
      <w:r w:rsidR="007A5849" w:rsidRPr="00705903">
        <w:rPr>
          <w:lang w:val="en-US" w:eastAsia="zh-CN"/>
        </w:rPr>
        <w:t>)</w:t>
      </w:r>
      <w:r w:rsidRPr="00705903">
        <w:rPr>
          <w:rStyle w:val="FootnoteReference"/>
          <w:lang w:val="en-US"/>
        </w:rPr>
        <w:footnoteReference w:id="8"/>
      </w:r>
      <w:r w:rsidRPr="00705903">
        <w:rPr>
          <w:lang w:val="en-US"/>
        </w:rPr>
        <w:t>.</w:t>
      </w:r>
    </w:p>
    <w:p w14:paraId="0212CFE7" w14:textId="4B438297" w:rsidR="007C364A" w:rsidRPr="00705903" w:rsidRDefault="007C364A" w:rsidP="0097761F">
      <w:pPr>
        <w:spacing w:line="360" w:lineRule="auto"/>
        <w:ind w:firstLine="720"/>
        <w:jc w:val="both"/>
        <w:rPr>
          <w:lang w:val="en-US"/>
        </w:rPr>
      </w:pPr>
      <w:r w:rsidRPr="00705903">
        <w:rPr>
          <w:lang w:val="en-US"/>
        </w:rPr>
        <w:t xml:space="preserve">From a temporal perspective, ESG </w:t>
      </w:r>
      <w:r w:rsidR="003C2652" w:rsidRPr="00705903">
        <w:rPr>
          <w:lang w:val="en-US" w:eastAsia="zh-CN"/>
        </w:rPr>
        <w:t>coverage</w:t>
      </w:r>
      <w:r w:rsidRPr="00705903">
        <w:rPr>
          <w:lang w:val="en-US"/>
        </w:rPr>
        <w:t xml:space="preserve"> displays two distinct acceleration phases: (1) 2015–2017, coinciding with the national rollout of the Green Finance Strategy; and (2) 2020–2022, when sustainability disclosure was incorporated into mandatory reporting frameworks. </w:t>
      </w:r>
      <w:r w:rsidR="003C2652" w:rsidRPr="00705903">
        <w:rPr>
          <w:lang w:val="en-US"/>
        </w:rPr>
        <w:t>Both episodes occur during periods of regulatory tightening and policy reinforcement, underscoring that China’s ESG</w:t>
      </w:r>
      <w:r w:rsidR="003C2652" w:rsidRPr="00705903">
        <w:rPr>
          <w:lang w:val="en-US" w:eastAsia="zh-CN"/>
        </w:rPr>
        <w:t xml:space="preserve"> coverage</w:t>
      </w:r>
      <w:r w:rsidR="003C2652" w:rsidRPr="00705903">
        <w:rPr>
          <w:lang w:val="en-US"/>
        </w:rPr>
        <w:t xml:space="preserve"> evolution is predominantly policy-induced rather than </w:t>
      </w:r>
      <w:r w:rsidR="003C2652" w:rsidRPr="00705903">
        <w:rPr>
          <w:lang w:val="en-US" w:eastAsia="zh-CN"/>
        </w:rPr>
        <w:t xml:space="preserve">purely </w:t>
      </w:r>
      <w:r w:rsidRPr="00705903">
        <w:rPr>
          <w:lang w:val="en-US"/>
        </w:rPr>
        <w:t>market-driven</w:t>
      </w:r>
      <w:r w:rsidRPr="00705903">
        <w:rPr>
          <w:rStyle w:val="FootnoteReference"/>
          <w:lang w:val="en-US"/>
        </w:rPr>
        <w:footnoteReference w:id="9"/>
      </w:r>
      <w:r w:rsidRPr="00705903">
        <w:rPr>
          <w:lang w:val="en-US"/>
        </w:rPr>
        <w:t>.</w:t>
      </w:r>
    </w:p>
    <w:p w14:paraId="6EC39883" w14:textId="4C68FCAB" w:rsidR="00162BB2" w:rsidRPr="00705903" w:rsidRDefault="007C364A" w:rsidP="0097761F">
      <w:pPr>
        <w:spacing w:line="360" w:lineRule="auto"/>
        <w:ind w:firstLine="720"/>
        <w:jc w:val="both"/>
        <w:rPr>
          <w:lang w:val="en-US"/>
        </w:rPr>
      </w:pPr>
      <w:r w:rsidRPr="00705903">
        <w:rPr>
          <w:lang w:val="en-US"/>
        </w:rPr>
        <w:t xml:space="preserve">Taken together, these descriptive results reveal a dual process of policy induction and market adaptation. Industries with high regulatory visibility and stakeholder scrutiny converge faster toward higher ESG standards, whereas energy-intensive sectors exhibit persistent underperformance. This evidence establishes the empirical foundation for the return- and risk-based analyses that </w:t>
      </w:r>
      <w:r w:rsidR="003C2652" w:rsidRPr="00705903">
        <w:rPr>
          <w:lang w:val="en-US"/>
        </w:rPr>
        <w:t>are followed</w:t>
      </w:r>
      <w:r w:rsidRPr="00705903">
        <w:rPr>
          <w:lang w:val="en-US"/>
        </w:rPr>
        <w:t xml:space="preserve"> in Section 3.</w:t>
      </w:r>
      <w:r w:rsidR="00C14B95" w:rsidRPr="00705903">
        <w:t xml:space="preserve"> These cross-sectional and temporal insights motivate the next step of the analysis, where I formalize the construction of ESG variables and portfolio strategies for empirical asset-pricing tests.</w:t>
      </w:r>
    </w:p>
    <w:p w14:paraId="0D75566F" w14:textId="77777777" w:rsidR="00162BB2" w:rsidRPr="00705903" w:rsidRDefault="00162BB2" w:rsidP="0097761F">
      <w:pPr>
        <w:spacing w:line="360" w:lineRule="auto"/>
        <w:ind w:firstLine="0"/>
        <w:jc w:val="both"/>
        <w:rPr>
          <w:lang w:val="en-US"/>
        </w:rPr>
      </w:pPr>
    </w:p>
    <w:p w14:paraId="34DDB76A" w14:textId="06BF8C5E" w:rsidR="00BE359B" w:rsidRPr="00705903" w:rsidRDefault="00162BB2" w:rsidP="0097761F">
      <w:pPr>
        <w:pStyle w:val="Heading2"/>
      </w:pPr>
      <w:r w:rsidRPr="00705903">
        <w:t xml:space="preserve">2.3 Variable Construction and Description statistics </w:t>
      </w:r>
    </w:p>
    <w:p w14:paraId="0D5F10BC" w14:textId="33661E9C" w:rsidR="00670CC6" w:rsidRPr="00705903" w:rsidRDefault="00162BB2" w:rsidP="0097761F">
      <w:pPr>
        <w:pStyle w:val="Heading3"/>
      </w:pPr>
      <w:r w:rsidRPr="00705903">
        <w:t>2.3.1 ESG Portfolio Construction</w:t>
      </w:r>
    </w:p>
    <w:p w14:paraId="597532CD" w14:textId="1498E527" w:rsidR="004646CC" w:rsidRPr="00705903" w:rsidRDefault="004646CC" w:rsidP="0097761F">
      <w:pPr>
        <w:spacing w:line="360" w:lineRule="auto"/>
        <w:ind w:firstLine="720"/>
        <w:jc w:val="both"/>
        <w:rPr>
          <w:lang w:val="en-US"/>
        </w:rPr>
      </w:pPr>
      <w:r w:rsidRPr="00705903">
        <w:t xml:space="preserve">To examine how ESG </w:t>
      </w:r>
      <w:r w:rsidR="003C2652" w:rsidRPr="00705903">
        <w:rPr>
          <w:lang w:eastAsia="zh-CN"/>
        </w:rPr>
        <w:t>ratings</w:t>
      </w:r>
      <w:r w:rsidRPr="00705903">
        <w:t xml:space="preserve"> relates to firms’ return dynamics, I construct decile-based portfolios following the methodology of Fama and French (1993) and Lins, Servaes, and Tamayo (2017). </w:t>
      </w:r>
      <w:r w:rsidR="00EC3017" w:rsidRPr="00705903">
        <w:t xml:space="preserve">Each year from 2007 to 2022, all firms in the sample are ranked according to their overall ESG </w:t>
      </w:r>
      <w:r w:rsidR="003C2652" w:rsidRPr="00705903">
        <w:rPr>
          <w:lang w:eastAsia="zh-CN"/>
        </w:rPr>
        <w:t>rating</w:t>
      </w:r>
      <w:r w:rsidR="00EC3017" w:rsidRPr="00705903">
        <w:t xml:space="preserve"> as well as their Environmental (E), Social (S), and Governance (G)</w:t>
      </w:r>
      <w:r w:rsidR="003C2652" w:rsidRPr="00705903">
        <w:rPr>
          <w:lang w:eastAsia="zh-CN"/>
        </w:rPr>
        <w:t xml:space="preserve"> dimension ratings</w:t>
      </w:r>
      <w:r w:rsidR="00EC3017" w:rsidRPr="00705903">
        <w:t>. Firms are first sorted into ten decile portfolios (Deciles 1–10) based on their respective scores. To verify the robustness of the portfolio construction to grouping granularity, I also replicate the analysis using five quintile portfolios (Quintiles 1–5). The qualitative similarity between decile- and quintile-based results confirms that the documented ESG-return relationships are not artifacts of arbitrary sorting thresholds.</w:t>
      </w:r>
    </w:p>
    <w:p w14:paraId="1132C328" w14:textId="6A22BEA4" w:rsidR="00162BB2" w:rsidRPr="00705903" w:rsidRDefault="00162BB2" w:rsidP="0097761F">
      <w:pPr>
        <w:spacing w:line="360" w:lineRule="auto"/>
        <w:ind w:firstLine="720"/>
        <w:jc w:val="both"/>
        <w:rPr>
          <w:lang w:val="en-US"/>
        </w:rPr>
      </w:pPr>
      <w:r w:rsidRPr="00705903">
        <w:rPr>
          <w:lang w:val="en-US"/>
        </w:rPr>
        <w:t xml:space="preserve">For each dimension, I compute the monthly high–low (H–L) </w:t>
      </w:r>
      <w:r w:rsidR="007E6162" w:rsidRPr="00705903">
        <w:rPr>
          <w:lang w:val="en-US" w:eastAsia="zh-CN"/>
        </w:rPr>
        <w:t>factor</w:t>
      </w:r>
      <w:r w:rsidRPr="00705903">
        <w:rPr>
          <w:lang w:val="en-US"/>
        </w:rPr>
        <w:t xml:space="preserve">, which measures the return differential between the top and bottom deciles. The portfolio </w:t>
      </w:r>
      <w:proofErr w:type="gramStart"/>
      <w:r w:rsidRPr="00705903">
        <w:rPr>
          <w:lang w:val="en-US"/>
        </w:rPr>
        <w:t>return</w:t>
      </w:r>
      <w:proofErr w:type="gramEnd"/>
      <w:r w:rsidRPr="00705903">
        <w:rPr>
          <w:lang w:val="en-US"/>
        </w:rPr>
        <w:t xml:space="preserve"> differential captures whether firms with superior ESG performance earn systematically higher or lower returns relative to their peers. Specifically, the high–low return spread is defined as:</w:t>
      </w:r>
    </w:p>
    <w:p w14:paraId="63758BA1" w14:textId="44367A6F" w:rsidR="00162BB2" w:rsidRPr="00705903" w:rsidRDefault="00000000" w:rsidP="0097761F">
      <w:pPr>
        <w:spacing w:line="360" w:lineRule="auto"/>
        <w:ind w:firstLine="0"/>
        <w:jc w:val="both"/>
        <w:rPr>
          <w:lang w:val="en-US"/>
        </w:rPr>
      </w:pPr>
      <m:oMathPara>
        <m:oMath>
          <m:m>
            <m:mPr>
              <m:plcHide m:val="1"/>
              <m:mcs>
                <m:mc>
                  <m:mcPr>
                    <m:count m:val="4"/>
                    <m:mcJc m:val="center"/>
                  </m:mcPr>
                </m:mc>
              </m:mcs>
              <m:ctrlPr>
                <w:rPr>
                  <w:rFonts w:ascii="Cambria Math" w:hAnsi="Cambria Math"/>
                  <w:lang w:val="en-US"/>
                </w:rPr>
              </m:ctrlPr>
            </m:mPr>
            <m:mr>
              <m:e/>
              <m:e>
                <m:r>
                  <w:rPr>
                    <w:rFonts w:ascii="Cambria Math" w:hAnsi="Cambria Math"/>
                    <w:lang w:val="en-US"/>
                  </w:rPr>
                  <m:t>H</m:t>
                </m:r>
                <m:r>
                  <m:rPr>
                    <m:nor/>
                  </m:rPr>
                  <w:rPr>
                    <w:lang w:val="en-US"/>
                  </w:rPr>
                  <m:t> </m:t>
                </m:r>
                <m:r>
                  <m:rPr>
                    <m:nor/>
                  </m:rPr>
                  <w:rPr>
                    <w:lang w:val="en-US" w:eastAsia="zh-CN"/>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t</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t</m:t>
                    </m:r>
                  </m:sub>
                  <m:sup>
                    <m:r>
                      <w:rPr>
                        <w:rFonts w:ascii="Cambria Math" w:hAnsi="Cambria Math"/>
                        <w:lang w:val="en-US"/>
                      </w:rPr>
                      <m:t>High</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t</m:t>
                    </m:r>
                  </m:sub>
                  <m:sup>
                    <m:r>
                      <w:rPr>
                        <w:rFonts w:ascii="Cambria Math" w:hAnsi="Cambria Math"/>
                        <w:lang w:val="en-US"/>
                      </w:rPr>
                      <m:t>Low</m:t>
                    </m:r>
                  </m:sup>
                </m:sSubSup>
              </m:e>
              <m:e/>
              <m:e>
                <m:r>
                  <m:rPr>
                    <m:nor/>
                  </m:rPr>
                  <w:rPr>
                    <w:lang w:val="en-US"/>
                  </w:rPr>
                  <m:t>(1)</m:t>
                </m:r>
              </m:e>
            </m:mr>
          </m:m>
        </m:oMath>
      </m:oMathPara>
    </w:p>
    <w:p w14:paraId="2F7A7EE0" w14:textId="1FD9E1B8" w:rsidR="00162BB2" w:rsidRPr="00705903" w:rsidRDefault="00162BB2" w:rsidP="0097761F">
      <w:pPr>
        <w:spacing w:line="360" w:lineRule="auto"/>
        <w:ind w:firstLine="0"/>
        <w:jc w:val="both"/>
        <w:rPr>
          <w:lang w:val="en-US"/>
        </w:rPr>
      </w:pPr>
      <w:r w:rsidRPr="00705903">
        <w:rPr>
          <w:lang w:val="en-US"/>
        </w:rPr>
        <w:t xml:space="preserve">where </w:t>
      </w:r>
      <m:oMath>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t</m:t>
            </m:r>
          </m:sub>
          <m:sup>
            <m:r>
              <w:rPr>
                <w:rFonts w:ascii="Cambria Math" w:hAnsi="Cambria Math"/>
                <w:lang w:val="en-US"/>
              </w:rPr>
              <m:t>High</m:t>
            </m:r>
          </m:sup>
        </m:sSubSup>
      </m:oMath>
      <w:r w:rsidRPr="00705903">
        <w:rPr>
          <w:lang w:val="en-US"/>
        </w:rPr>
        <w:t xml:space="preserve">and </w:t>
      </w:r>
      <m:oMath>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t</m:t>
            </m:r>
          </m:sub>
          <m:sup>
            <m:r>
              <w:rPr>
                <w:rFonts w:ascii="Cambria Math" w:hAnsi="Cambria Math"/>
                <w:lang w:val="en-US"/>
              </w:rPr>
              <m:t>Low</m:t>
            </m:r>
          </m:sup>
        </m:sSubSup>
      </m:oMath>
      <w:r w:rsidRPr="00705903">
        <w:rPr>
          <w:lang w:val="en-US"/>
        </w:rPr>
        <w:t>represent the value-weighted average monthly returns of firms in the top and bottom ESG deciles, respectively.</w:t>
      </w:r>
    </w:p>
    <w:p w14:paraId="0962139F" w14:textId="6A37C6E9" w:rsidR="00162BB2" w:rsidRPr="00705903" w:rsidRDefault="00162BB2" w:rsidP="0097761F">
      <w:pPr>
        <w:spacing w:line="360" w:lineRule="auto"/>
        <w:ind w:firstLine="720"/>
        <w:jc w:val="both"/>
        <w:rPr>
          <w:lang w:val="en-US"/>
        </w:rPr>
      </w:pPr>
      <w:r w:rsidRPr="00705903">
        <w:rPr>
          <w:lang w:val="en-US"/>
        </w:rPr>
        <w:t>Portfolio returns are computed using both value-weighted and equal-weighted approaches. Value-weighted returns assign weights based on firms’ market capitalization at the end of the previous month, while equal-weighted returns treat all firms uniformly. Following Fama and French (2015), I measure excess returns as the difference between portfolio returns and the one-month risk-free rate derived from the PBoC Treasury bill yield</w:t>
      </w:r>
      <w:r w:rsidR="008543A7" w:rsidRPr="00705903">
        <w:rPr>
          <w:rStyle w:val="FootnoteReference"/>
          <w:lang w:val="en-US"/>
        </w:rPr>
        <w:footnoteReference w:id="10"/>
      </w:r>
      <w:r w:rsidRPr="00705903">
        <w:rPr>
          <w:lang w:val="en-US"/>
        </w:rPr>
        <w:t>.</w:t>
      </w:r>
    </w:p>
    <w:p w14:paraId="12976FBD" w14:textId="77777777" w:rsidR="00162BB2" w:rsidRPr="00705903" w:rsidRDefault="00162BB2" w:rsidP="0097761F">
      <w:pPr>
        <w:spacing w:line="360" w:lineRule="auto"/>
        <w:ind w:firstLine="720"/>
        <w:jc w:val="both"/>
        <w:rPr>
          <w:lang w:val="en-US"/>
        </w:rPr>
      </w:pPr>
      <w:r w:rsidRPr="00705903">
        <w:rPr>
          <w:lang w:val="en-US"/>
        </w:rPr>
        <w:t>Volatility for each portfolio is calculated as the standard deviation of monthly returns. To assess risk-adjusted performance, I compute Sharpe ratios as the mean excess return divided by its standard deviation:</w:t>
      </w:r>
    </w:p>
    <w:p w14:paraId="56A6693F" w14:textId="1955DF8A" w:rsidR="00162BB2" w:rsidRPr="00705903" w:rsidRDefault="00000000" w:rsidP="0097761F">
      <w:pPr>
        <w:spacing w:line="360" w:lineRule="auto"/>
        <w:ind w:firstLine="0"/>
        <w:jc w:val="both"/>
        <w:rPr>
          <w:lang w:val="en-US"/>
        </w:rPr>
      </w:pPr>
      <m:oMathPara>
        <m:oMath>
          <m:m>
            <m:mPr>
              <m:plcHide m:val="1"/>
              <m:mcs>
                <m:mc>
                  <m:mcPr>
                    <m:count m:val="4"/>
                    <m:mcJc m:val="center"/>
                  </m:mcPr>
                </m:mc>
              </m:mcs>
              <m:ctrlPr>
                <w:rPr>
                  <w:rFonts w:ascii="Cambria Math" w:hAnsi="Cambria Math"/>
                  <w:lang w:val="en-US"/>
                </w:rPr>
              </m:ctrlPr>
            </m:mPr>
            <m:mr>
              <m:e/>
              <m:e>
                <m:r>
                  <w:rPr>
                    <w:rFonts w:ascii="Cambria Math" w:hAnsi="Cambria Math"/>
                    <w:lang w:val="en-US"/>
                  </w:rPr>
                  <m:t>Sharp</m:t>
                </m:r>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f>
                  <m:fPr>
                    <m:ctrlPr>
                      <w:rPr>
                        <w:rFonts w:ascii="Cambria Math" w:hAnsi="Cambria Math"/>
                        <w:lang w:val="en-US"/>
                      </w:rPr>
                    </m:ctrlPr>
                  </m:fPr>
                  <m:num>
                    <m:acc>
                      <m:accPr>
                        <m:chr m:val="‾"/>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f</m:t>
                            </m:r>
                          </m:sub>
                        </m:sSub>
                      </m:e>
                    </m:acc>
                  </m:num>
                  <m:den>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i</m:t>
                        </m:r>
                      </m:sub>
                    </m:sSub>
                  </m:den>
                </m:f>
              </m:e>
              <m:e/>
              <m:e>
                <m:r>
                  <m:rPr>
                    <m:nor/>
                  </m:rPr>
                  <w:rPr>
                    <w:lang w:val="en-US"/>
                  </w:rPr>
                  <m:t>(2)</m:t>
                </m:r>
              </m:e>
            </m:mr>
          </m:m>
        </m:oMath>
      </m:oMathPara>
    </w:p>
    <w:p w14:paraId="49206995" w14:textId="41E21EBE" w:rsidR="00162BB2" w:rsidRPr="00705903" w:rsidRDefault="00162BB2" w:rsidP="0097761F">
      <w:pPr>
        <w:spacing w:line="360" w:lineRule="auto"/>
        <w:ind w:firstLine="0"/>
        <w:jc w:val="both"/>
        <w:rPr>
          <w:lang w:val="en-US"/>
        </w:rPr>
      </w:pPr>
      <w:r w:rsidRPr="00705903">
        <w:rPr>
          <w:lang w:val="en-US"/>
        </w:rPr>
        <w:t xml:space="preserve">where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m:t>
            </m:r>
          </m:sub>
        </m:sSub>
      </m:oMath>
      <w:r w:rsidRPr="00705903">
        <w:rPr>
          <w:lang w:val="en-US"/>
        </w:rPr>
        <w:t xml:space="preserve">denotes the monthly return of portfolio </w:t>
      </w:r>
      <m:oMath>
        <m:r>
          <w:rPr>
            <w:rFonts w:ascii="Cambria Math" w:hAnsi="Cambria Math"/>
            <w:lang w:val="en-US"/>
          </w:rPr>
          <m:t>i</m:t>
        </m:r>
      </m:oMath>
      <w:r w:rsidRPr="00705903">
        <w:rPr>
          <w:lang w:val="en-US"/>
        </w:rPr>
        <w:t xml:space="preserv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f</m:t>
            </m:r>
          </m:sub>
        </m:sSub>
      </m:oMath>
      <w:r w:rsidRPr="00705903">
        <w:rPr>
          <w:lang w:val="en-US"/>
        </w:rPr>
        <w:t xml:space="preserve">is the monthly risk-free rate, and </w:t>
      </w:r>
      <m:oMath>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i</m:t>
            </m:r>
          </m:sub>
        </m:sSub>
      </m:oMath>
      <w:r w:rsidRPr="00705903">
        <w:rPr>
          <w:lang w:val="en-US"/>
        </w:rPr>
        <w:t>is the standard deviation of excess returns.</w:t>
      </w:r>
    </w:p>
    <w:p w14:paraId="48250B5B" w14:textId="12BABD4B" w:rsidR="007E6162" w:rsidRPr="00705903" w:rsidRDefault="007E6162" w:rsidP="0097761F">
      <w:pPr>
        <w:spacing w:line="360" w:lineRule="auto"/>
        <w:ind w:firstLine="720"/>
        <w:jc w:val="both"/>
      </w:pPr>
      <w:r w:rsidRPr="00705903">
        <w:t>Portfolio stability is evaluated using turnover rates, defined as the fraction of portfolio constituents replaced each year during rebalancing. High turnover signals unstable ESG rankings or transitory investor attention, both of which can erode implement</w:t>
      </w:r>
      <w:r w:rsidRPr="00705903">
        <w:rPr>
          <w:lang w:eastAsia="zh-CN"/>
        </w:rPr>
        <w:t>-</w:t>
      </w:r>
      <w:r w:rsidRPr="00705903">
        <w:t>ability.</w:t>
      </w:r>
    </w:p>
    <w:p w14:paraId="3BE2B0F3" w14:textId="618E3AE2" w:rsidR="00162BB2" w:rsidRPr="00705903" w:rsidRDefault="007E6162" w:rsidP="0097761F">
      <w:pPr>
        <w:spacing w:line="360" w:lineRule="auto"/>
        <w:ind w:firstLine="720"/>
        <w:jc w:val="both"/>
        <w:rPr>
          <w:lang w:eastAsia="zh-CN"/>
        </w:rPr>
      </w:pPr>
      <w:r w:rsidRPr="00705903">
        <w:t xml:space="preserve">To ensure that the ESG–return relationship is not sensitive to portfolio design, I verify robustness under multiple alternative specifications—including quintile sorts, value-weighted versus equal-weighted portfolios, and </w:t>
      </w:r>
      <w:proofErr w:type="spellStart"/>
      <w:r w:rsidRPr="00705903">
        <w:t>winsorization</w:t>
      </w:r>
      <w:proofErr w:type="spellEnd"/>
      <w:r w:rsidRPr="00705903">
        <w:t xml:space="preserve"> at the 1st–99th percentiles. These robustness checks are presented in Section 4.2.</w:t>
      </w:r>
      <w:r w:rsidR="00C14B95" w:rsidRPr="00705903">
        <w:rPr>
          <w:lang w:eastAsia="zh-CN"/>
        </w:rPr>
        <w:t xml:space="preserve"> Building on the portfolio-based return analysis, I now extend the framework to evaluate the downside risk and crash sensitivity of ESG portfolios.</w:t>
      </w:r>
    </w:p>
    <w:p w14:paraId="386FFE86" w14:textId="77777777" w:rsidR="007E6162" w:rsidRPr="00705903" w:rsidRDefault="007E6162" w:rsidP="0097761F">
      <w:pPr>
        <w:spacing w:line="360" w:lineRule="auto"/>
        <w:ind w:firstLine="0"/>
        <w:jc w:val="both"/>
        <w:rPr>
          <w:lang w:val="en-US"/>
        </w:rPr>
      </w:pPr>
    </w:p>
    <w:p w14:paraId="2DE12956" w14:textId="48BC5117" w:rsidR="00162BB2" w:rsidRPr="00705903" w:rsidRDefault="00162BB2" w:rsidP="0097761F">
      <w:pPr>
        <w:pStyle w:val="Heading3"/>
      </w:pPr>
      <w:r w:rsidRPr="00705903">
        <w:t>2.</w:t>
      </w:r>
      <w:r w:rsidRPr="00705903">
        <w:rPr>
          <w:lang w:eastAsia="zh-CN"/>
        </w:rPr>
        <w:t>3.2</w:t>
      </w:r>
      <w:r w:rsidRPr="00705903">
        <w:t xml:space="preserve"> Downside Risk and Crash Sensitivity Measurement</w:t>
      </w:r>
    </w:p>
    <w:p w14:paraId="0A7746B0" w14:textId="586CF99D" w:rsidR="00FB1DA1" w:rsidRPr="00705903" w:rsidRDefault="00FB1DA1" w:rsidP="0097761F">
      <w:pPr>
        <w:spacing w:line="360" w:lineRule="auto"/>
        <w:ind w:firstLine="720"/>
        <w:jc w:val="both"/>
      </w:pPr>
      <w:r w:rsidRPr="00705903">
        <w:t xml:space="preserve">To capture the asymmetric risk characteristics associated with ESG </w:t>
      </w:r>
      <w:r w:rsidR="00B7608D" w:rsidRPr="00705903">
        <w:rPr>
          <w:lang w:eastAsia="zh-CN"/>
        </w:rPr>
        <w:t>rating</w:t>
      </w:r>
      <w:r w:rsidRPr="00705903">
        <w:t>, I construct three complementary downside risk indicators: volatility, downside deviation, and crash sensitivity. These measures jointly assess the stability and tail-risk exposure of ESG-based portfolios relative to major market benchmarks.</w:t>
      </w:r>
    </w:p>
    <w:p w14:paraId="6B49568C" w14:textId="6E69BAD0" w:rsidR="00FB1DA1" w:rsidRPr="00705903" w:rsidRDefault="00FB1DA1" w:rsidP="0097761F">
      <w:pPr>
        <w:spacing w:line="360" w:lineRule="auto"/>
        <w:ind w:firstLine="720"/>
        <w:jc w:val="both"/>
      </w:pPr>
      <w:r w:rsidRPr="00705903">
        <w:t>The volatility of each portfolio is calculated as the standard deviation of monthly excess returns</w:t>
      </w:r>
      <w:r w:rsidR="00BA460E" w:rsidRPr="00705903">
        <w:rPr>
          <w:rStyle w:val="FootnoteReference"/>
        </w:rPr>
        <w:footnoteReference w:id="11"/>
      </w:r>
      <w:r w:rsidRPr="00705903">
        <w:t>:</w:t>
      </w:r>
    </w:p>
    <w:p w14:paraId="34092AD7" w14:textId="6DBC25BC" w:rsidR="00FB1DA1" w:rsidRPr="00705903" w:rsidRDefault="00000000" w:rsidP="0097761F">
      <w:pPr>
        <w:spacing w:line="360" w:lineRule="auto"/>
        <w:ind w:firstLine="0"/>
        <w:jc w:val="both"/>
        <w:rPr>
          <w:iCs/>
          <w:lang w:val="en-US"/>
        </w:rPr>
      </w:pPr>
      <m:oMathPara>
        <m:oMath>
          <m:m>
            <m:mPr>
              <m:plcHide m:val="1"/>
              <m:mcs>
                <m:mc>
                  <m:mcPr>
                    <m:count m:val="4"/>
                    <m:mcJc m:val="center"/>
                  </m:mcPr>
                </m:mc>
              </m:mcs>
              <m:ctrlPr>
                <w:rPr>
                  <w:rFonts w:ascii="Cambria Math" w:hAnsi="Cambria Math"/>
                  <w:iCs/>
                  <w:lang w:val="en-US"/>
                </w:rPr>
              </m:ctrlPr>
            </m:mPr>
            <m:mr>
              <m:e/>
              <m:e>
                <m:sSub>
                  <m:sSubPr>
                    <m:ctrlPr>
                      <w:rPr>
                        <w:rFonts w:ascii="Cambria Math" w:hAnsi="Cambria Math"/>
                        <w:iCs/>
                        <w:lang w:val="en-US"/>
                      </w:rPr>
                    </m:ctrlPr>
                  </m:sSubPr>
                  <m:e>
                    <m:r>
                      <w:rPr>
                        <w:rFonts w:ascii="Cambria Math" w:hAnsi="Cambria Math"/>
                        <w:lang w:val="en-US"/>
                      </w:rPr>
                      <m:t>σ</m:t>
                    </m:r>
                  </m:e>
                  <m:sub>
                    <m:r>
                      <w:rPr>
                        <w:rFonts w:ascii="Cambria Math" w:hAnsi="Cambria Math"/>
                        <w:lang w:val="en-US"/>
                      </w:rPr>
                      <m:t>i</m:t>
                    </m:r>
                  </m:sub>
                </m:sSub>
                <m:r>
                  <w:rPr>
                    <w:rFonts w:ascii="Cambria Math" w:hAnsi="Cambria Math"/>
                    <w:lang w:val="en-US"/>
                  </w:rPr>
                  <m:t>=</m:t>
                </m:r>
                <m:rad>
                  <m:radPr>
                    <m:degHide m:val="1"/>
                    <m:ctrlPr>
                      <w:rPr>
                        <w:rFonts w:ascii="Cambria Math" w:hAnsi="Cambria Math"/>
                        <w:iCs/>
                        <w:lang w:val="en-US"/>
                      </w:rPr>
                    </m:ctrlPr>
                  </m:radPr>
                  <m:deg/>
                  <m:e>
                    <m:f>
                      <m:fPr>
                        <m:ctrlPr>
                          <w:rPr>
                            <w:rFonts w:ascii="Cambria Math" w:hAnsi="Cambria Math"/>
                            <w:iCs/>
                            <w:lang w:val="en-US"/>
                          </w:rPr>
                        </m:ctrlPr>
                      </m:fPr>
                      <m:num>
                        <m:r>
                          <w:rPr>
                            <w:rFonts w:ascii="Cambria Math" w:hAnsi="Cambria Math"/>
                            <w:lang w:val="en-US"/>
                          </w:rPr>
                          <m:t>1</m:t>
                        </m:r>
                      </m:num>
                      <m:den>
                        <m:r>
                          <w:rPr>
                            <w:rFonts w:ascii="Cambria Math" w:hAnsi="Cambria Math"/>
                            <w:lang w:val="en-US"/>
                          </w:rPr>
                          <m:t>T-1</m:t>
                        </m:r>
                      </m:den>
                    </m:f>
                    <m:nary>
                      <m:naryPr>
                        <m:chr m:val="∑"/>
                        <m:limLoc m:val="undOvr"/>
                        <m:grow m:val="1"/>
                        <m:ctrlPr>
                          <w:rPr>
                            <w:rFonts w:ascii="Cambria Math" w:hAnsi="Cambria Math"/>
                            <w:iCs/>
                            <w:lang w:val="en-US"/>
                          </w:rPr>
                        </m:ctrlPr>
                      </m:naryPr>
                      <m:sub>
                        <m:r>
                          <w:rPr>
                            <w:rFonts w:ascii="Cambria Math" w:hAnsi="Cambria Math"/>
                            <w:lang w:val="en-US"/>
                          </w:rPr>
                          <m:t>t=1</m:t>
                        </m:r>
                      </m:sub>
                      <m:sup>
                        <m:r>
                          <w:rPr>
                            <w:rFonts w:ascii="Cambria Math" w:hAnsi="Cambria Math"/>
                            <w:lang w:val="en-US"/>
                          </w:rPr>
                          <m:t>T</m:t>
                        </m:r>
                      </m:sup>
                      <m:e>
                        <m:r>
                          <w:rPr>
                            <w:rFonts w:ascii="Cambria Math" w:hAnsi="Cambria Math"/>
                            <w:lang w:val="en-US"/>
                          </w:rPr>
                          <m:t>(</m:t>
                        </m:r>
                        <m:sSub>
                          <m:sSubPr>
                            <m:ctrlPr>
                              <w:rPr>
                                <w:rFonts w:ascii="Cambria Math" w:hAnsi="Cambria Math"/>
                                <w:iCs/>
                                <w:lang w:val="en-US"/>
                              </w:rPr>
                            </m:ctrlPr>
                          </m:sSubPr>
                          <m:e>
                            <m:r>
                              <w:rPr>
                                <w:rFonts w:ascii="Cambria Math" w:hAnsi="Cambria Math"/>
                                <w:lang w:val="en-US"/>
                              </w:rPr>
                              <m:t>R</m:t>
                            </m:r>
                          </m:e>
                          <m:sub>
                            <m:r>
                              <w:rPr>
                                <w:rFonts w:ascii="Cambria Math" w:hAnsi="Cambria Math"/>
                                <w:lang w:val="en-US"/>
                              </w:rPr>
                              <m:t>i,t</m:t>
                            </m:r>
                          </m:sub>
                        </m:sSub>
                        <m:r>
                          <w:rPr>
                            <w:rFonts w:ascii="Cambria Math" w:hAnsi="Cambria Math"/>
                            <w:lang w:val="en-US"/>
                          </w:rPr>
                          <m:t>-</m:t>
                        </m:r>
                        <m:acc>
                          <m:accPr>
                            <m:chr m:val="ˉ"/>
                            <m:ctrlPr>
                              <w:rPr>
                                <w:rFonts w:ascii="Cambria Math" w:hAnsi="Cambria Math"/>
                                <w:iCs/>
                                <w:lang w:val="en-US"/>
                              </w:rPr>
                            </m:ctrlPr>
                          </m:accPr>
                          <m:e>
                            <m:sSub>
                              <m:sSubPr>
                                <m:ctrlPr>
                                  <w:rPr>
                                    <w:rFonts w:ascii="Cambria Math" w:hAnsi="Cambria Math"/>
                                    <w:iCs/>
                                    <w:lang w:val="en-US"/>
                                  </w:rPr>
                                </m:ctrlPr>
                              </m:sSubPr>
                              <m:e>
                                <m:r>
                                  <w:rPr>
                                    <w:rFonts w:ascii="Cambria Math" w:hAnsi="Cambria Math"/>
                                    <w:lang w:val="en-US"/>
                                  </w:rPr>
                                  <m:t>R</m:t>
                                </m:r>
                              </m:e>
                              <m:sub>
                                <m:r>
                                  <w:rPr>
                                    <w:rFonts w:ascii="Cambria Math" w:hAnsi="Cambria Math"/>
                                    <w:lang w:val="en-US"/>
                                  </w:rPr>
                                  <m:t>i</m:t>
                                </m:r>
                              </m:sub>
                            </m:sSub>
                          </m:e>
                        </m:acc>
                        <m:sSup>
                          <m:sSupPr>
                            <m:ctrlPr>
                              <w:rPr>
                                <w:rFonts w:ascii="Cambria Math" w:hAnsi="Cambria Math"/>
                                <w:iCs/>
                                <w:lang w:val="en-US"/>
                              </w:rPr>
                            </m:ctrlPr>
                          </m:sSupPr>
                          <m:e>
                            <m:r>
                              <w:rPr>
                                <w:rFonts w:ascii="Cambria Math" w:hAnsi="Cambria Math"/>
                                <w:lang w:val="en-US"/>
                              </w:rPr>
                              <m:t>)</m:t>
                            </m:r>
                          </m:e>
                          <m:sup>
                            <m:r>
                              <w:rPr>
                                <w:rFonts w:ascii="Cambria Math" w:hAnsi="Cambria Math"/>
                                <w:lang w:val="en-US"/>
                              </w:rPr>
                              <m:t>2</m:t>
                            </m:r>
                          </m:sup>
                        </m:sSup>
                      </m:e>
                    </m:nary>
                  </m:e>
                </m:rad>
              </m:e>
              <m:e/>
              <m:e>
                <m:r>
                  <m:rPr>
                    <m:nor/>
                  </m:rPr>
                  <w:rPr>
                    <w:iCs/>
                    <w:lang w:val="en-US"/>
                  </w:rPr>
                  <m:t>(3)</m:t>
                </m:r>
              </m:e>
            </m:mr>
          </m:m>
        </m:oMath>
      </m:oMathPara>
    </w:p>
    <w:p w14:paraId="6FFF833F" w14:textId="239D187A" w:rsidR="00FB1DA1" w:rsidRPr="00705903" w:rsidRDefault="00162BB2" w:rsidP="0097761F">
      <w:pPr>
        <w:spacing w:line="360" w:lineRule="auto"/>
        <w:ind w:firstLine="0"/>
        <w:jc w:val="both"/>
        <w:rPr>
          <w:lang w:val="en-US"/>
        </w:rPr>
      </w:pPr>
      <w:r w:rsidRPr="00705903">
        <w:rPr>
          <w:lang w:val="en-US"/>
        </w:rPr>
        <w:t xml:space="preserve">where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i,t</m:t>
            </m:r>
          </m:sub>
        </m:sSub>
      </m:oMath>
      <w:r w:rsidRPr="00705903">
        <w:rPr>
          <w:lang w:val="en-US"/>
        </w:rPr>
        <w:t xml:space="preserve">denotes the monthly excess return of portfolio </w:t>
      </w:r>
      <m:oMath>
        <m:r>
          <w:rPr>
            <w:rFonts w:ascii="Cambria Math" w:hAnsi="Cambria Math"/>
            <w:lang w:val="en-US"/>
          </w:rPr>
          <m:t>i</m:t>
        </m:r>
      </m:oMath>
      <w:r w:rsidRPr="00705903">
        <w:rPr>
          <w:lang w:val="en-US"/>
        </w:rPr>
        <w:t xml:space="preserve">, and </w:t>
      </w:r>
      <m:oMath>
        <m:acc>
          <m:accPr>
            <m:chr m:val="‾"/>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m:t>
                </m:r>
              </m:sub>
            </m:sSub>
          </m:e>
        </m:acc>
      </m:oMath>
      <w:r w:rsidRPr="00705903">
        <w:rPr>
          <w:lang w:val="en-US"/>
        </w:rPr>
        <w:t xml:space="preserve">represents its </w:t>
      </w:r>
      <w:proofErr w:type="gramStart"/>
      <w:r w:rsidRPr="00705903">
        <w:rPr>
          <w:lang w:val="en-US"/>
        </w:rPr>
        <w:t>mean</w:t>
      </w:r>
      <w:proofErr w:type="gramEnd"/>
      <w:r w:rsidRPr="00705903">
        <w:rPr>
          <w:lang w:val="en-US"/>
        </w:rPr>
        <w:t xml:space="preserve">. </w:t>
      </w:r>
    </w:p>
    <w:p w14:paraId="30FD925F" w14:textId="0D9882CA" w:rsidR="00FB1DA1" w:rsidRPr="00705903" w:rsidRDefault="00FB1DA1" w:rsidP="0097761F">
      <w:pPr>
        <w:spacing w:line="360" w:lineRule="auto"/>
        <w:ind w:firstLine="720"/>
        <w:jc w:val="both"/>
      </w:pPr>
      <w:r w:rsidRPr="00705903">
        <w:t>To quantify risk conditional on losses, I also compute the lower semi-deviation (LSD) following Ang, Chen, and Xing (2006)</w:t>
      </w:r>
      <w:r w:rsidR="00BA460E" w:rsidRPr="00705903">
        <w:rPr>
          <w:rStyle w:val="FootnoteReference"/>
        </w:rPr>
        <w:footnoteReference w:id="12"/>
      </w:r>
      <w:r w:rsidRPr="00705903">
        <w:t>:</w:t>
      </w:r>
    </w:p>
    <w:p w14:paraId="73125EA0" w14:textId="3DC152FB" w:rsidR="00FB1DA1" w:rsidRPr="00705903" w:rsidRDefault="00000000" w:rsidP="0097761F">
      <w:pPr>
        <w:spacing w:line="360" w:lineRule="auto"/>
        <w:ind w:firstLine="0"/>
        <w:jc w:val="both"/>
        <w:rPr>
          <w:lang w:val="en-US" w:eastAsia="zh-CN"/>
        </w:rPr>
      </w:pPr>
      <m:oMathPara>
        <m:oMath>
          <m:m>
            <m:mPr>
              <m:plcHide m:val="1"/>
              <m:mcs>
                <m:mc>
                  <m:mcPr>
                    <m:count m:val="4"/>
                    <m:mcJc m:val="center"/>
                  </m:mcPr>
                </m:mc>
              </m:mcs>
              <m:ctrlPr>
                <w:rPr>
                  <w:rFonts w:ascii="Cambria Math" w:hAnsi="Cambria Math"/>
                  <w:lang w:val="en-US"/>
                </w:rPr>
              </m:ctrlPr>
            </m:mPr>
            <m:mr>
              <m:e/>
              <m:e>
                <m:r>
                  <w:rPr>
                    <w:rFonts w:ascii="Cambria Math" w:hAnsi="Cambria Math"/>
                    <w:lang w:val="en-US"/>
                  </w:rPr>
                  <m:t>LS</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r>
                  <w:rPr>
                    <w:rFonts w:ascii="Cambria Math" w:hAnsi="Cambria Math"/>
                    <w:lang w:val="en-US"/>
                  </w:rPr>
                  <m:t>=</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T</m:t>
                        </m:r>
                      </m:den>
                    </m:f>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T</m:t>
                        </m:r>
                      </m:sup>
                      <m:e>
                        <m:r>
                          <w:rPr>
                            <w:rFonts w:ascii="Cambria Math" w:hAnsi="Cambria Math"/>
                            <w:lang w:val="en-US"/>
                          </w:rPr>
                          <m:t>[</m:t>
                        </m:r>
                        <m:r>
                          <m:rPr>
                            <m:sty m:val="p"/>
                          </m:rPr>
                          <w:rPr>
                            <w:rFonts w:ascii="Cambria Math" w:hAnsi="Cambria Math"/>
                            <w:lang w:val="en-US"/>
                          </w:rPr>
                          <m:t>min</m:t>
                        </m:r>
                        <m:r>
                          <w:rPr>
                            <w:rFonts w:ascii="Cambria Math" w:hAnsi="Cambria Math"/>
                            <w:lang w:val="en-US"/>
                          </w:rPr>
                          <m:t>⁡(0,</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i,t</m:t>
                            </m:r>
                          </m:sub>
                        </m:sSub>
                        <m:r>
                          <w:rPr>
                            <w:rFonts w:ascii="Cambria Math" w:hAnsi="Cambria Math"/>
                            <w:lang w:val="en-US"/>
                          </w:rPr>
                          <m:t>-</m:t>
                        </m:r>
                        <m:acc>
                          <m:accPr>
                            <m:chr m:val="ˉ"/>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m:t>
                                </m:r>
                              </m:sub>
                            </m:sSub>
                          </m:e>
                        </m:acc>
                        <m:r>
                          <w:rPr>
                            <w:rFonts w:ascii="Cambria Math" w:hAnsi="Cambria Math"/>
                            <w:lang w:val="en-US"/>
                          </w:rPr>
                          <m:t>)</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nary>
                  </m:e>
                </m:rad>
              </m:e>
              <m:e/>
              <m:e>
                <m:r>
                  <m:rPr>
                    <m:nor/>
                  </m:rPr>
                  <w:rPr>
                    <w:lang w:val="en-US"/>
                  </w:rPr>
                  <m:t>(4)</m:t>
                </m:r>
              </m:e>
            </m:mr>
          </m:m>
          <m:r>
            <m:rPr>
              <m:sty m:val="p"/>
            </m:rPr>
            <w:rPr>
              <w:rFonts w:ascii="Cambria Math" w:hAnsi="Cambria Math"/>
              <w:lang w:val="en-US"/>
            </w:rPr>
            <w:br/>
          </m:r>
        </m:oMath>
      </m:oMathPara>
      <w:r w:rsidR="00FB1DA1" w:rsidRPr="00705903">
        <w:t xml:space="preserve">A smaller </w:t>
      </w:r>
      <m:oMath>
        <m:r>
          <w:rPr>
            <w:rFonts w:ascii="Cambria Math" w:hAnsi="Cambria Math"/>
          </w:rPr>
          <m:t>LS</m:t>
        </m:r>
        <m:sSub>
          <m:sSubPr>
            <m:ctrlPr>
              <w:rPr>
                <w:rFonts w:ascii="Cambria Math" w:hAnsi="Cambria Math"/>
              </w:rPr>
            </m:ctrlPr>
          </m:sSubPr>
          <m:e>
            <m:r>
              <w:rPr>
                <w:rFonts w:ascii="Cambria Math" w:hAnsi="Cambria Math"/>
              </w:rPr>
              <m:t>D</m:t>
            </m:r>
          </m:e>
          <m:sub>
            <m:r>
              <w:rPr>
                <w:rFonts w:ascii="Cambria Math" w:hAnsi="Cambria Math"/>
              </w:rPr>
              <m:t>i</m:t>
            </m:r>
          </m:sub>
        </m:sSub>
      </m:oMath>
      <w:r w:rsidR="00FB1DA1" w:rsidRPr="00705903">
        <w:t>indicates lower downside volatility and greater resilience under adverse market conditions.</w:t>
      </w:r>
      <w:r w:rsidR="00FB1DA1" w:rsidRPr="00705903">
        <w:rPr>
          <w:lang w:eastAsia="zh-CN"/>
        </w:rPr>
        <w:t xml:space="preserve"> For risk-adjusted performance, I use the Sortino ratio, which isolates downside risk from total volatility:</w:t>
      </w:r>
      <w:r w:rsidR="00FB1DA1" w:rsidRPr="00705903">
        <w:rPr>
          <w:rFonts w:eastAsia="Times New Roman"/>
          <w:szCs w:val="24"/>
          <w:lang w:val="en-US" w:eastAsia="zh-CN"/>
          <w14:ligatures w14:val="none"/>
        </w:rPr>
        <w:t xml:space="preserve"> </w:t>
      </w:r>
    </w:p>
    <w:p w14:paraId="22C50B59" w14:textId="2CA53F94" w:rsidR="00FB1DA1" w:rsidRPr="00705903" w:rsidRDefault="00000000" w:rsidP="0097761F">
      <w:pPr>
        <w:spacing w:line="360" w:lineRule="auto"/>
        <w:ind w:firstLine="0"/>
        <w:jc w:val="both"/>
        <w:rPr>
          <w:lang w:val="en-US" w:eastAsia="zh-CN"/>
        </w:rPr>
      </w:pPr>
      <m:oMathPara>
        <m:oMath>
          <m:m>
            <m:mPr>
              <m:plcHide m:val="1"/>
              <m:mcs>
                <m:mc>
                  <m:mcPr>
                    <m:count m:val="4"/>
                    <m:mcJc m:val="center"/>
                  </m:mcPr>
                </m:mc>
              </m:mcs>
              <m:ctrlPr>
                <w:rPr>
                  <w:rFonts w:ascii="Cambria Math" w:hAnsi="Cambria Math"/>
                  <w:lang w:val="en-US" w:eastAsia="zh-CN"/>
                </w:rPr>
              </m:ctrlPr>
            </m:mPr>
            <m:mr>
              <m:e/>
              <m:e>
                <m:r>
                  <w:rPr>
                    <w:rFonts w:ascii="Cambria Math" w:hAnsi="Cambria Math"/>
                    <w:lang w:val="en-US" w:eastAsia="zh-CN"/>
                  </w:rPr>
                  <m:t>Sortin</m:t>
                </m:r>
                <m:sSub>
                  <m:sSubPr>
                    <m:ctrlPr>
                      <w:rPr>
                        <w:rFonts w:ascii="Cambria Math" w:hAnsi="Cambria Math"/>
                        <w:lang w:val="en-US" w:eastAsia="zh-CN"/>
                      </w:rPr>
                    </m:ctrlPr>
                  </m:sSubPr>
                  <m:e>
                    <m:r>
                      <w:rPr>
                        <w:rFonts w:ascii="Cambria Math" w:hAnsi="Cambria Math"/>
                        <w:lang w:val="en-US" w:eastAsia="zh-CN"/>
                      </w:rPr>
                      <m:t>o</m:t>
                    </m:r>
                  </m:e>
                  <m:sub>
                    <m:r>
                      <w:rPr>
                        <w:rFonts w:ascii="Cambria Math" w:hAnsi="Cambria Math"/>
                        <w:lang w:val="en-US" w:eastAsia="zh-CN"/>
                      </w:rPr>
                      <m:t>i</m:t>
                    </m:r>
                  </m:sub>
                </m:sSub>
                <m:r>
                  <w:rPr>
                    <w:rFonts w:ascii="Cambria Math" w:hAnsi="Cambria Math"/>
                    <w:lang w:val="en-US" w:eastAsia="zh-CN"/>
                  </w:rPr>
                  <m:t>=</m:t>
                </m:r>
                <m:f>
                  <m:fPr>
                    <m:ctrlPr>
                      <w:rPr>
                        <w:rFonts w:ascii="Cambria Math" w:hAnsi="Cambria Math"/>
                        <w:lang w:val="en-US" w:eastAsia="zh-CN"/>
                      </w:rPr>
                    </m:ctrlPr>
                  </m:fPr>
                  <m:num>
                    <m:acc>
                      <m:accPr>
                        <m:chr m:val="ˉ"/>
                        <m:ctrlPr>
                          <w:rPr>
                            <w:rFonts w:ascii="Cambria Math" w:hAnsi="Cambria Math"/>
                            <w:lang w:val="en-US" w:eastAsia="zh-CN"/>
                          </w:rPr>
                        </m:ctrlPr>
                      </m:accPr>
                      <m:e>
                        <m:sSub>
                          <m:sSubPr>
                            <m:ctrlPr>
                              <w:rPr>
                                <w:rFonts w:ascii="Cambria Math" w:hAnsi="Cambria Math"/>
                                <w:lang w:val="en-US" w:eastAsia="zh-CN"/>
                              </w:rPr>
                            </m:ctrlPr>
                          </m:sSubPr>
                          <m:e>
                            <m:r>
                              <w:rPr>
                                <w:rFonts w:ascii="Cambria Math" w:hAnsi="Cambria Math"/>
                                <w:lang w:val="en-US" w:eastAsia="zh-CN"/>
                              </w:rPr>
                              <m:t>R</m:t>
                            </m:r>
                          </m:e>
                          <m:sub>
                            <m:r>
                              <w:rPr>
                                <w:rFonts w:ascii="Cambria Math" w:hAnsi="Cambria Math"/>
                                <w:lang w:val="en-US" w:eastAsia="zh-CN"/>
                              </w:rPr>
                              <m:t>i</m:t>
                            </m:r>
                          </m:sub>
                        </m:sSub>
                      </m:e>
                    </m:acc>
                    <m:r>
                      <w:rPr>
                        <w:rFonts w:ascii="Cambria Math" w:hAnsi="Cambria Math"/>
                        <w:lang w:val="en-US" w:eastAsia="zh-CN"/>
                      </w:rPr>
                      <m:t>-</m:t>
                    </m:r>
                    <m:sSub>
                      <m:sSubPr>
                        <m:ctrlPr>
                          <w:rPr>
                            <w:rFonts w:ascii="Cambria Math" w:hAnsi="Cambria Math"/>
                            <w:lang w:val="en-US" w:eastAsia="zh-CN"/>
                          </w:rPr>
                        </m:ctrlPr>
                      </m:sSubPr>
                      <m:e>
                        <m:r>
                          <w:rPr>
                            <w:rFonts w:ascii="Cambria Math" w:hAnsi="Cambria Math"/>
                            <w:lang w:val="en-US" w:eastAsia="zh-CN"/>
                          </w:rPr>
                          <m:t>R</m:t>
                        </m:r>
                      </m:e>
                      <m:sub>
                        <m:r>
                          <w:rPr>
                            <w:rFonts w:ascii="Cambria Math" w:hAnsi="Cambria Math"/>
                            <w:lang w:val="en-US" w:eastAsia="zh-CN"/>
                          </w:rPr>
                          <m:t>f</m:t>
                        </m:r>
                      </m:sub>
                    </m:sSub>
                  </m:num>
                  <m:den>
                    <m:r>
                      <w:rPr>
                        <w:rFonts w:ascii="Cambria Math" w:hAnsi="Cambria Math"/>
                        <w:lang w:val="en-US" w:eastAsia="zh-CN"/>
                      </w:rPr>
                      <m:t>LS</m:t>
                    </m:r>
                    <m:sSub>
                      <m:sSubPr>
                        <m:ctrlPr>
                          <w:rPr>
                            <w:rFonts w:ascii="Cambria Math" w:hAnsi="Cambria Math"/>
                            <w:lang w:val="en-US" w:eastAsia="zh-CN"/>
                          </w:rPr>
                        </m:ctrlPr>
                      </m:sSubPr>
                      <m:e>
                        <m:r>
                          <w:rPr>
                            <w:rFonts w:ascii="Cambria Math" w:hAnsi="Cambria Math"/>
                            <w:lang w:val="en-US" w:eastAsia="zh-CN"/>
                          </w:rPr>
                          <m:t>D</m:t>
                        </m:r>
                      </m:e>
                      <m:sub>
                        <m:r>
                          <w:rPr>
                            <w:rFonts w:ascii="Cambria Math" w:hAnsi="Cambria Math"/>
                            <w:lang w:val="en-US" w:eastAsia="zh-CN"/>
                          </w:rPr>
                          <m:t>i</m:t>
                        </m:r>
                      </m:sub>
                    </m:sSub>
                  </m:den>
                </m:f>
              </m:e>
              <m:e/>
              <m:e>
                <m:r>
                  <m:rPr>
                    <m:nor/>
                  </m:rPr>
                  <w:rPr>
                    <w:lang w:val="en-US" w:eastAsia="zh-CN"/>
                  </w:rPr>
                  <m:t>(5)</m:t>
                </m:r>
              </m:e>
            </m:mr>
          </m:m>
        </m:oMath>
      </m:oMathPara>
    </w:p>
    <w:p w14:paraId="7C512C78" w14:textId="7A0D9EE9" w:rsidR="00FB1DA1" w:rsidRPr="00705903" w:rsidRDefault="00FB1DA1" w:rsidP="0097761F">
      <w:pPr>
        <w:spacing w:line="360" w:lineRule="auto"/>
        <w:ind w:firstLine="0"/>
        <w:jc w:val="both"/>
        <w:rPr>
          <w:lang w:val="en-US" w:eastAsia="zh-CN"/>
        </w:rPr>
      </w:pPr>
      <w:r w:rsidRPr="00705903">
        <w:rPr>
          <w:lang w:val="en-US" w:eastAsia="zh-CN"/>
        </w:rPr>
        <w:t xml:space="preserve">where </w:t>
      </w:r>
      <m:oMath>
        <m:sSub>
          <m:sSubPr>
            <m:ctrlPr>
              <w:rPr>
                <w:rFonts w:ascii="Cambria Math" w:hAnsi="Cambria Math"/>
                <w:lang w:val="en-US" w:eastAsia="zh-CN"/>
              </w:rPr>
            </m:ctrlPr>
          </m:sSubPr>
          <m:e>
            <m:r>
              <w:rPr>
                <w:rFonts w:ascii="Cambria Math" w:hAnsi="Cambria Math"/>
                <w:lang w:val="en-US" w:eastAsia="zh-CN"/>
              </w:rPr>
              <m:t>R</m:t>
            </m:r>
          </m:e>
          <m:sub>
            <m:r>
              <w:rPr>
                <w:rFonts w:ascii="Cambria Math" w:hAnsi="Cambria Math"/>
                <w:lang w:val="en-US" w:eastAsia="zh-CN"/>
              </w:rPr>
              <m:t>f</m:t>
            </m:r>
          </m:sub>
        </m:sSub>
      </m:oMath>
      <w:r w:rsidRPr="00705903">
        <w:rPr>
          <w:lang w:val="en-US" w:eastAsia="zh-CN"/>
        </w:rPr>
        <w:t xml:space="preserve">is the risk-free rate (proxied </w:t>
      </w:r>
      <w:proofErr w:type="gramStart"/>
      <w:r w:rsidRPr="00705903">
        <w:rPr>
          <w:lang w:val="en-US" w:eastAsia="zh-CN"/>
        </w:rPr>
        <w:t>by</w:t>
      </w:r>
      <w:proofErr w:type="gramEnd"/>
      <w:r w:rsidRPr="00705903">
        <w:rPr>
          <w:lang w:val="en-US" w:eastAsia="zh-CN"/>
        </w:rPr>
        <w:t xml:space="preserve"> the one-month PBoC Treasury yield).</w:t>
      </w:r>
    </w:p>
    <w:p w14:paraId="7A754C2A" w14:textId="4984EC92" w:rsidR="00FB1DA1" w:rsidRPr="00705903" w:rsidRDefault="00FB1DA1" w:rsidP="0097761F">
      <w:pPr>
        <w:spacing w:line="360" w:lineRule="auto"/>
        <w:ind w:firstLine="720"/>
        <w:jc w:val="both"/>
        <w:rPr>
          <w:lang w:val="en-US" w:eastAsia="zh-CN"/>
        </w:rPr>
      </w:pPr>
      <w:r w:rsidRPr="00705903">
        <w:rPr>
          <w:lang w:eastAsia="zh-CN"/>
        </w:rPr>
        <w:t>In addition, I calculate the Value-at-Risk (</w:t>
      </w:r>
      <w:proofErr w:type="spellStart"/>
      <w:r w:rsidRPr="00705903">
        <w:rPr>
          <w:lang w:eastAsia="zh-CN"/>
        </w:rPr>
        <w:t>VaR</w:t>
      </w:r>
      <w:proofErr w:type="spellEnd"/>
      <w:r w:rsidRPr="00705903">
        <w:rPr>
          <w:lang w:eastAsia="zh-CN"/>
        </w:rPr>
        <w:t>) at the 5% confidence level to assess the potential maximum portfolio loss under extreme market conditions (</w:t>
      </w:r>
      <w:proofErr w:type="spellStart"/>
      <w:r w:rsidRPr="00705903">
        <w:rPr>
          <w:lang w:eastAsia="zh-CN"/>
        </w:rPr>
        <w:t>Jorion</w:t>
      </w:r>
      <w:proofErr w:type="spellEnd"/>
      <w:r w:rsidRPr="00705903">
        <w:rPr>
          <w:lang w:eastAsia="zh-CN"/>
        </w:rPr>
        <w:t>, 2006)</w:t>
      </w:r>
      <w:r w:rsidR="00BA460E" w:rsidRPr="00705903">
        <w:rPr>
          <w:rStyle w:val="FootnoteReference"/>
          <w:lang w:eastAsia="zh-CN"/>
        </w:rPr>
        <w:footnoteReference w:id="13"/>
      </w:r>
      <w:r w:rsidRPr="00705903">
        <w:rPr>
          <w:lang w:eastAsia="zh-CN"/>
        </w:rPr>
        <w:t>:</w:t>
      </w:r>
    </w:p>
    <w:p w14:paraId="37376B8C" w14:textId="2EF13D62" w:rsidR="008F5D54" w:rsidRPr="00705903" w:rsidRDefault="00000000" w:rsidP="0097761F">
      <w:pPr>
        <w:spacing w:line="360" w:lineRule="auto"/>
        <w:ind w:firstLine="0"/>
        <w:jc w:val="both"/>
        <w:rPr>
          <w:lang w:val="en-US" w:eastAsia="zh-CN"/>
        </w:rPr>
      </w:pPr>
      <m:oMathPara>
        <m:oMath>
          <m:m>
            <m:mPr>
              <m:plcHide m:val="1"/>
              <m:mcs>
                <m:mc>
                  <m:mcPr>
                    <m:count m:val="4"/>
                    <m:mcJc m:val="center"/>
                  </m:mcPr>
                </m:mc>
              </m:mcs>
              <m:ctrlPr>
                <w:rPr>
                  <w:rFonts w:ascii="Cambria Math" w:hAnsi="Cambria Math"/>
                  <w:lang w:val="en-US" w:eastAsia="zh-CN"/>
                </w:rPr>
              </m:ctrlPr>
            </m:mPr>
            <m:mr>
              <m:e/>
              <m:e>
                <m:r>
                  <w:rPr>
                    <w:rFonts w:ascii="Cambria Math" w:hAnsi="Cambria Math"/>
                    <w:lang w:val="en-US" w:eastAsia="zh-CN"/>
                  </w:rPr>
                  <m:t>Va</m:t>
                </m:r>
                <m:sSub>
                  <m:sSubPr>
                    <m:ctrlPr>
                      <w:rPr>
                        <w:rFonts w:ascii="Cambria Math" w:hAnsi="Cambria Math"/>
                        <w:lang w:val="en-US" w:eastAsia="zh-CN"/>
                      </w:rPr>
                    </m:ctrlPr>
                  </m:sSubPr>
                  <m:e>
                    <m:r>
                      <w:rPr>
                        <w:rFonts w:ascii="Cambria Math" w:hAnsi="Cambria Math"/>
                        <w:lang w:val="en-US" w:eastAsia="zh-CN"/>
                      </w:rPr>
                      <m:t>R</m:t>
                    </m:r>
                  </m:e>
                  <m:sub>
                    <m:r>
                      <w:rPr>
                        <w:rFonts w:ascii="Cambria Math" w:hAnsi="Cambria Math"/>
                        <w:lang w:val="en-US" w:eastAsia="zh-CN"/>
                      </w:rPr>
                      <m:t>i,0.05</m:t>
                    </m:r>
                  </m:sub>
                </m:sSub>
                <m:r>
                  <w:rPr>
                    <w:rFonts w:ascii="Cambria Math" w:hAnsi="Cambria Math"/>
                    <w:lang w:val="en-US" w:eastAsia="zh-CN"/>
                  </w:rPr>
                  <m:t>=-</m:t>
                </m:r>
                <m:sSub>
                  <m:sSubPr>
                    <m:ctrlPr>
                      <w:rPr>
                        <w:rFonts w:ascii="Cambria Math" w:hAnsi="Cambria Math"/>
                        <w:lang w:val="en-US" w:eastAsia="zh-CN"/>
                      </w:rPr>
                    </m:ctrlPr>
                  </m:sSubPr>
                  <m:e>
                    <m:r>
                      <m:rPr>
                        <m:sty m:val="p"/>
                      </m:rPr>
                      <w:rPr>
                        <w:rFonts w:ascii="Cambria Math" w:hAnsi="Cambria Math"/>
                        <w:lang w:val="en-US" w:eastAsia="zh-CN"/>
                      </w:rPr>
                      <m:t>Quantile</m:t>
                    </m:r>
                  </m:e>
                  <m:sub>
                    <m:r>
                      <w:rPr>
                        <w:rFonts w:ascii="Cambria Math" w:hAnsi="Cambria Math"/>
                        <w:lang w:val="en-US" w:eastAsia="zh-CN"/>
                      </w:rPr>
                      <m:t>0.05</m:t>
                    </m:r>
                  </m:sub>
                </m:sSub>
                <m:r>
                  <w:rPr>
                    <w:rFonts w:ascii="Cambria Math" w:hAnsi="Cambria Math"/>
                    <w:lang w:val="en-US" w:eastAsia="zh-CN"/>
                  </w:rPr>
                  <m:t>(</m:t>
                </m:r>
                <m:sSub>
                  <m:sSubPr>
                    <m:ctrlPr>
                      <w:rPr>
                        <w:rFonts w:ascii="Cambria Math" w:hAnsi="Cambria Math"/>
                        <w:lang w:val="en-US" w:eastAsia="zh-CN"/>
                      </w:rPr>
                    </m:ctrlPr>
                  </m:sSubPr>
                  <m:e>
                    <m:r>
                      <w:rPr>
                        <w:rFonts w:ascii="Cambria Math" w:hAnsi="Cambria Math"/>
                        <w:lang w:val="en-US" w:eastAsia="zh-CN"/>
                      </w:rPr>
                      <m:t>R</m:t>
                    </m:r>
                  </m:e>
                  <m:sub>
                    <m:r>
                      <w:rPr>
                        <w:rFonts w:ascii="Cambria Math" w:hAnsi="Cambria Math"/>
                        <w:lang w:val="en-US" w:eastAsia="zh-CN"/>
                      </w:rPr>
                      <m:t>i,t</m:t>
                    </m:r>
                  </m:sub>
                </m:sSub>
                <m:r>
                  <w:rPr>
                    <w:rFonts w:ascii="Cambria Math" w:hAnsi="Cambria Math"/>
                    <w:lang w:val="en-US" w:eastAsia="zh-CN"/>
                  </w:rPr>
                  <m:t>)</m:t>
                </m:r>
              </m:e>
              <m:e/>
              <m:e>
                <m:r>
                  <m:rPr>
                    <m:nor/>
                  </m:rPr>
                  <w:rPr>
                    <w:lang w:val="en-US" w:eastAsia="zh-CN"/>
                  </w:rPr>
                  <m:t>(6)</m:t>
                </m:r>
              </m:e>
            </m:mr>
          </m:m>
        </m:oMath>
      </m:oMathPara>
    </w:p>
    <w:p w14:paraId="26D10AC3" w14:textId="7637D087" w:rsidR="00FB1DA1" w:rsidRPr="00705903" w:rsidRDefault="008F5D54" w:rsidP="0097761F">
      <w:pPr>
        <w:spacing w:line="360" w:lineRule="auto"/>
        <w:ind w:firstLine="0"/>
        <w:jc w:val="both"/>
        <w:rPr>
          <w:lang w:val="en-US" w:eastAsia="zh-CN"/>
        </w:rPr>
      </w:pPr>
      <w:r w:rsidRPr="00705903">
        <w:rPr>
          <w:lang w:val="en-US" w:eastAsia="zh-CN"/>
        </w:rPr>
        <w:t>This statistic provides a distribution-based measure of tail risk and complements the volatility-based approach.</w:t>
      </w:r>
    </w:p>
    <w:p w14:paraId="4D14CAEA" w14:textId="2383A5A7" w:rsidR="008543A7" w:rsidRPr="00705903" w:rsidRDefault="008F5D54" w:rsidP="0097761F">
      <w:pPr>
        <w:spacing w:line="360" w:lineRule="auto"/>
        <w:ind w:firstLine="720"/>
        <w:jc w:val="both"/>
      </w:pPr>
      <w:r w:rsidRPr="00705903">
        <w:t>To capture systematic</w:t>
      </w:r>
      <w:r w:rsidR="00B7608D" w:rsidRPr="00705903">
        <w:rPr>
          <w:lang w:eastAsia="zh-CN"/>
        </w:rPr>
        <w:t xml:space="preserve"> downside</w:t>
      </w:r>
      <w:r w:rsidRPr="00705903">
        <w:t xml:space="preserve"> asymmetry, I examine the crash sensitivity of ESG portfolios, defined as their conditional return </w:t>
      </w:r>
      <w:proofErr w:type="spellStart"/>
      <w:r w:rsidRPr="00705903">
        <w:t>behavior</w:t>
      </w:r>
      <w:proofErr w:type="spellEnd"/>
      <w:r w:rsidRPr="00705903">
        <w:t xml:space="preserve"> during large market drawdowns. Following Kim, Li, and Zhang (2011), the crash sensitivity is estimated by regressing ESG portfolio returns on market returns interacted with a crash indicator</w:t>
      </w:r>
      <w:r w:rsidR="00BA460E" w:rsidRPr="00705903">
        <w:rPr>
          <w:rStyle w:val="FootnoteReference"/>
        </w:rPr>
        <w:footnoteReference w:id="14"/>
      </w:r>
      <w:r w:rsidRPr="00705903">
        <w:t>:</w:t>
      </w:r>
    </w:p>
    <w:p w14:paraId="40E42ABE" w14:textId="76F1BDC7" w:rsidR="008F5D54" w:rsidRPr="00705903" w:rsidRDefault="00000000" w:rsidP="0097761F">
      <w:pPr>
        <w:spacing w:line="360" w:lineRule="auto"/>
        <w:ind w:firstLine="0"/>
        <w:jc w:val="both"/>
        <w:rPr>
          <w:lang w:val="en-US"/>
        </w:rPr>
      </w:pPr>
      <m:oMathPara>
        <m:oMath>
          <m:m>
            <m:mPr>
              <m:plcHide m:val="1"/>
              <m:mcs>
                <m:mc>
                  <m:mcPr>
                    <m:count m:val="4"/>
                    <m:mcJc m:val="center"/>
                  </m:mcPr>
                </m:mc>
              </m:mcs>
              <m:ctrlPr>
                <w:rPr>
                  <w:rFonts w:ascii="Cambria Math" w:hAnsi="Cambria Math"/>
                  <w:lang w:val="en-US"/>
                </w:rPr>
              </m:ctrlPr>
            </m:mPr>
            <m:mr>
              <m:e/>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f,t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i</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β</m:t>
                    </m:r>
                  </m:e>
                  <m:sub>
                    <m:r>
                      <w:rPr>
                        <w:rFonts w:ascii="Cambria Math" w:hAnsi="Cambria Math"/>
                        <w:lang w:val="en-US"/>
                      </w:rPr>
                      <m:t>i</m:t>
                    </m:r>
                  </m:sub>
                  <m:sup>
                    <m:r>
                      <w:rPr>
                        <w:rFonts w:ascii="Cambria Math" w:hAnsi="Cambria Math"/>
                        <w:lang w:val="en-US"/>
                      </w:rPr>
                      <m:t>c</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m,t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f,t</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m:t>
                    </m:r>
                  </m:sub>
                </m:sSub>
              </m:e>
              <m:e/>
              <m:e>
                <m:r>
                  <m:rPr>
                    <m:nor/>
                  </m:rPr>
                  <w:rPr>
                    <w:lang w:val="en-US"/>
                  </w:rPr>
                  <m:t>(7)</m:t>
                </m:r>
              </m:e>
            </m:mr>
          </m:m>
        </m:oMath>
      </m:oMathPara>
    </w:p>
    <w:p w14:paraId="58BFE5BB" w14:textId="0CE11C0F" w:rsidR="008F5D54" w:rsidRPr="00705903" w:rsidRDefault="008F5D54" w:rsidP="0097761F">
      <w:pPr>
        <w:spacing w:line="360" w:lineRule="auto"/>
        <w:ind w:firstLine="0"/>
        <w:jc w:val="both"/>
        <w:rPr>
          <w:lang w:val="en-US"/>
        </w:rPr>
      </w:pPr>
      <w:r w:rsidRPr="00705903">
        <w:rPr>
          <w:lang w:val="en-US"/>
        </w:rPr>
        <w:t xml:space="preserve">where </w:t>
      </w:r>
      <m:oMath>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m:t>
            </m:r>
          </m:sup>
        </m:sSubSup>
        <m:r>
          <w:rPr>
            <w:rFonts w:ascii="Cambria Math" w:hAnsi="Cambria Math"/>
            <w:lang w:val="en-US"/>
          </w:rPr>
          <m:t>=1</m:t>
        </m:r>
      </m:oMath>
      <w:r w:rsidRPr="00705903">
        <w:rPr>
          <w:lang w:val="en-US"/>
        </w:rPr>
        <w:t xml:space="preserve">if </w:t>
      </w:r>
      <m:oMath>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m,t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f,t</m:t>
            </m:r>
          </m:sub>
        </m:sSub>
        <m:r>
          <w:rPr>
            <w:rFonts w:ascii="Cambria Math" w:hAnsi="Cambria Math"/>
            <w:lang w:val="en-US"/>
          </w:rPr>
          <m:t>)&lt;</m:t>
        </m:r>
        <m:r>
          <m:rPr>
            <m:nor/>
          </m:rPr>
          <w:rPr>
            <w:lang w:val="en-US"/>
          </w:rPr>
          <m:t>Threshold</m:t>
        </m:r>
      </m:oMath>
      <w:r w:rsidRPr="00705903">
        <w:rPr>
          <w:lang w:val="en-US"/>
        </w:rPr>
        <w:t xml:space="preserve"> (e.g., -5%, -8%, -10%), and 0 otherwise.</w:t>
      </w:r>
      <w:r w:rsidRPr="00705903">
        <w:rPr>
          <w:lang w:val="en-US" w:eastAsia="zh-CN"/>
        </w:rPr>
        <w:t xml:space="preserve"> </w:t>
      </w:r>
      <w:r w:rsidRPr="00705903">
        <w:rPr>
          <w:lang w:val="en-US"/>
        </w:rPr>
        <w:t xml:space="preserve">Negative or insignificant </w:t>
      </w:r>
      <m:oMath>
        <m:sSubSup>
          <m:sSubSupPr>
            <m:ctrlPr>
              <w:rPr>
                <w:rFonts w:ascii="Cambria Math" w:hAnsi="Cambria Math"/>
                <w:lang w:val="en-US"/>
              </w:rPr>
            </m:ctrlPr>
          </m:sSubSupPr>
          <m:e>
            <m:r>
              <w:rPr>
                <w:rFonts w:ascii="Cambria Math" w:hAnsi="Cambria Math"/>
                <w:lang w:val="en-US"/>
              </w:rPr>
              <m:t>β</m:t>
            </m:r>
          </m:e>
          <m:sub>
            <m:r>
              <w:rPr>
                <w:rFonts w:ascii="Cambria Math" w:hAnsi="Cambria Math"/>
                <w:lang w:val="en-US"/>
              </w:rPr>
              <m:t>i</m:t>
            </m:r>
          </m:sub>
          <m:sup>
            <m:r>
              <w:rPr>
                <w:rFonts w:ascii="Cambria Math" w:hAnsi="Cambria Math"/>
                <w:lang w:val="en-US"/>
              </w:rPr>
              <m:t>c</m:t>
            </m:r>
          </m:sup>
        </m:sSubSup>
      </m:oMath>
      <w:r w:rsidRPr="00705903">
        <w:rPr>
          <w:lang w:val="en-US"/>
        </w:rPr>
        <w:t>indicates that ESG portfolios are less sensitive to extreme market downturns, consistent with partial hedging effects.</w:t>
      </w:r>
    </w:p>
    <w:p w14:paraId="1DB9A691" w14:textId="765693A3" w:rsidR="008F5D54" w:rsidRPr="00705903" w:rsidRDefault="008F5D54" w:rsidP="0097761F">
      <w:pPr>
        <w:spacing w:line="360" w:lineRule="auto"/>
        <w:ind w:firstLine="720"/>
        <w:jc w:val="both"/>
      </w:pPr>
      <w:r w:rsidRPr="00705903">
        <w:t>These three measures—volatility, downside deviation, and crash sensitivity—jointly characterize the multi-dimensional downside risk</w:t>
      </w:r>
      <w:r w:rsidR="001263CE" w:rsidRPr="00705903">
        <w:t xml:space="preserve"> profile</w:t>
      </w:r>
      <w:r w:rsidRPr="00705903">
        <w:t xml:space="preserve"> of ESG-based portfolios. In subsequent analyses, I compare these metrics across ESG, E, S, and G </w:t>
      </w:r>
      <w:r w:rsidR="001263CE" w:rsidRPr="00705903">
        <w:t xml:space="preserve">dimension-sorted </w:t>
      </w:r>
      <w:r w:rsidRPr="00705903">
        <w:t>portfolios and benchmark indices (CSI300, SSE, SZSE) to assess whether ESG performance systematically reduces exposure to tail risk.</w:t>
      </w:r>
    </w:p>
    <w:p w14:paraId="407D0512" w14:textId="2C086BD6" w:rsidR="008F5D54" w:rsidRPr="00705903" w:rsidRDefault="00271907" w:rsidP="0097761F">
      <w:pPr>
        <w:spacing w:line="360" w:lineRule="auto"/>
        <w:ind w:firstLine="720"/>
        <w:jc w:val="both"/>
        <w:rPr>
          <w:lang w:eastAsia="zh-CN"/>
        </w:rPr>
      </w:pPr>
      <w:r w:rsidRPr="00705903">
        <w:t>Beyond the cross-sectional and risk-based specifications, I further incorporate an event-study framework to examine how ESG portfolios react to major policy shocks and regulatory announcements in China’s evolving sustainability landscape.</w:t>
      </w:r>
      <w:r w:rsidR="00C14B95" w:rsidRPr="00705903">
        <w:rPr>
          <w:lang w:eastAsia="zh-CN"/>
        </w:rPr>
        <w:t xml:space="preserve"> </w:t>
      </w:r>
    </w:p>
    <w:p w14:paraId="4D4DFF80" w14:textId="77777777" w:rsidR="00271907" w:rsidRPr="00705903" w:rsidRDefault="00271907" w:rsidP="0097761F">
      <w:pPr>
        <w:spacing w:line="360" w:lineRule="auto"/>
        <w:ind w:firstLine="0"/>
        <w:jc w:val="both"/>
        <w:rPr>
          <w:lang w:val="en-US"/>
        </w:rPr>
      </w:pPr>
    </w:p>
    <w:p w14:paraId="05EA2C9F" w14:textId="5E4CBE9F" w:rsidR="004B02D6" w:rsidRPr="00705903" w:rsidRDefault="00271907" w:rsidP="0097761F">
      <w:pPr>
        <w:pStyle w:val="Heading3"/>
        <w:rPr>
          <w:lang w:eastAsia="zh-CN"/>
        </w:rPr>
      </w:pPr>
      <w:r w:rsidRPr="00705903">
        <w:rPr>
          <w:lang w:eastAsia="zh-CN"/>
        </w:rPr>
        <w:t xml:space="preserve">2.3.3 </w:t>
      </w:r>
      <w:r w:rsidR="007F33E9" w:rsidRPr="00705903">
        <w:rPr>
          <w:lang w:eastAsia="zh-CN"/>
        </w:rPr>
        <w:t>Dynamic ESG Performance Framework</w:t>
      </w:r>
    </w:p>
    <w:p w14:paraId="0A3BB44E" w14:textId="43BAC848" w:rsidR="007F33E9" w:rsidRPr="00705903" w:rsidRDefault="001263CE" w:rsidP="0097761F">
      <w:pPr>
        <w:spacing w:line="360" w:lineRule="auto"/>
        <w:ind w:firstLine="720"/>
        <w:jc w:val="both"/>
        <w:rPr>
          <w:lang w:val="en-US" w:eastAsia="zh-CN"/>
        </w:rPr>
      </w:pPr>
      <w:r w:rsidRPr="00705903">
        <w:rPr>
          <w:lang w:val="en-US" w:eastAsia="zh-CN"/>
        </w:rPr>
        <w:t>To investigate whether the pricing of ESG factors is time-varying and sensitive to institutional and policy conditions</w:t>
      </w:r>
      <w:r w:rsidR="007F33E9" w:rsidRPr="00705903">
        <w:rPr>
          <w:lang w:val="en-US" w:eastAsia="zh-CN"/>
        </w:rPr>
        <w:t>, I develop a dynamic ESG performance framework that integrates event segmentation with multi-period factor regressions</w:t>
      </w:r>
      <w:r w:rsidR="00B3107C" w:rsidRPr="00705903">
        <w:rPr>
          <w:rStyle w:val="FootnoteReference"/>
          <w:lang w:val="en-US" w:eastAsia="zh-CN"/>
        </w:rPr>
        <w:footnoteReference w:id="15"/>
      </w:r>
      <w:r w:rsidR="007F33E9" w:rsidRPr="00705903">
        <w:rPr>
          <w:lang w:val="en-US" w:eastAsia="zh-CN"/>
        </w:rPr>
        <w:t xml:space="preserve">. </w:t>
      </w:r>
      <w:r w:rsidR="004B02D6" w:rsidRPr="00705903">
        <w:rPr>
          <w:lang w:val="en-US" w:eastAsia="zh-CN"/>
        </w:rPr>
        <w:t xml:space="preserve">Before implementing the dynamic segmentation, I first estimate the baseline Fama–French five-factor </w:t>
      </w:r>
      <w:r w:rsidRPr="00705903">
        <w:rPr>
          <w:lang w:val="en-US" w:eastAsia="zh-CN"/>
        </w:rPr>
        <w:t>model</w:t>
      </w:r>
      <w:r w:rsidR="004B02D6" w:rsidRPr="00705903">
        <w:rPr>
          <w:lang w:val="en-US" w:eastAsia="zh-CN"/>
        </w:rPr>
        <w:t xml:space="preserve"> for the full sample period (2007–2022) to assess whether ESG-related long–short (H–L) portfolios generate abnormal returns after controlling for standard risk factors. The regression results indicate that the intercept term (αp) is statistically insignificant across all ESG dimensions (ESG, E, S, and G), suggesting that the return differentials associated with ESG performance can be largely explained by conventional market, size, value, profitability, and investment factors. This finding is consistent with recent evidence that ESG characteristics in mature markets are increasingly priced into existing risk factors rather than generating independent alpha (e.g., Blitz et al., 2021; Pedersen et al., 2021). Motivated by this result, I extend the analysis to a dynamic ESG performance framework that examines whether ESG-related pricing effects vary across distinct institutional subperiods, as structural changes in China’s regulatory environment may lead to time-varying sensitivities. </w:t>
      </w:r>
      <w:r w:rsidR="007F33E9" w:rsidRPr="00705903">
        <w:rPr>
          <w:lang w:val="en-US" w:eastAsia="zh-CN"/>
        </w:rPr>
        <w:t>This framework evaluates whether the risk-adjusted returns of ESG-based portfolios—particularly the long–short (H–L) portfolios for the E, S, and G dimensions—exhibit significant changes across different macro-policy regimes and market conditions.</w:t>
      </w:r>
    </w:p>
    <w:p w14:paraId="2F80D274" w14:textId="4F196087" w:rsidR="007F33E9" w:rsidRPr="00705903" w:rsidRDefault="007F33E9" w:rsidP="0097761F">
      <w:pPr>
        <w:spacing w:line="360" w:lineRule="auto"/>
        <w:ind w:firstLine="720"/>
        <w:jc w:val="both"/>
        <w:rPr>
          <w:lang w:val="en-US" w:eastAsia="zh-CN"/>
        </w:rPr>
      </w:pPr>
      <w:r w:rsidRPr="00705903">
        <w:rPr>
          <w:lang w:val="en-US" w:eastAsia="zh-CN"/>
        </w:rPr>
        <w:t>Specifically, for each subperiod associated with a distinct institutional or policy phase (e.g., pre-pandemic baseline, regulatory tightening, post-recovery normalization), I re-estimate the Fama–French five-factor model using Newey–West heteroskedasticity and autocorrelation-consistent (HAC) standard errors with 12-month lags</w:t>
      </w:r>
      <w:r w:rsidR="00B3107C" w:rsidRPr="00705903">
        <w:rPr>
          <w:rStyle w:val="FootnoteReference"/>
          <w:lang w:val="en-US" w:eastAsia="zh-CN"/>
        </w:rPr>
        <w:footnoteReference w:id="16"/>
      </w:r>
      <w:r w:rsidRPr="00705903">
        <w:rPr>
          <w:lang w:val="en-US" w:eastAsia="zh-CN"/>
        </w:rPr>
        <w:t>:</w:t>
      </w:r>
    </w:p>
    <w:p w14:paraId="39858BAA" w14:textId="3985B5FF" w:rsidR="007F33E9" w:rsidRPr="00705903" w:rsidRDefault="00000000" w:rsidP="0097761F">
      <w:pPr>
        <w:spacing w:line="360" w:lineRule="auto"/>
        <w:ind w:firstLine="0"/>
        <w:jc w:val="both"/>
        <w:rPr>
          <w:sz w:val="22"/>
          <w:szCs w:val="20"/>
          <w:lang w:val="en-US" w:eastAsia="zh-CN"/>
        </w:rPr>
      </w:pPr>
      <m:oMath>
        <m:sSub>
          <m:sSubPr>
            <m:ctrlPr>
              <w:rPr>
                <w:rFonts w:ascii="Cambria Math" w:hAnsi="Cambria Math"/>
                <w:sz w:val="22"/>
                <w:szCs w:val="20"/>
                <w:lang w:val="en-US" w:eastAsia="zh-CN"/>
              </w:rPr>
            </m:ctrlPr>
          </m:sSubPr>
          <m:e>
            <m:r>
              <w:rPr>
                <w:rFonts w:ascii="Cambria Math" w:hAnsi="Cambria Math"/>
                <w:sz w:val="22"/>
                <w:szCs w:val="20"/>
                <w:lang w:val="en-US" w:eastAsia="zh-CN"/>
              </w:rPr>
              <m:t>R</m:t>
            </m:r>
          </m:e>
          <m:sub>
            <m:r>
              <w:rPr>
                <w:rFonts w:ascii="Cambria Math" w:hAnsi="Cambria Math"/>
                <w:sz w:val="22"/>
                <w:szCs w:val="20"/>
                <w:lang w:val="en-US" w:eastAsia="zh-CN"/>
              </w:rPr>
              <m:t>p,t</m:t>
            </m:r>
          </m:sub>
        </m:sSub>
        <m:r>
          <w:rPr>
            <w:rFonts w:ascii="Cambria Math" w:hAnsi="Cambria Math"/>
            <w:sz w:val="22"/>
            <w:szCs w:val="20"/>
            <w:lang w:val="en-US" w:eastAsia="zh-CN"/>
          </w:rPr>
          <m:t>-</m:t>
        </m:r>
        <m:sSub>
          <m:sSubPr>
            <m:ctrlPr>
              <w:rPr>
                <w:rFonts w:ascii="Cambria Math" w:hAnsi="Cambria Math"/>
                <w:sz w:val="22"/>
                <w:szCs w:val="20"/>
                <w:lang w:val="en-US" w:eastAsia="zh-CN"/>
              </w:rPr>
            </m:ctrlPr>
          </m:sSubPr>
          <m:e>
            <m:r>
              <w:rPr>
                <w:rFonts w:ascii="Cambria Math" w:hAnsi="Cambria Math"/>
                <w:sz w:val="22"/>
                <w:szCs w:val="20"/>
                <w:lang w:val="en-US" w:eastAsia="zh-CN"/>
              </w:rPr>
              <m:t>R</m:t>
            </m:r>
          </m:e>
          <m:sub>
            <m:r>
              <w:rPr>
                <w:rFonts w:ascii="Cambria Math" w:hAnsi="Cambria Math"/>
                <w:sz w:val="22"/>
                <w:szCs w:val="20"/>
                <w:lang w:val="en-US" w:eastAsia="zh-CN"/>
              </w:rPr>
              <m:t>f,t</m:t>
            </m:r>
          </m:sub>
        </m:sSub>
        <m:r>
          <w:rPr>
            <w:rFonts w:ascii="Cambria Math" w:hAnsi="Cambria Math"/>
            <w:sz w:val="22"/>
            <w:szCs w:val="20"/>
            <w:lang w:val="en-US" w:eastAsia="zh-CN"/>
          </w:rPr>
          <m:t>=</m:t>
        </m:r>
        <m:sSub>
          <m:sSubPr>
            <m:ctrlPr>
              <w:rPr>
                <w:rFonts w:ascii="Cambria Math" w:hAnsi="Cambria Math"/>
                <w:sz w:val="22"/>
                <w:szCs w:val="20"/>
                <w:lang w:val="en-US" w:eastAsia="zh-CN"/>
              </w:rPr>
            </m:ctrlPr>
          </m:sSubPr>
          <m:e>
            <m:r>
              <w:rPr>
                <w:rFonts w:ascii="Cambria Math" w:hAnsi="Cambria Math"/>
                <w:sz w:val="22"/>
                <w:szCs w:val="20"/>
                <w:lang w:val="en-US" w:eastAsia="zh-CN"/>
              </w:rPr>
              <m:t>α</m:t>
            </m:r>
          </m:e>
          <m:sub>
            <m:r>
              <w:rPr>
                <w:rFonts w:ascii="Cambria Math" w:hAnsi="Cambria Math"/>
                <w:sz w:val="22"/>
                <w:szCs w:val="20"/>
                <w:lang w:val="en-US" w:eastAsia="zh-CN"/>
              </w:rPr>
              <m:t>p</m:t>
            </m:r>
          </m:sub>
        </m:sSub>
        <m:r>
          <w:rPr>
            <w:rFonts w:ascii="Cambria Math" w:hAnsi="Cambria Math"/>
            <w:sz w:val="22"/>
            <w:szCs w:val="20"/>
            <w:lang w:val="en-US" w:eastAsia="zh-CN"/>
          </w:rPr>
          <m:t>+</m:t>
        </m:r>
        <m:sSub>
          <m:sSubPr>
            <m:ctrlPr>
              <w:rPr>
                <w:rFonts w:ascii="Cambria Math" w:hAnsi="Cambria Math"/>
                <w:sz w:val="22"/>
                <w:szCs w:val="20"/>
                <w:lang w:val="en-US" w:eastAsia="zh-CN"/>
              </w:rPr>
            </m:ctrlPr>
          </m:sSubPr>
          <m:e>
            <m:r>
              <w:rPr>
                <w:rFonts w:ascii="Cambria Math" w:hAnsi="Cambria Math"/>
                <w:sz w:val="22"/>
                <w:szCs w:val="20"/>
                <w:lang w:val="en-US" w:eastAsia="zh-CN"/>
              </w:rPr>
              <m:t>β</m:t>
            </m:r>
          </m:e>
          <m:sub>
            <m:r>
              <w:rPr>
                <w:rFonts w:ascii="Cambria Math" w:hAnsi="Cambria Math"/>
                <w:sz w:val="22"/>
                <w:szCs w:val="20"/>
                <w:lang w:val="en-US" w:eastAsia="zh-CN"/>
              </w:rPr>
              <m:t>MKT</m:t>
            </m:r>
          </m:sub>
        </m:sSub>
        <m:sSub>
          <m:sSubPr>
            <m:ctrlPr>
              <w:rPr>
                <w:rFonts w:ascii="Cambria Math" w:hAnsi="Cambria Math"/>
                <w:sz w:val="22"/>
                <w:szCs w:val="20"/>
                <w:lang w:val="en-US" w:eastAsia="zh-CN"/>
              </w:rPr>
            </m:ctrlPr>
          </m:sSubPr>
          <m:e>
            <m:r>
              <w:rPr>
                <w:rFonts w:ascii="Cambria Math" w:hAnsi="Cambria Math"/>
                <w:sz w:val="22"/>
                <w:szCs w:val="20"/>
                <w:lang w:val="en-US" w:eastAsia="zh-CN"/>
              </w:rPr>
              <m:t>R</m:t>
            </m:r>
          </m:e>
          <m:sub>
            <m:r>
              <w:rPr>
                <w:rFonts w:ascii="Cambria Math" w:hAnsi="Cambria Math"/>
                <w:sz w:val="22"/>
                <w:szCs w:val="20"/>
                <w:lang w:val="en-US" w:eastAsia="zh-CN"/>
              </w:rPr>
              <m:t>MKT,t</m:t>
            </m:r>
          </m:sub>
        </m:sSub>
        <m:r>
          <w:rPr>
            <w:rFonts w:ascii="Cambria Math" w:hAnsi="Cambria Math"/>
            <w:sz w:val="22"/>
            <w:szCs w:val="20"/>
            <w:lang w:val="en-US" w:eastAsia="zh-CN"/>
          </w:rPr>
          <m:t>+</m:t>
        </m:r>
        <m:sSub>
          <m:sSubPr>
            <m:ctrlPr>
              <w:rPr>
                <w:rFonts w:ascii="Cambria Math" w:hAnsi="Cambria Math"/>
                <w:sz w:val="22"/>
                <w:szCs w:val="20"/>
                <w:lang w:val="en-US" w:eastAsia="zh-CN"/>
              </w:rPr>
            </m:ctrlPr>
          </m:sSubPr>
          <m:e>
            <m:r>
              <w:rPr>
                <w:rFonts w:ascii="Cambria Math" w:hAnsi="Cambria Math"/>
                <w:sz w:val="22"/>
                <w:szCs w:val="20"/>
                <w:lang w:val="en-US" w:eastAsia="zh-CN"/>
              </w:rPr>
              <m:t>β</m:t>
            </m:r>
          </m:e>
          <m:sub>
            <m:r>
              <w:rPr>
                <w:rFonts w:ascii="Cambria Math" w:hAnsi="Cambria Math"/>
                <w:sz w:val="22"/>
                <w:szCs w:val="20"/>
                <w:lang w:val="en-US" w:eastAsia="zh-CN"/>
              </w:rPr>
              <m:t>SMB</m:t>
            </m:r>
          </m:sub>
        </m:sSub>
        <m:r>
          <w:rPr>
            <w:rFonts w:ascii="Cambria Math" w:hAnsi="Cambria Math"/>
            <w:sz w:val="22"/>
            <w:szCs w:val="20"/>
            <w:lang w:val="en-US" w:eastAsia="zh-CN"/>
          </w:rPr>
          <m:t>SM</m:t>
        </m:r>
        <m:sSub>
          <m:sSubPr>
            <m:ctrlPr>
              <w:rPr>
                <w:rFonts w:ascii="Cambria Math" w:hAnsi="Cambria Math"/>
                <w:sz w:val="22"/>
                <w:szCs w:val="20"/>
                <w:lang w:val="en-US" w:eastAsia="zh-CN"/>
              </w:rPr>
            </m:ctrlPr>
          </m:sSubPr>
          <m:e>
            <m:r>
              <w:rPr>
                <w:rFonts w:ascii="Cambria Math" w:hAnsi="Cambria Math"/>
                <w:sz w:val="22"/>
                <w:szCs w:val="20"/>
                <w:lang w:val="en-US" w:eastAsia="zh-CN"/>
              </w:rPr>
              <m:t>B</m:t>
            </m:r>
          </m:e>
          <m:sub>
            <m:r>
              <w:rPr>
                <w:rFonts w:ascii="Cambria Math" w:hAnsi="Cambria Math"/>
                <w:sz w:val="22"/>
                <w:szCs w:val="20"/>
                <w:lang w:val="en-US" w:eastAsia="zh-CN"/>
              </w:rPr>
              <m:t>t</m:t>
            </m:r>
          </m:sub>
        </m:sSub>
        <m:r>
          <w:rPr>
            <w:rFonts w:ascii="Cambria Math" w:hAnsi="Cambria Math"/>
            <w:sz w:val="22"/>
            <w:szCs w:val="20"/>
            <w:lang w:val="en-US" w:eastAsia="zh-CN"/>
          </w:rPr>
          <m:t>+</m:t>
        </m:r>
        <m:sSub>
          <m:sSubPr>
            <m:ctrlPr>
              <w:rPr>
                <w:rFonts w:ascii="Cambria Math" w:hAnsi="Cambria Math"/>
                <w:sz w:val="22"/>
                <w:szCs w:val="20"/>
                <w:lang w:val="en-US" w:eastAsia="zh-CN"/>
              </w:rPr>
            </m:ctrlPr>
          </m:sSubPr>
          <m:e>
            <m:r>
              <w:rPr>
                <w:rFonts w:ascii="Cambria Math" w:hAnsi="Cambria Math"/>
                <w:sz w:val="22"/>
                <w:szCs w:val="20"/>
                <w:lang w:val="en-US" w:eastAsia="zh-CN"/>
              </w:rPr>
              <m:t>β</m:t>
            </m:r>
          </m:e>
          <m:sub>
            <m:r>
              <w:rPr>
                <w:rFonts w:ascii="Cambria Math" w:hAnsi="Cambria Math"/>
                <w:sz w:val="22"/>
                <w:szCs w:val="20"/>
                <w:lang w:val="en-US" w:eastAsia="zh-CN"/>
              </w:rPr>
              <m:t>HML</m:t>
            </m:r>
          </m:sub>
        </m:sSub>
        <m:r>
          <w:rPr>
            <w:rFonts w:ascii="Cambria Math" w:hAnsi="Cambria Math"/>
            <w:sz w:val="22"/>
            <w:szCs w:val="20"/>
            <w:lang w:val="en-US" w:eastAsia="zh-CN"/>
          </w:rPr>
          <m:t>HM</m:t>
        </m:r>
        <m:sSub>
          <m:sSubPr>
            <m:ctrlPr>
              <w:rPr>
                <w:rFonts w:ascii="Cambria Math" w:hAnsi="Cambria Math"/>
                <w:sz w:val="22"/>
                <w:szCs w:val="20"/>
                <w:lang w:val="en-US" w:eastAsia="zh-CN"/>
              </w:rPr>
            </m:ctrlPr>
          </m:sSubPr>
          <m:e>
            <m:r>
              <w:rPr>
                <w:rFonts w:ascii="Cambria Math" w:hAnsi="Cambria Math"/>
                <w:sz w:val="22"/>
                <w:szCs w:val="20"/>
                <w:lang w:val="en-US" w:eastAsia="zh-CN"/>
              </w:rPr>
              <m:t>L</m:t>
            </m:r>
          </m:e>
          <m:sub>
            <m:r>
              <w:rPr>
                <w:rFonts w:ascii="Cambria Math" w:hAnsi="Cambria Math"/>
                <w:sz w:val="22"/>
                <w:szCs w:val="20"/>
                <w:lang w:val="en-US" w:eastAsia="zh-CN"/>
              </w:rPr>
              <m:t>t</m:t>
            </m:r>
          </m:sub>
        </m:sSub>
        <m:r>
          <w:rPr>
            <w:rFonts w:ascii="Cambria Math" w:hAnsi="Cambria Math"/>
            <w:sz w:val="22"/>
            <w:szCs w:val="20"/>
            <w:lang w:val="en-US" w:eastAsia="zh-CN"/>
          </w:rPr>
          <m:t>+</m:t>
        </m:r>
        <m:sSub>
          <m:sSubPr>
            <m:ctrlPr>
              <w:rPr>
                <w:rFonts w:ascii="Cambria Math" w:hAnsi="Cambria Math"/>
                <w:sz w:val="22"/>
                <w:szCs w:val="20"/>
                <w:lang w:val="en-US" w:eastAsia="zh-CN"/>
              </w:rPr>
            </m:ctrlPr>
          </m:sSubPr>
          <m:e>
            <m:r>
              <w:rPr>
                <w:rFonts w:ascii="Cambria Math" w:hAnsi="Cambria Math"/>
                <w:sz w:val="22"/>
                <w:szCs w:val="20"/>
                <w:lang w:val="en-US" w:eastAsia="zh-CN"/>
              </w:rPr>
              <m:t>β</m:t>
            </m:r>
          </m:e>
          <m:sub>
            <m:r>
              <w:rPr>
                <w:rFonts w:ascii="Cambria Math" w:hAnsi="Cambria Math"/>
                <w:sz w:val="22"/>
                <w:szCs w:val="20"/>
                <w:lang w:val="en-US" w:eastAsia="zh-CN"/>
              </w:rPr>
              <m:t>RMW</m:t>
            </m:r>
          </m:sub>
        </m:sSub>
        <m:r>
          <w:rPr>
            <w:rFonts w:ascii="Cambria Math" w:hAnsi="Cambria Math"/>
            <w:sz w:val="22"/>
            <w:szCs w:val="20"/>
            <w:lang w:val="en-US" w:eastAsia="zh-CN"/>
          </w:rPr>
          <m:t>RM</m:t>
        </m:r>
        <m:sSub>
          <m:sSubPr>
            <m:ctrlPr>
              <w:rPr>
                <w:rFonts w:ascii="Cambria Math" w:hAnsi="Cambria Math"/>
                <w:sz w:val="22"/>
                <w:szCs w:val="20"/>
                <w:lang w:val="en-US" w:eastAsia="zh-CN"/>
              </w:rPr>
            </m:ctrlPr>
          </m:sSubPr>
          <m:e>
            <m:r>
              <w:rPr>
                <w:rFonts w:ascii="Cambria Math" w:hAnsi="Cambria Math"/>
                <w:sz w:val="22"/>
                <w:szCs w:val="20"/>
                <w:lang w:val="en-US" w:eastAsia="zh-CN"/>
              </w:rPr>
              <m:t>W</m:t>
            </m:r>
          </m:e>
          <m:sub>
            <m:r>
              <w:rPr>
                <w:rFonts w:ascii="Cambria Math" w:hAnsi="Cambria Math"/>
                <w:sz w:val="22"/>
                <w:szCs w:val="20"/>
                <w:lang w:val="en-US" w:eastAsia="zh-CN"/>
              </w:rPr>
              <m:t>t</m:t>
            </m:r>
          </m:sub>
        </m:sSub>
        <m:r>
          <w:rPr>
            <w:rFonts w:ascii="Cambria Math" w:hAnsi="Cambria Math"/>
            <w:sz w:val="22"/>
            <w:szCs w:val="20"/>
            <w:lang w:val="en-US" w:eastAsia="zh-CN"/>
          </w:rPr>
          <m:t>+</m:t>
        </m:r>
        <m:sSub>
          <m:sSubPr>
            <m:ctrlPr>
              <w:rPr>
                <w:rFonts w:ascii="Cambria Math" w:hAnsi="Cambria Math"/>
                <w:sz w:val="22"/>
                <w:szCs w:val="20"/>
                <w:lang w:val="en-US" w:eastAsia="zh-CN"/>
              </w:rPr>
            </m:ctrlPr>
          </m:sSubPr>
          <m:e>
            <m:r>
              <w:rPr>
                <w:rFonts w:ascii="Cambria Math" w:hAnsi="Cambria Math"/>
                <w:sz w:val="22"/>
                <w:szCs w:val="20"/>
                <w:lang w:val="en-US" w:eastAsia="zh-CN"/>
              </w:rPr>
              <m:t>β</m:t>
            </m:r>
          </m:e>
          <m:sub>
            <m:r>
              <w:rPr>
                <w:rFonts w:ascii="Cambria Math" w:hAnsi="Cambria Math"/>
                <w:sz w:val="22"/>
                <w:szCs w:val="20"/>
                <w:lang w:val="en-US" w:eastAsia="zh-CN"/>
              </w:rPr>
              <m:t>CMA</m:t>
            </m:r>
          </m:sub>
        </m:sSub>
        <m:r>
          <w:rPr>
            <w:rFonts w:ascii="Cambria Math" w:hAnsi="Cambria Math"/>
            <w:sz w:val="22"/>
            <w:szCs w:val="20"/>
            <w:lang w:val="en-US" w:eastAsia="zh-CN"/>
          </w:rPr>
          <m:t>CM</m:t>
        </m:r>
        <m:sSub>
          <m:sSubPr>
            <m:ctrlPr>
              <w:rPr>
                <w:rFonts w:ascii="Cambria Math" w:hAnsi="Cambria Math"/>
                <w:sz w:val="22"/>
                <w:szCs w:val="20"/>
                <w:lang w:val="en-US" w:eastAsia="zh-CN"/>
              </w:rPr>
            </m:ctrlPr>
          </m:sSubPr>
          <m:e>
            <m:r>
              <w:rPr>
                <w:rFonts w:ascii="Cambria Math" w:hAnsi="Cambria Math"/>
                <w:sz w:val="22"/>
                <w:szCs w:val="20"/>
                <w:lang w:val="en-US" w:eastAsia="zh-CN"/>
              </w:rPr>
              <m:t>A</m:t>
            </m:r>
          </m:e>
          <m:sub>
            <m:r>
              <w:rPr>
                <w:rFonts w:ascii="Cambria Math" w:hAnsi="Cambria Math"/>
                <w:sz w:val="22"/>
                <w:szCs w:val="20"/>
                <w:lang w:val="en-US" w:eastAsia="zh-CN"/>
              </w:rPr>
              <m:t>t</m:t>
            </m:r>
          </m:sub>
        </m:sSub>
        <m:r>
          <w:rPr>
            <w:rFonts w:ascii="Cambria Math" w:hAnsi="Cambria Math"/>
            <w:sz w:val="22"/>
            <w:szCs w:val="20"/>
            <w:lang w:val="en-US" w:eastAsia="zh-CN"/>
          </w:rPr>
          <m:t>+</m:t>
        </m:r>
        <m:sSub>
          <m:sSubPr>
            <m:ctrlPr>
              <w:rPr>
                <w:rFonts w:ascii="Cambria Math" w:hAnsi="Cambria Math"/>
                <w:sz w:val="22"/>
                <w:szCs w:val="20"/>
                <w:lang w:val="en-US" w:eastAsia="zh-CN"/>
              </w:rPr>
            </m:ctrlPr>
          </m:sSubPr>
          <m:e>
            <m:r>
              <w:rPr>
                <w:rFonts w:ascii="Cambria Math" w:hAnsi="Cambria Math"/>
                <w:sz w:val="22"/>
                <w:szCs w:val="20"/>
                <w:lang w:val="en-US" w:eastAsia="zh-CN"/>
              </w:rPr>
              <m:t>ε</m:t>
            </m:r>
          </m:e>
          <m:sub>
            <m:r>
              <w:rPr>
                <w:rFonts w:ascii="Cambria Math" w:hAnsi="Cambria Math"/>
                <w:sz w:val="22"/>
                <w:szCs w:val="20"/>
                <w:lang w:val="en-US" w:eastAsia="zh-CN"/>
              </w:rPr>
              <m:t>t</m:t>
            </m:r>
          </m:sub>
        </m:sSub>
      </m:oMath>
      <w:r w:rsidR="007F33E9" w:rsidRPr="00705903">
        <w:rPr>
          <w:sz w:val="22"/>
          <w:szCs w:val="20"/>
          <w:lang w:val="en-US" w:eastAsia="zh-CN"/>
        </w:rPr>
        <w:t xml:space="preserve"> </w:t>
      </w:r>
      <w:r w:rsidR="007F33E9" w:rsidRPr="00705903">
        <w:rPr>
          <w:szCs w:val="24"/>
          <w:lang w:val="en-US" w:eastAsia="zh-CN"/>
        </w:rPr>
        <w:t>(7)</w:t>
      </w:r>
    </w:p>
    <w:p w14:paraId="04B4BBAA" w14:textId="722CBE18" w:rsidR="007F33E9" w:rsidRPr="00705903" w:rsidRDefault="007F33E9" w:rsidP="0097761F">
      <w:pPr>
        <w:spacing w:line="360" w:lineRule="auto"/>
        <w:ind w:firstLine="0"/>
        <w:jc w:val="both"/>
        <w:rPr>
          <w:lang w:val="en-US" w:eastAsia="zh-CN"/>
        </w:rPr>
      </w:pPr>
      <w:r w:rsidRPr="00705903">
        <w:rPr>
          <w:lang w:val="en-US" w:eastAsia="zh-CN"/>
        </w:rPr>
        <w:t xml:space="preserve">where </w:t>
      </w:r>
      <m:oMath>
        <m:sSub>
          <m:sSubPr>
            <m:ctrlPr>
              <w:rPr>
                <w:rFonts w:ascii="Cambria Math" w:hAnsi="Cambria Math"/>
                <w:lang w:val="en-US" w:eastAsia="zh-CN"/>
              </w:rPr>
            </m:ctrlPr>
          </m:sSubPr>
          <m:e>
            <m:r>
              <w:rPr>
                <w:rFonts w:ascii="Cambria Math" w:hAnsi="Cambria Math"/>
                <w:lang w:val="en-US" w:eastAsia="zh-CN"/>
              </w:rPr>
              <m:t>R</m:t>
            </m:r>
          </m:e>
          <m:sub>
            <m:r>
              <w:rPr>
                <w:rFonts w:ascii="Cambria Math" w:hAnsi="Cambria Math"/>
                <w:lang w:val="en-US" w:eastAsia="zh-CN"/>
              </w:rPr>
              <m:t>p,t</m:t>
            </m:r>
          </m:sub>
        </m:sSub>
      </m:oMath>
      <w:r w:rsidRPr="00705903">
        <w:rPr>
          <w:lang w:val="en-US" w:eastAsia="zh-CN"/>
        </w:rPr>
        <w:t xml:space="preserve">denotes the monthly excess return of the ESG (or E/S/G) long–short portfolio, and </w:t>
      </w:r>
      <m:oMath>
        <m:sSub>
          <m:sSubPr>
            <m:ctrlPr>
              <w:rPr>
                <w:rFonts w:ascii="Cambria Math" w:hAnsi="Cambria Math"/>
                <w:lang w:val="en-US" w:eastAsia="zh-CN"/>
              </w:rPr>
            </m:ctrlPr>
          </m:sSubPr>
          <m:e>
            <m:r>
              <w:rPr>
                <w:rFonts w:ascii="Cambria Math" w:hAnsi="Cambria Math"/>
                <w:lang w:val="en-US" w:eastAsia="zh-CN"/>
              </w:rPr>
              <m:t>R</m:t>
            </m:r>
          </m:e>
          <m:sub>
            <m:r>
              <w:rPr>
                <w:rFonts w:ascii="Cambria Math" w:hAnsi="Cambria Math"/>
                <w:lang w:val="en-US" w:eastAsia="zh-CN"/>
              </w:rPr>
              <m:t>f,t</m:t>
            </m:r>
          </m:sub>
        </m:sSub>
      </m:oMath>
      <w:r w:rsidRPr="00705903">
        <w:rPr>
          <w:lang w:val="en-US" w:eastAsia="zh-CN"/>
        </w:rPr>
        <w:t xml:space="preserve">is the one-month Treasury yield. The intercept term </w:t>
      </w:r>
      <m:oMath>
        <m:sSub>
          <m:sSubPr>
            <m:ctrlPr>
              <w:rPr>
                <w:rFonts w:ascii="Cambria Math" w:hAnsi="Cambria Math"/>
                <w:lang w:val="en-US" w:eastAsia="zh-CN"/>
              </w:rPr>
            </m:ctrlPr>
          </m:sSubPr>
          <m:e>
            <m:r>
              <w:rPr>
                <w:rFonts w:ascii="Cambria Math" w:hAnsi="Cambria Math"/>
                <w:lang w:val="en-US" w:eastAsia="zh-CN"/>
              </w:rPr>
              <m:t>α</m:t>
            </m:r>
          </m:e>
          <m:sub>
            <m:r>
              <w:rPr>
                <w:rFonts w:ascii="Cambria Math" w:hAnsi="Cambria Math"/>
                <w:lang w:val="en-US" w:eastAsia="zh-CN"/>
              </w:rPr>
              <m:t>p</m:t>
            </m:r>
          </m:sub>
        </m:sSub>
      </m:oMath>
      <w:r w:rsidRPr="00705903">
        <w:rPr>
          <w:lang w:val="en-US" w:eastAsia="zh-CN"/>
        </w:rPr>
        <w:t>captures the abnormal return that cannot be explained by conventional risk factors, while the Sharpe ratio measures the portfolio’s risk-adjusted efficiency:</w:t>
      </w:r>
    </w:p>
    <w:p w14:paraId="24901F88" w14:textId="64495631" w:rsidR="007F33E9" w:rsidRPr="00705903" w:rsidRDefault="00000000" w:rsidP="0097761F">
      <w:pPr>
        <w:spacing w:line="360" w:lineRule="auto"/>
        <w:ind w:firstLine="0"/>
        <w:jc w:val="both"/>
        <w:rPr>
          <w:lang w:val="en-US" w:eastAsia="zh-CN"/>
        </w:rPr>
      </w:pPr>
      <m:oMathPara>
        <m:oMath>
          <m:m>
            <m:mPr>
              <m:plcHide m:val="1"/>
              <m:mcs>
                <m:mc>
                  <m:mcPr>
                    <m:count m:val="4"/>
                    <m:mcJc m:val="center"/>
                  </m:mcPr>
                </m:mc>
              </m:mcs>
              <m:ctrlPr>
                <w:rPr>
                  <w:rFonts w:ascii="Cambria Math" w:hAnsi="Cambria Math"/>
                  <w:lang w:val="en-US" w:eastAsia="zh-CN"/>
                </w:rPr>
              </m:ctrlPr>
            </m:mPr>
            <m:mr>
              <m:e/>
              <m:e>
                <m:sSub>
                  <m:sSubPr>
                    <m:ctrlPr>
                      <w:rPr>
                        <w:rFonts w:ascii="Cambria Math" w:hAnsi="Cambria Math"/>
                        <w:lang w:val="en-US" w:eastAsia="zh-CN"/>
                      </w:rPr>
                    </m:ctrlPr>
                  </m:sSubPr>
                  <m:e>
                    <m:r>
                      <m:rPr>
                        <m:nor/>
                      </m:rPr>
                      <w:rPr>
                        <w:lang w:val="en-US" w:eastAsia="zh-CN"/>
                      </w:rPr>
                      <m:t>Sharpe</m:t>
                    </m:r>
                  </m:e>
                  <m:sub>
                    <m:r>
                      <w:rPr>
                        <w:rFonts w:ascii="Cambria Math" w:hAnsi="Cambria Math"/>
                        <w:lang w:val="en-US" w:eastAsia="zh-CN"/>
                      </w:rPr>
                      <m:t>p</m:t>
                    </m:r>
                  </m:sub>
                </m:sSub>
                <m:r>
                  <w:rPr>
                    <w:rFonts w:ascii="Cambria Math" w:hAnsi="Cambria Math"/>
                    <w:lang w:val="en-US" w:eastAsia="zh-CN"/>
                  </w:rPr>
                  <m:t>=</m:t>
                </m:r>
                <m:f>
                  <m:fPr>
                    <m:ctrlPr>
                      <w:rPr>
                        <w:rFonts w:ascii="Cambria Math" w:hAnsi="Cambria Math"/>
                        <w:lang w:val="en-US" w:eastAsia="zh-CN"/>
                      </w:rPr>
                    </m:ctrlPr>
                  </m:fPr>
                  <m:num>
                    <m:sSub>
                      <m:sSubPr>
                        <m:ctrlPr>
                          <w:rPr>
                            <w:rFonts w:ascii="Cambria Math" w:hAnsi="Cambria Math"/>
                            <w:lang w:val="en-US" w:eastAsia="zh-CN"/>
                          </w:rPr>
                        </m:ctrlPr>
                      </m:sSubPr>
                      <m:e>
                        <m:acc>
                          <m:accPr>
                            <m:chr m:val="ˉ"/>
                            <m:ctrlPr>
                              <w:rPr>
                                <w:rFonts w:ascii="Cambria Math" w:hAnsi="Cambria Math"/>
                                <w:lang w:val="en-US" w:eastAsia="zh-CN"/>
                              </w:rPr>
                            </m:ctrlPr>
                          </m:accPr>
                          <m:e>
                            <m:r>
                              <w:rPr>
                                <w:rFonts w:ascii="Cambria Math" w:hAnsi="Cambria Math"/>
                                <w:lang w:val="en-US" w:eastAsia="zh-CN"/>
                              </w:rPr>
                              <m:t>R</m:t>
                            </m:r>
                          </m:e>
                        </m:acc>
                      </m:e>
                      <m:sub>
                        <m:r>
                          <w:rPr>
                            <w:rFonts w:ascii="Cambria Math" w:hAnsi="Cambria Math"/>
                            <w:lang w:val="en-US" w:eastAsia="zh-CN"/>
                          </w:rPr>
                          <m:t>p</m:t>
                        </m:r>
                      </m:sub>
                    </m:sSub>
                    <m:r>
                      <w:rPr>
                        <w:rFonts w:ascii="Cambria Math" w:hAnsi="Cambria Math"/>
                        <w:lang w:val="en-US" w:eastAsia="zh-CN"/>
                      </w:rPr>
                      <m:t>-</m:t>
                    </m:r>
                    <m:sSub>
                      <m:sSubPr>
                        <m:ctrlPr>
                          <w:rPr>
                            <w:rFonts w:ascii="Cambria Math" w:hAnsi="Cambria Math"/>
                            <w:lang w:val="en-US" w:eastAsia="zh-CN"/>
                          </w:rPr>
                        </m:ctrlPr>
                      </m:sSubPr>
                      <m:e>
                        <m:r>
                          <w:rPr>
                            <w:rFonts w:ascii="Cambria Math" w:hAnsi="Cambria Math"/>
                            <w:lang w:val="en-US" w:eastAsia="zh-CN"/>
                          </w:rPr>
                          <m:t>R</m:t>
                        </m:r>
                      </m:e>
                      <m:sub>
                        <m:r>
                          <w:rPr>
                            <w:rFonts w:ascii="Cambria Math" w:hAnsi="Cambria Math"/>
                            <w:lang w:val="en-US" w:eastAsia="zh-CN"/>
                          </w:rPr>
                          <m:t>f</m:t>
                        </m:r>
                      </m:sub>
                    </m:sSub>
                  </m:num>
                  <m:den>
                    <m:sSub>
                      <m:sSubPr>
                        <m:ctrlPr>
                          <w:rPr>
                            <w:rFonts w:ascii="Cambria Math" w:hAnsi="Cambria Math"/>
                            <w:lang w:val="en-US" w:eastAsia="zh-CN"/>
                          </w:rPr>
                        </m:ctrlPr>
                      </m:sSubPr>
                      <m:e>
                        <m:r>
                          <w:rPr>
                            <w:rFonts w:ascii="Cambria Math" w:hAnsi="Cambria Math"/>
                            <w:lang w:val="en-US" w:eastAsia="zh-CN"/>
                          </w:rPr>
                          <m:t>σ</m:t>
                        </m:r>
                      </m:e>
                      <m:sub>
                        <m:r>
                          <w:rPr>
                            <w:rFonts w:ascii="Cambria Math" w:hAnsi="Cambria Math"/>
                            <w:lang w:val="en-US" w:eastAsia="zh-CN"/>
                          </w:rPr>
                          <m:t>p</m:t>
                        </m:r>
                      </m:sub>
                    </m:sSub>
                  </m:den>
                </m:f>
              </m:e>
              <m:e/>
              <m:e>
                <m:r>
                  <m:rPr>
                    <m:nor/>
                  </m:rPr>
                  <w:rPr>
                    <w:lang w:val="en-US" w:eastAsia="zh-CN"/>
                  </w:rPr>
                  <m:t>(8)</m:t>
                </m:r>
              </m:e>
            </m:mr>
          </m:m>
        </m:oMath>
      </m:oMathPara>
    </w:p>
    <w:p w14:paraId="481675C7" w14:textId="4FCDA400" w:rsidR="007F33E9" w:rsidRPr="00705903" w:rsidRDefault="007F33E9" w:rsidP="0097761F">
      <w:pPr>
        <w:spacing w:line="360" w:lineRule="auto"/>
        <w:ind w:firstLine="0"/>
        <w:jc w:val="both"/>
        <w:rPr>
          <w:lang w:val="en-US" w:eastAsia="zh-CN"/>
        </w:rPr>
      </w:pPr>
      <w:r w:rsidRPr="00705903">
        <w:rPr>
          <w:lang w:val="en-US" w:eastAsia="zh-CN"/>
        </w:rPr>
        <w:t xml:space="preserve">By comparing the estimated </w:t>
      </w:r>
      <m:oMath>
        <m:sSub>
          <m:sSubPr>
            <m:ctrlPr>
              <w:rPr>
                <w:rFonts w:ascii="Cambria Math" w:hAnsi="Cambria Math"/>
                <w:lang w:val="en-US" w:eastAsia="zh-CN"/>
              </w:rPr>
            </m:ctrlPr>
          </m:sSubPr>
          <m:e>
            <m:r>
              <w:rPr>
                <w:rFonts w:ascii="Cambria Math" w:hAnsi="Cambria Math"/>
                <w:lang w:val="en-US" w:eastAsia="zh-CN"/>
              </w:rPr>
              <m:t>α</m:t>
            </m:r>
          </m:e>
          <m:sub>
            <m:r>
              <w:rPr>
                <w:rFonts w:ascii="Cambria Math" w:hAnsi="Cambria Math"/>
                <w:lang w:val="en-US" w:eastAsia="zh-CN"/>
              </w:rPr>
              <m:t>p</m:t>
            </m:r>
          </m:sub>
        </m:sSub>
      </m:oMath>
      <w:r w:rsidRPr="00705903">
        <w:rPr>
          <w:lang w:val="en-US" w:eastAsia="zh-CN"/>
        </w:rPr>
        <w:t>and Sharpe ratios across multiple periods, this framework enables an empirical assessment of whether ESG-related pricing effects are time-varying and policy-sensitive.</w:t>
      </w:r>
    </w:p>
    <w:p w14:paraId="20B1372D" w14:textId="6ED27056" w:rsidR="007F33E9" w:rsidRPr="00705903" w:rsidRDefault="007F33E9" w:rsidP="0097761F">
      <w:pPr>
        <w:spacing w:line="360" w:lineRule="auto"/>
        <w:ind w:firstLine="720"/>
        <w:jc w:val="both"/>
        <w:rPr>
          <w:lang w:val="en-US" w:eastAsia="zh-CN"/>
        </w:rPr>
      </w:pPr>
      <w:r w:rsidRPr="00705903">
        <w:rPr>
          <w:lang w:val="en-US" w:eastAsia="zh-CN"/>
        </w:rPr>
        <w:t xml:space="preserve">Unlike short-horizon event studies that focus on single shocks, this dynamic design captures broader structural and institutional transitions—such as environmental regulation reforms, financial market cycles, and pandemic disruptions—that may alter investors’ valuation of ESG attributes. A significant and shifting </w:t>
      </w:r>
      <m:oMath>
        <m:sSub>
          <m:sSubPr>
            <m:ctrlPr>
              <w:rPr>
                <w:rFonts w:ascii="Cambria Math" w:hAnsi="Cambria Math"/>
                <w:lang w:val="en-US" w:eastAsia="zh-CN"/>
              </w:rPr>
            </m:ctrlPr>
          </m:sSubPr>
          <m:e>
            <m:r>
              <w:rPr>
                <w:rFonts w:ascii="Cambria Math" w:hAnsi="Cambria Math"/>
                <w:lang w:val="en-US" w:eastAsia="zh-CN"/>
              </w:rPr>
              <m:t>α</m:t>
            </m:r>
          </m:e>
          <m:sub>
            <m:r>
              <w:rPr>
                <w:rFonts w:ascii="Cambria Math" w:hAnsi="Cambria Math"/>
                <w:lang w:val="en-US" w:eastAsia="zh-CN"/>
              </w:rPr>
              <m:t>p</m:t>
            </m:r>
          </m:sub>
        </m:sSub>
      </m:oMath>
      <w:r w:rsidRPr="00705903">
        <w:rPr>
          <w:lang w:val="en-US" w:eastAsia="zh-CN"/>
        </w:rPr>
        <w:t>across subperiods indicates that the performance of ESG factors responds endogenously to evolving regulatory priorities and macroeconomic conditions.</w:t>
      </w:r>
    </w:p>
    <w:p w14:paraId="4CA9C725" w14:textId="718AFF94" w:rsidR="00067EDE" w:rsidRPr="00705903" w:rsidRDefault="005D0C1F" w:rsidP="0097761F">
      <w:pPr>
        <w:spacing w:line="360" w:lineRule="auto"/>
        <w:ind w:firstLine="720"/>
        <w:jc w:val="both"/>
        <w:rPr>
          <w:lang w:val="en-US" w:eastAsia="zh-CN"/>
        </w:rPr>
      </w:pPr>
      <w:r w:rsidRPr="00705903">
        <w:rPr>
          <w:lang w:eastAsia="zh-CN"/>
        </w:rPr>
        <w:t>This dynamic segmentation framework also provides the foundation for subsequent robustness checks (Section 4.3), where I re-estimate the model across distinct policy and crisis subperiods—pre-policy (2011–2016), policy-promotion (2017–2019), and COVID/dual-carbon (2020–2022)—to examine whether the ESG–return relation is time-varying and policy-dependent.</w:t>
      </w:r>
      <w:r w:rsidR="00067EDE" w:rsidRPr="00705903">
        <w:rPr>
          <w:lang w:val="en-US" w:eastAsia="zh-CN"/>
        </w:rPr>
        <w:t xml:space="preserve"> This framework also serves as the methodological foundation for subsequent analyses of ESG rating initiation and rating revision, which explore whether market reactions to new ESG information are consistent.</w:t>
      </w:r>
    </w:p>
    <w:p w14:paraId="107B80B6" w14:textId="77777777" w:rsidR="00271907" w:rsidRPr="00705903" w:rsidRDefault="00271907" w:rsidP="0097761F">
      <w:pPr>
        <w:spacing w:line="360" w:lineRule="auto"/>
        <w:ind w:firstLine="0"/>
        <w:jc w:val="both"/>
        <w:rPr>
          <w:lang w:val="en-US" w:eastAsia="zh-CN"/>
        </w:rPr>
      </w:pPr>
    </w:p>
    <w:p w14:paraId="3FCA5013" w14:textId="18FDDA06" w:rsidR="002C6814" w:rsidRPr="00705903" w:rsidRDefault="002C6814" w:rsidP="0097761F">
      <w:pPr>
        <w:pStyle w:val="Heading3"/>
        <w:rPr>
          <w:lang w:eastAsia="zh-CN"/>
        </w:rPr>
      </w:pPr>
      <w:r w:rsidRPr="00705903">
        <w:rPr>
          <w:lang w:eastAsia="zh-CN"/>
        </w:rPr>
        <w:t>2.3.4 Event ESG Performance: Rating Initiations and Revisions</w:t>
      </w:r>
    </w:p>
    <w:p w14:paraId="41BE7A4F" w14:textId="27ED07EB" w:rsidR="002C6814" w:rsidRPr="00705903" w:rsidRDefault="002C6814" w:rsidP="0097761F">
      <w:pPr>
        <w:spacing w:line="360" w:lineRule="auto"/>
        <w:ind w:firstLine="720"/>
        <w:jc w:val="both"/>
        <w:rPr>
          <w:lang w:val="en-US" w:eastAsia="zh-CN"/>
        </w:rPr>
      </w:pPr>
      <w:r w:rsidRPr="00705903">
        <w:rPr>
          <w:lang w:val="en-US" w:eastAsia="zh-CN"/>
        </w:rPr>
        <w:t>To evaluate the dynamic market response to new ESG information, I implement a calendar-time portfolio regression framework following Fama (1998) and Mitchell and Stafford (2000)</w:t>
      </w:r>
      <w:r w:rsidR="00B3107C" w:rsidRPr="00705903">
        <w:rPr>
          <w:rStyle w:val="FootnoteReference"/>
          <w:lang w:val="en-US" w:eastAsia="zh-CN"/>
        </w:rPr>
        <w:footnoteReference w:id="17"/>
      </w:r>
      <w:r w:rsidRPr="00705903">
        <w:rPr>
          <w:lang w:val="en-US" w:eastAsia="zh-CN"/>
        </w:rPr>
        <w:t xml:space="preserve">. This approach examines whether ESG-related information events—such as rating initiations, upgrades, and downgrades—generate statistically significant abnormal returns after controlling for standard risk factors. </w:t>
      </w:r>
    </w:p>
    <w:p w14:paraId="10E7AF87" w14:textId="38D61907" w:rsidR="002C6814" w:rsidRPr="00705903" w:rsidRDefault="002C6814" w:rsidP="0097761F">
      <w:pPr>
        <w:spacing w:line="360" w:lineRule="auto"/>
        <w:ind w:firstLine="720"/>
        <w:jc w:val="both"/>
        <w:rPr>
          <w:lang w:val="en-US" w:eastAsia="zh-CN"/>
        </w:rPr>
      </w:pPr>
      <w:r w:rsidRPr="00705903">
        <w:rPr>
          <w:lang w:val="en-US" w:eastAsia="zh-CN"/>
        </w:rPr>
        <w:t xml:space="preserve">Each month, all firms that experience an ESG rating event are assigned to one of three </w:t>
      </w:r>
      <w:r w:rsidR="00217D34" w:rsidRPr="00705903">
        <w:rPr>
          <w:lang w:val="en-US" w:eastAsia="zh-CN"/>
        </w:rPr>
        <w:t xml:space="preserve">event </w:t>
      </w:r>
      <w:r w:rsidRPr="00705903">
        <w:rPr>
          <w:lang w:val="en-US" w:eastAsia="zh-CN"/>
        </w:rPr>
        <w:t>portfolios based on the event type</w:t>
      </w:r>
      <w:r w:rsidR="00B3107C" w:rsidRPr="00705903">
        <w:rPr>
          <w:rStyle w:val="FootnoteReference"/>
          <w:lang w:val="en-US" w:eastAsia="zh-CN"/>
        </w:rPr>
        <w:footnoteReference w:id="18"/>
      </w:r>
      <w:r w:rsidRPr="00705903">
        <w:rPr>
          <w:lang w:val="en-US" w:eastAsia="zh-CN"/>
        </w:rPr>
        <w:t>. Specifically, a</w:t>
      </w:r>
      <w:r w:rsidR="00217D34" w:rsidRPr="00705903">
        <w:rPr>
          <w:lang w:val="en-US" w:eastAsia="zh-CN"/>
        </w:rPr>
        <w:t xml:space="preserve"> rating</w:t>
      </w:r>
      <w:r w:rsidRPr="00705903">
        <w:rPr>
          <w:lang w:val="en-US" w:eastAsia="zh-CN"/>
        </w:rPr>
        <w:t xml:space="preserve"> initiation is defined as the first year in which a firm receives an ESG rating (i.e., </w:t>
      </w:r>
      <w:proofErr w:type="spellStart"/>
      <w:r w:rsidRPr="00705903">
        <w:rPr>
          <w:lang w:val="en-US" w:eastAsia="zh-CN"/>
        </w:rPr>
        <w:t>Has_ESG</w:t>
      </w:r>
      <w:proofErr w:type="spellEnd"/>
      <w:r w:rsidRPr="00705903">
        <w:rPr>
          <w:lang w:val="en-US" w:eastAsia="zh-CN"/>
        </w:rPr>
        <w:t xml:space="preserve"> changes from 0 to 1). A rating revision occurs when the annual change in a firm’s ESG score exceeds the ±20% quantile threshold, corresponding to an upgrade or downgrade, respectively. Each event portfolio is value-weighted by market capitalization and held for 12 months following the event month to capture medium-term valuation adjustments. For each portfolio </w:t>
      </w:r>
      <m:oMath>
        <m:r>
          <w:rPr>
            <w:rFonts w:ascii="Cambria Math" w:hAnsi="Cambria Math"/>
            <w:lang w:val="en-US" w:eastAsia="zh-CN"/>
          </w:rPr>
          <m:t>p</m:t>
        </m:r>
      </m:oMath>
      <w:r w:rsidRPr="00705903">
        <w:rPr>
          <w:lang w:val="en-US" w:eastAsia="zh-CN"/>
        </w:rPr>
        <w:t>, I compute monthly excess returns and estimate the following time-series regression model:</w:t>
      </w:r>
    </w:p>
    <w:p w14:paraId="234586C4" w14:textId="617F6AE2" w:rsidR="002C6814" w:rsidRPr="00705903" w:rsidRDefault="00000000" w:rsidP="0097761F">
      <w:pPr>
        <w:spacing w:line="360" w:lineRule="auto"/>
        <w:ind w:firstLine="0"/>
        <w:jc w:val="both"/>
        <w:rPr>
          <w:lang w:val="en-US" w:eastAsia="zh-CN"/>
        </w:rPr>
      </w:pPr>
      <m:oMathPara>
        <m:oMath>
          <m:m>
            <m:mPr>
              <m:plcHide m:val="1"/>
              <m:mcs>
                <m:mc>
                  <m:mcPr>
                    <m:count m:val="4"/>
                    <m:mcJc m:val="center"/>
                  </m:mcPr>
                </m:mc>
              </m:mcs>
              <m:ctrlPr>
                <w:rPr>
                  <w:rFonts w:ascii="Cambria Math" w:hAnsi="Cambria Math"/>
                  <w:lang w:val="en-US" w:eastAsia="zh-CN"/>
                </w:rPr>
              </m:ctrlPr>
            </m:mPr>
            <m:mr>
              <m:e/>
              <m:e>
                <m:sSub>
                  <m:sSubPr>
                    <m:ctrlPr>
                      <w:rPr>
                        <w:rFonts w:ascii="Cambria Math" w:hAnsi="Cambria Math"/>
                        <w:lang w:val="en-US" w:eastAsia="zh-CN"/>
                      </w:rPr>
                    </m:ctrlPr>
                  </m:sSubPr>
                  <m:e>
                    <m:r>
                      <w:rPr>
                        <w:rFonts w:ascii="Cambria Math" w:hAnsi="Cambria Math"/>
                        <w:lang w:val="en-US" w:eastAsia="zh-CN"/>
                      </w:rPr>
                      <m:t>R</m:t>
                    </m:r>
                  </m:e>
                  <m:sub>
                    <m:r>
                      <w:rPr>
                        <w:rFonts w:ascii="Cambria Math" w:hAnsi="Cambria Math"/>
                        <w:lang w:val="en-US" w:eastAsia="zh-CN"/>
                      </w:rPr>
                      <m:t>p,t</m:t>
                    </m:r>
                  </m:sub>
                </m:sSub>
                <m:r>
                  <w:rPr>
                    <w:rFonts w:ascii="Cambria Math" w:hAnsi="Cambria Math"/>
                    <w:lang w:val="en-US" w:eastAsia="zh-CN"/>
                  </w:rPr>
                  <m:t>-</m:t>
                </m:r>
                <m:sSub>
                  <m:sSubPr>
                    <m:ctrlPr>
                      <w:rPr>
                        <w:rFonts w:ascii="Cambria Math" w:hAnsi="Cambria Math"/>
                        <w:lang w:val="en-US" w:eastAsia="zh-CN"/>
                      </w:rPr>
                    </m:ctrlPr>
                  </m:sSubPr>
                  <m:e>
                    <m:r>
                      <w:rPr>
                        <w:rFonts w:ascii="Cambria Math" w:hAnsi="Cambria Math"/>
                        <w:lang w:val="en-US" w:eastAsia="zh-CN"/>
                      </w:rPr>
                      <m:t>R</m:t>
                    </m:r>
                  </m:e>
                  <m:sub>
                    <m:r>
                      <w:rPr>
                        <w:rFonts w:ascii="Cambria Math" w:hAnsi="Cambria Math"/>
                        <w:lang w:val="en-US" w:eastAsia="zh-CN"/>
                      </w:rPr>
                      <m:t>f,t</m:t>
                    </m:r>
                  </m:sub>
                </m:sSub>
                <m:r>
                  <w:rPr>
                    <w:rFonts w:ascii="Cambria Math" w:hAnsi="Cambria Math"/>
                    <w:lang w:val="en-US" w:eastAsia="zh-CN"/>
                  </w:rPr>
                  <m:t>=</m:t>
                </m:r>
                <m:sSub>
                  <m:sSubPr>
                    <m:ctrlPr>
                      <w:rPr>
                        <w:rFonts w:ascii="Cambria Math" w:hAnsi="Cambria Math"/>
                        <w:lang w:val="en-US" w:eastAsia="zh-CN"/>
                      </w:rPr>
                    </m:ctrlPr>
                  </m:sSubPr>
                  <m:e>
                    <m:r>
                      <w:rPr>
                        <w:rFonts w:ascii="Cambria Math" w:hAnsi="Cambria Math"/>
                        <w:lang w:val="en-US" w:eastAsia="zh-CN"/>
                      </w:rPr>
                      <m:t>α</m:t>
                    </m:r>
                  </m:e>
                  <m:sub>
                    <m:r>
                      <w:rPr>
                        <w:rFonts w:ascii="Cambria Math" w:hAnsi="Cambria Math"/>
                        <w:lang w:val="en-US" w:eastAsia="zh-CN"/>
                      </w:rPr>
                      <m:t>p</m:t>
                    </m:r>
                  </m:sub>
                </m:sSub>
                <m:r>
                  <w:rPr>
                    <w:rFonts w:ascii="Cambria Math" w:hAnsi="Cambria Math"/>
                    <w:lang w:val="en-US" w:eastAsia="zh-CN"/>
                  </w:rPr>
                  <m:t>+</m:t>
                </m:r>
                <m:sSup>
                  <m:sSupPr>
                    <m:ctrlPr>
                      <w:rPr>
                        <w:rFonts w:ascii="Cambria Math" w:hAnsi="Cambria Math"/>
                        <w:lang w:val="en-US" w:eastAsia="zh-CN"/>
                      </w:rPr>
                    </m:ctrlPr>
                  </m:sSupPr>
                  <m:e>
                    <m:r>
                      <w:rPr>
                        <w:rFonts w:ascii="Cambria Math" w:hAnsi="Cambria Math"/>
                        <w:lang w:val="en-US" w:eastAsia="zh-CN"/>
                      </w:rPr>
                      <m:t>β</m:t>
                    </m:r>
                  </m:e>
                  <m:sup>
                    <m:r>
                      <m:rPr>
                        <m:sty m:val="p"/>
                      </m:rPr>
                      <w:rPr>
                        <w:rFonts w:ascii="Cambria Math" w:hAnsi="Cambria Math"/>
                        <w:lang w:val="en-US" w:eastAsia="zh-CN"/>
                      </w:rPr>
                      <m:t>'</m:t>
                    </m:r>
                  </m:sup>
                </m:sSup>
                <m:sSub>
                  <m:sSubPr>
                    <m:ctrlPr>
                      <w:rPr>
                        <w:rFonts w:ascii="Cambria Math" w:hAnsi="Cambria Math"/>
                        <w:lang w:val="en-US" w:eastAsia="zh-CN"/>
                      </w:rPr>
                    </m:ctrlPr>
                  </m:sSubPr>
                  <m:e>
                    <m:r>
                      <m:rPr>
                        <m:nor/>
                      </m:rPr>
                      <w:rPr>
                        <w:lang w:val="en-US" w:eastAsia="zh-CN"/>
                      </w:rPr>
                      <m:t>Factors</m:t>
                    </m:r>
                  </m:e>
                  <m:sub>
                    <m:r>
                      <w:rPr>
                        <w:rFonts w:ascii="Cambria Math" w:hAnsi="Cambria Math"/>
                        <w:lang w:val="en-US" w:eastAsia="zh-CN"/>
                      </w:rPr>
                      <m:t>t</m:t>
                    </m:r>
                  </m:sub>
                </m:sSub>
                <m:r>
                  <w:rPr>
                    <w:rFonts w:ascii="Cambria Math" w:hAnsi="Cambria Math"/>
                    <w:lang w:val="en-US" w:eastAsia="zh-CN"/>
                  </w:rPr>
                  <m:t>+</m:t>
                </m:r>
                <m:sSub>
                  <m:sSubPr>
                    <m:ctrlPr>
                      <w:rPr>
                        <w:rFonts w:ascii="Cambria Math" w:hAnsi="Cambria Math"/>
                        <w:lang w:val="en-US" w:eastAsia="zh-CN"/>
                      </w:rPr>
                    </m:ctrlPr>
                  </m:sSubPr>
                  <m:e>
                    <m:r>
                      <w:rPr>
                        <w:rFonts w:ascii="Cambria Math" w:hAnsi="Cambria Math"/>
                        <w:lang w:val="en-US" w:eastAsia="zh-CN"/>
                      </w:rPr>
                      <m:t>ε</m:t>
                    </m:r>
                  </m:e>
                  <m:sub>
                    <m:r>
                      <w:rPr>
                        <w:rFonts w:ascii="Cambria Math" w:hAnsi="Cambria Math"/>
                        <w:lang w:val="en-US" w:eastAsia="zh-CN"/>
                      </w:rPr>
                      <m:t>t</m:t>
                    </m:r>
                  </m:sub>
                </m:sSub>
              </m:e>
              <m:e/>
              <m:e>
                <m:r>
                  <m:rPr>
                    <m:nor/>
                  </m:rPr>
                  <w:rPr>
                    <w:lang w:val="en-US" w:eastAsia="zh-CN"/>
                  </w:rPr>
                  <m:t>(9)</m:t>
                </m:r>
              </m:e>
            </m:mr>
          </m:m>
        </m:oMath>
      </m:oMathPara>
    </w:p>
    <w:p w14:paraId="3A8263A6" w14:textId="18A56BC1" w:rsidR="002C6814" w:rsidRPr="00705903" w:rsidRDefault="002C6814" w:rsidP="0097761F">
      <w:pPr>
        <w:spacing w:line="360" w:lineRule="auto"/>
        <w:ind w:firstLine="0"/>
        <w:jc w:val="both"/>
        <w:rPr>
          <w:lang w:val="en-US" w:eastAsia="zh-CN"/>
        </w:rPr>
      </w:pPr>
      <w:r w:rsidRPr="00705903">
        <w:rPr>
          <w:lang w:val="en-US" w:eastAsia="zh-CN"/>
        </w:rPr>
        <w:t xml:space="preserve">where </w:t>
      </w:r>
      <m:oMath>
        <m:sSub>
          <m:sSubPr>
            <m:ctrlPr>
              <w:rPr>
                <w:rFonts w:ascii="Cambria Math" w:hAnsi="Cambria Math"/>
                <w:lang w:val="en-US" w:eastAsia="zh-CN"/>
              </w:rPr>
            </m:ctrlPr>
          </m:sSubPr>
          <m:e>
            <m:r>
              <w:rPr>
                <w:rFonts w:ascii="Cambria Math" w:hAnsi="Cambria Math"/>
                <w:lang w:val="en-US" w:eastAsia="zh-CN"/>
              </w:rPr>
              <m:t>R</m:t>
            </m:r>
          </m:e>
          <m:sub>
            <m:r>
              <w:rPr>
                <w:rFonts w:ascii="Cambria Math" w:hAnsi="Cambria Math"/>
                <w:lang w:val="en-US" w:eastAsia="zh-CN"/>
              </w:rPr>
              <m:t>p,t</m:t>
            </m:r>
          </m:sub>
        </m:sSub>
      </m:oMath>
      <w:r w:rsidRPr="00705903">
        <w:rPr>
          <w:lang w:val="en-US" w:eastAsia="zh-CN"/>
        </w:rPr>
        <w:t xml:space="preserve">denotes the monthly return of the ESG event portfolio, </w:t>
      </w:r>
      <m:oMath>
        <m:sSub>
          <m:sSubPr>
            <m:ctrlPr>
              <w:rPr>
                <w:rFonts w:ascii="Cambria Math" w:hAnsi="Cambria Math"/>
                <w:lang w:val="en-US" w:eastAsia="zh-CN"/>
              </w:rPr>
            </m:ctrlPr>
          </m:sSubPr>
          <m:e>
            <m:r>
              <w:rPr>
                <w:rFonts w:ascii="Cambria Math" w:hAnsi="Cambria Math"/>
                <w:lang w:val="en-US" w:eastAsia="zh-CN"/>
              </w:rPr>
              <m:t>R</m:t>
            </m:r>
          </m:e>
          <m:sub>
            <m:r>
              <w:rPr>
                <w:rFonts w:ascii="Cambria Math" w:hAnsi="Cambria Math"/>
                <w:lang w:val="en-US" w:eastAsia="zh-CN"/>
              </w:rPr>
              <m:t>f,t</m:t>
            </m:r>
          </m:sub>
        </m:sSub>
      </m:oMath>
      <w:r w:rsidRPr="00705903">
        <w:rPr>
          <w:lang w:val="en-US" w:eastAsia="zh-CN"/>
        </w:rPr>
        <w:t xml:space="preserve">is the one-month risk-free rate, and </w:t>
      </w:r>
      <m:oMath>
        <m:sSub>
          <m:sSubPr>
            <m:ctrlPr>
              <w:rPr>
                <w:rFonts w:ascii="Cambria Math" w:hAnsi="Cambria Math"/>
                <w:lang w:val="en-US" w:eastAsia="zh-CN"/>
              </w:rPr>
            </m:ctrlPr>
          </m:sSubPr>
          <m:e>
            <m:r>
              <m:rPr>
                <m:nor/>
              </m:rPr>
              <w:rPr>
                <w:lang w:val="en-US" w:eastAsia="zh-CN"/>
              </w:rPr>
              <m:t>Factors</m:t>
            </m:r>
          </m:e>
          <m:sub>
            <m:r>
              <w:rPr>
                <w:rFonts w:ascii="Cambria Math" w:hAnsi="Cambria Math"/>
                <w:lang w:val="en-US" w:eastAsia="zh-CN"/>
              </w:rPr>
              <m:t>t</m:t>
            </m:r>
          </m:sub>
        </m:sSub>
        <m:r>
          <w:rPr>
            <w:rFonts w:ascii="Cambria Math" w:hAnsi="Cambria Math"/>
            <w:lang w:val="en-US" w:eastAsia="zh-CN"/>
          </w:rPr>
          <m:t>=(</m:t>
        </m:r>
        <m:sSub>
          <m:sSubPr>
            <m:ctrlPr>
              <w:rPr>
                <w:rFonts w:ascii="Cambria Math" w:hAnsi="Cambria Math"/>
                <w:lang w:val="en-US" w:eastAsia="zh-CN"/>
              </w:rPr>
            </m:ctrlPr>
          </m:sSubPr>
          <m:e>
            <m:r>
              <w:rPr>
                <w:rFonts w:ascii="Cambria Math" w:hAnsi="Cambria Math"/>
                <w:lang w:val="en-US" w:eastAsia="zh-CN"/>
              </w:rPr>
              <m:t>R</m:t>
            </m:r>
          </m:e>
          <m:sub>
            <m:r>
              <w:rPr>
                <w:rFonts w:ascii="Cambria Math" w:hAnsi="Cambria Math"/>
                <w:lang w:val="en-US" w:eastAsia="zh-CN"/>
              </w:rPr>
              <m:t>MKT</m:t>
            </m:r>
          </m:sub>
        </m:sSub>
        <m:r>
          <w:rPr>
            <w:rFonts w:ascii="Cambria Math" w:hAnsi="Cambria Math"/>
            <w:lang w:val="en-US" w:eastAsia="zh-CN"/>
          </w:rPr>
          <m:t>,SMB,HML,RMW,CMA)</m:t>
        </m:r>
      </m:oMath>
      <w:r w:rsidRPr="00705903">
        <w:rPr>
          <w:lang w:val="en-US" w:eastAsia="zh-CN"/>
        </w:rPr>
        <w:t>represent the standard Fama–French five factors. Newey–West heteroskedasticity and autocorrelation-consistent (HAC) standard errors with 12-month lags are applied to ensure robust inference.</w:t>
      </w:r>
      <w:r w:rsidR="004C0EF5" w:rsidRPr="00705903">
        <w:rPr>
          <w:lang w:val="en-US" w:eastAsia="zh-CN"/>
        </w:rPr>
        <w:t xml:space="preserve"> </w:t>
      </w:r>
      <w:r w:rsidRPr="00705903">
        <w:rPr>
          <w:lang w:val="en-US" w:eastAsia="zh-CN"/>
        </w:rPr>
        <w:t xml:space="preserve">The intercept </w:t>
      </w:r>
      <m:oMath>
        <m:sSub>
          <m:sSubPr>
            <m:ctrlPr>
              <w:rPr>
                <w:rFonts w:ascii="Cambria Math" w:hAnsi="Cambria Math"/>
                <w:lang w:val="en-US" w:eastAsia="zh-CN"/>
              </w:rPr>
            </m:ctrlPr>
          </m:sSubPr>
          <m:e>
            <m:r>
              <w:rPr>
                <w:rFonts w:ascii="Cambria Math" w:hAnsi="Cambria Math"/>
                <w:lang w:val="en-US" w:eastAsia="zh-CN"/>
              </w:rPr>
              <m:t>α</m:t>
            </m:r>
          </m:e>
          <m:sub>
            <m:r>
              <w:rPr>
                <w:rFonts w:ascii="Cambria Math" w:hAnsi="Cambria Math"/>
                <w:lang w:val="en-US" w:eastAsia="zh-CN"/>
              </w:rPr>
              <m:t>p</m:t>
            </m:r>
          </m:sub>
        </m:sSub>
      </m:oMath>
      <w:r w:rsidRPr="00705903">
        <w:rPr>
          <w:lang w:val="en-US" w:eastAsia="zh-CN"/>
        </w:rPr>
        <w:t>captures the information-induced abnormal return, reflecting the market’s reaction to ESG-related events after adjusting for systematic risks. The regression framework and portfolio construction procedures described above yield consistent and statistically meaningful estimates,</w:t>
      </w:r>
      <w:r w:rsidRPr="00705903">
        <w:rPr>
          <w:lang w:val="en-US" w:eastAsia="zh-CN"/>
        </w:rPr>
        <w:br/>
        <w:t>which are formally presented and discussed in Section 3.</w:t>
      </w:r>
      <w:r w:rsidR="00C14B95" w:rsidRPr="00705903">
        <w:rPr>
          <w:lang w:val="en-US" w:eastAsia="zh-CN"/>
        </w:rPr>
        <w:t xml:space="preserve"> </w:t>
      </w:r>
      <w:r w:rsidR="00C14B95" w:rsidRPr="00705903">
        <w:rPr>
          <w:lang w:eastAsia="zh-CN"/>
        </w:rPr>
        <w:t>Together, these event-level return measures finalize the construction of ESG-related variables and set the stage for the introduction of control variables and summary statistics in Section 2.3.5.</w:t>
      </w:r>
    </w:p>
    <w:p w14:paraId="0963DA81" w14:textId="77777777" w:rsidR="00271907" w:rsidRPr="00705903" w:rsidRDefault="00271907" w:rsidP="0097761F">
      <w:pPr>
        <w:spacing w:line="360" w:lineRule="auto"/>
        <w:ind w:firstLine="0"/>
        <w:jc w:val="both"/>
        <w:rPr>
          <w:lang w:val="en-US" w:eastAsia="zh-CN"/>
        </w:rPr>
      </w:pPr>
    </w:p>
    <w:p w14:paraId="639D8AB0" w14:textId="73E881C5" w:rsidR="00162BB2" w:rsidRPr="00705903" w:rsidRDefault="00162BB2" w:rsidP="0097761F">
      <w:pPr>
        <w:pStyle w:val="Heading3"/>
      </w:pPr>
      <w:r w:rsidRPr="00705903">
        <w:t>2.</w:t>
      </w:r>
      <w:r w:rsidRPr="00705903">
        <w:rPr>
          <w:lang w:eastAsia="zh-CN"/>
        </w:rPr>
        <w:t>3.</w:t>
      </w:r>
      <w:r w:rsidR="002C6814" w:rsidRPr="00705903">
        <w:rPr>
          <w:lang w:eastAsia="zh-CN"/>
        </w:rPr>
        <w:t>5</w:t>
      </w:r>
      <w:r w:rsidRPr="00705903">
        <w:t xml:space="preserve"> Control Variables and Summary Statistics</w:t>
      </w:r>
    </w:p>
    <w:p w14:paraId="0591509C" w14:textId="3AEB1ADA" w:rsidR="0030772E" w:rsidRPr="00705903" w:rsidRDefault="0030772E" w:rsidP="0097761F">
      <w:pPr>
        <w:spacing w:line="360" w:lineRule="auto"/>
        <w:ind w:firstLine="720"/>
        <w:jc w:val="both"/>
      </w:pPr>
      <w:r w:rsidRPr="00705903">
        <w:t xml:space="preserve">To ensure that the observed relationships between ESG </w:t>
      </w:r>
      <w:r w:rsidR="00217D34" w:rsidRPr="00705903">
        <w:rPr>
          <w:lang w:eastAsia="zh-CN"/>
        </w:rPr>
        <w:t>ratings</w:t>
      </w:r>
      <w:r w:rsidRPr="00705903">
        <w:t xml:space="preserve"> and portfolio outcomes are not confounded by market-wide risk factors, I employ several layers of risk-based control mechanisms rather than firm-level covariates.</w:t>
      </w:r>
    </w:p>
    <w:p w14:paraId="6A435801" w14:textId="2177B769" w:rsidR="0030772E" w:rsidRPr="00705903" w:rsidRDefault="0030772E" w:rsidP="0097761F">
      <w:pPr>
        <w:spacing w:line="360" w:lineRule="auto"/>
        <w:ind w:firstLine="720"/>
        <w:jc w:val="both"/>
      </w:pPr>
      <w:r w:rsidRPr="00705903">
        <w:t>First, in all portfolio-level regressions, I apply the Fama–French five-factor model (Fama and French, 2015) to control for systematic exposures to market, size, value, profitability, and investment risks</w:t>
      </w:r>
      <w:r w:rsidR="00B3107C" w:rsidRPr="00705903">
        <w:rPr>
          <w:rStyle w:val="FootnoteReference"/>
        </w:rPr>
        <w:footnoteReference w:id="19"/>
      </w:r>
      <w:r w:rsidRPr="00705903">
        <w:t>.</w:t>
      </w:r>
      <w:r w:rsidRPr="00705903">
        <w:rPr>
          <w:lang w:eastAsia="zh-CN"/>
        </w:rPr>
        <w:t xml:space="preserve"> </w:t>
      </w:r>
      <w:r w:rsidRPr="00705903">
        <w:t>The model isolates the portion of returns attributable to ESG-related characteristics beyond conventional factor risk premia.</w:t>
      </w:r>
      <w:r w:rsidRPr="00705903">
        <w:rPr>
          <w:lang w:eastAsia="zh-CN"/>
        </w:rPr>
        <w:t xml:space="preserve"> </w:t>
      </w:r>
      <w:r w:rsidRPr="00705903">
        <w:t>Second, to benchmark ESG-based portfolios against the overall market, I include three major Chinese equity indices—the CSI300, SSE Composite, and SZSE Component—as reference portfolios</w:t>
      </w:r>
      <w:r w:rsidR="00B3107C" w:rsidRPr="00705903">
        <w:rPr>
          <w:rStyle w:val="FootnoteReference"/>
        </w:rPr>
        <w:footnoteReference w:id="20"/>
      </w:r>
      <w:r w:rsidRPr="00705903">
        <w:t>.</w:t>
      </w:r>
      <w:r w:rsidRPr="00705903">
        <w:rPr>
          <w:lang w:eastAsia="zh-CN"/>
        </w:rPr>
        <w:t xml:space="preserve"> </w:t>
      </w:r>
      <w:r w:rsidRPr="00705903">
        <w:t>These benchmarks allow for a consistent comparison of volatility, downside risk, and crash sensitivity between ESG portfolios and market-wide aggregates.</w:t>
      </w:r>
      <w:r w:rsidRPr="00705903">
        <w:rPr>
          <w:lang w:eastAsia="zh-CN"/>
        </w:rPr>
        <w:t xml:space="preserve"> </w:t>
      </w:r>
      <w:r w:rsidRPr="00705903">
        <w:t>Third, at the portfolio construction level, I account for asymmetric risk through the inclusion of downside deviation and Sortino ratios, which capture conditional losses during negative-return periods</w:t>
      </w:r>
      <w:r w:rsidR="00B3107C" w:rsidRPr="00705903">
        <w:rPr>
          <w:rStyle w:val="FootnoteReference"/>
        </w:rPr>
        <w:footnoteReference w:id="21"/>
      </w:r>
      <w:r w:rsidRPr="00705903">
        <w:t>.</w:t>
      </w:r>
      <w:r w:rsidRPr="00705903">
        <w:rPr>
          <w:lang w:eastAsia="zh-CN"/>
        </w:rPr>
        <w:t xml:space="preserve"> </w:t>
      </w:r>
      <w:r w:rsidRPr="00705903">
        <w:t xml:space="preserve">All return-based variables are </w:t>
      </w:r>
      <w:proofErr w:type="spellStart"/>
      <w:r w:rsidRPr="00705903">
        <w:t>winsorized</w:t>
      </w:r>
      <w:proofErr w:type="spellEnd"/>
      <w:r w:rsidRPr="00705903">
        <w:t xml:space="preserve"> at the 1st and 99th percentiles to mitigate outlier effects.</w:t>
      </w:r>
    </w:p>
    <w:p w14:paraId="0D8FD150" w14:textId="1296CFFC" w:rsidR="005D0C1F" w:rsidRPr="00705903" w:rsidRDefault="005D0C1F" w:rsidP="0097761F">
      <w:pPr>
        <w:spacing w:line="360" w:lineRule="auto"/>
        <w:ind w:firstLine="720"/>
        <w:jc w:val="both"/>
      </w:pPr>
      <w:r w:rsidRPr="00705903">
        <w:t xml:space="preserve">In later sections, I further address potential endogeneity and unobserved heterogeneity by incorporating lagged ESG </w:t>
      </w:r>
      <w:proofErr w:type="spellStart"/>
      <w:r w:rsidRPr="00705903">
        <w:t>specif</w:t>
      </w:r>
      <w:proofErr w:type="spellEnd"/>
      <w:r w:rsidR="00067EDE" w:rsidRPr="00705903">
        <w:rPr>
          <w:lang w:eastAsia="zh-CN"/>
        </w:rPr>
        <w:t>--</w:t>
      </w:r>
      <w:proofErr w:type="spellStart"/>
      <w:r w:rsidRPr="00705903">
        <w:t>ications</w:t>
      </w:r>
      <w:proofErr w:type="spellEnd"/>
      <w:r w:rsidRPr="00705903">
        <w:t xml:space="preserve"> and firm–year fixed effects models (see Section 4.4 and 4.5). These additional layers ensure that the results are not driven by reverse causality or persistent firm-level traits.</w:t>
      </w:r>
    </w:p>
    <w:p w14:paraId="71B8CD50" w14:textId="0EB39E41" w:rsidR="00BA460E" w:rsidRPr="00705903" w:rsidRDefault="0012788E" w:rsidP="0097761F">
      <w:pPr>
        <w:spacing w:line="360" w:lineRule="auto"/>
        <w:ind w:firstLine="720"/>
        <w:jc w:val="both"/>
      </w:pPr>
      <w:r w:rsidRPr="00705903">
        <w:t>In Table 36, I present descriptive statistics for the portfolio-level returns of ESG-based factors (ESG, E, S, and G) and major market benchmarks (CSI 300, SSE Composite, and SZSE Component).</w:t>
      </w:r>
      <w:r w:rsidRPr="00705903">
        <w:rPr>
          <w:rFonts w:hint="eastAsia"/>
          <w:lang w:eastAsia="zh-CN"/>
        </w:rPr>
        <w:t xml:space="preserve"> </w:t>
      </w:r>
      <w:r w:rsidR="00131EB2" w:rsidRPr="00705903">
        <w:t>The table reports the time-series characteristics of monthly returns, including the mean, standard deviation, and key percentiles (P25, P50, P75).</w:t>
      </w:r>
    </w:p>
    <w:p w14:paraId="6C9AD8A3" w14:textId="7F0463AA" w:rsidR="0049085A" w:rsidRPr="00705903" w:rsidRDefault="0049085A" w:rsidP="0097761F">
      <w:pPr>
        <w:spacing w:line="360" w:lineRule="auto"/>
        <w:ind w:firstLine="720"/>
        <w:jc w:val="both"/>
        <w:rPr>
          <w:lang w:eastAsia="zh-CN"/>
        </w:rPr>
      </w:pPr>
      <w:r w:rsidRPr="00705903">
        <w:rPr>
          <w:lang w:eastAsia="zh-CN"/>
        </w:rPr>
        <w:t>Taken together, the empirical tools developed in Section 2.3 directly address the key methodological gaps highlighted in the literature. Prior studies document large cross-database discrepancies in ESG levels, scaling conventions, rating distributions, and pillar-specific reliability—yet provide limited systematic evidence on their statistical sources. The paired-difference tests and year-by-year correlations quantify the magnitude of level and ranking disagreement; ICC and CCC measures assess inter-database rating reliability; normalization experiments evaluate whether divergence is driven by scaling rather than fundamentals; and cross-industry comparisons capture structural differences in sectoral coverage. These empirical components form the basis for Section 3, which applies them to examine whether ESG disagreement in China reflects measurement noise, institutional heterogeneity, or economically meaningful variation.</w:t>
      </w:r>
    </w:p>
    <w:p w14:paraId="257D4FFD" w14:textId="230ECBF5" w:rsidR="0049085A" w:rsidRPr="00705903" w:rsidRDefault="0049085A" w:rsidP="0097761F">
      <w:pPr>
        <w:spacing w:line="360" w:lineRule="auto"/>
        <w:ind w:firstLine="720"/>
        <w:jc w:val="both"/>
        <w:rPr>
          <w:lang w:val="en-US" w:eastAsia="zh-CN"/>
        </w:rPr>
      </w:pPr>
      <w:r w:rsidRPr="00705903">
        <w:rPr>
          <w:lang w:eastAsia="zh-CN"/>
        </w:rPr>
        <w:t>Taken together, the empirical tools developed in Section 2.3 directly address the core methodological gaps identified in the literature. Prior studies emphasize four unresolved issues in emerging-market ESG research: (1) whether ESG scores contain consistent pricing information; (2) whether governance dominates environmental and social attributes; (3) whether ESG premia are sensitive to policy regimes; and (4) whether ESG functions primarily as a downside-risk buffer rather than a return-enhancing factor. The portfolio-sorting design, FF5 regressions, downside-risk measures, dynamic factor segmentation, and event-study framework map cleanly into these gaps, complementing the paired-comparison tests, ICC/CCC agreement measures, cross-pillar correlation structure, and normalization experiments discussed earlier in Section 2. Together, these methods provide a unified empirical strategy for evaluating the four hypotheses. Section 3 applies this integrated framework to test H1–H4 directly.</w:t>
      </w:r>
    </w:p>
    <w:p w14:paraId="5C4A1677" w14:textId="0EB26BBD" w:rsidR="00131EB2" w:rsidRPr="00705903" w:rsidRDefault="00131EB2" w:rsidP="0097761F">
      <w:pPr>
        <w:spacing w:line="360" w:lineRule="auto"/>
        <w:ind w:firstLine="0"/>
        <w:jc w:val="both"/>
      </w:pPr>
    </w:p>
    <w:p w14:paraId="0F5BD0DD" w14:textId="77777777" w:rsidR="0097761F" w:rsidRPr="00705903" w:rsidRDefault="0097761F" w:rsidP="0097761F">
      <w:pPr>
        <w:spacing w:line="360" w:lineRule="auto"/>
        <w:ind w:firstLine="0"/>
        <w:jc w:val="both"/>
        <w:rPr>
          <w:b/>
          <w:bCs/>
          <w:sz w:val="28"/>
          <w:szCs w:val="28"/>
          <w:lang w:val="en-US" w:eastAsia="zh-CN"/>
        </w:rPr>
      </w:pPr>
    </w:p>
    <w:p w14:paraId="31404722" w14:textId="1A11BF19" w:rsidR="00752A59" w:rsidRPr="00705903" w:rsidRDefault="001F6D26" w:rsidP="0097761F">
      <w:pPr>
        <w:pStyle w:val="Heading1"/>
        <w:numPr>
          <w:ilvl w:val="0"/>
          <w:numId w:val="35"/>
        </w:numPr>
      </w:pPr>
      <w:r w:rsidRPr="00705903">
        <w:t>Empirical Result</w:t>
      </w:r>
      <w:bookmarkStart w:id="0" w:name="OLE_LINK15"/>
    </w:p>
    <w:p w14:paraId="3BAE05AD" w14:textId="11D9A2A5" w:rsidR="00ED78EF" w:rsidRPr="00705903" w:rsidRDefault="007E38D6" w:rsidP="0097761F">
      <w:pPr>
        <w:spacing w:line="360" w:lineRule="auto"/>
        <w:jc w:val="both"/>
        <w:rPr>
          <w:szCs w:val="24"/>
          <w:lang w:eastAsia="zh-CN"/>
        </w:rPr>
      </w:pPr>
      <w:r w:rsidRPr="00705903">
        <w:rPr>
          <w:szCs w:val="24"/>
          <w:lang w:eastAsia="zh-CN"/>
        </w:rPr>
        <w:t>To guide the empirical analysis and clarify how each component of the study links to the paper’s core predictions, Table below provides a concise overview of the hypotheses, empirical tests, and key evidence. This summary serves as a roadmap for the empirical sections that follow and highlights how each hypothesis is evaluated using the available data.</w:t>
      </w:r>
      <w:r w:rsidR="00312129" w:rsidRPr="00705903">
        <w:t xml:space="preserve"> </w:t>
      </w:r>
      <w:r w:rsidR="00312129" w:rsidRPr="00705903">
        <w:rPr>
          <w:szCs w:val="24"/>
          <w:lang w:eastAsia="zh-CN"/>
        </w:rPr>
        <w:t>Additional details and extended descriptions of the empirical design are provided in Appendix A.</w:t>
      </w:r>
    </w:p>
    <w:p w14:paraId="6BE8C595" w14:textId="77777777" w:rsidR="00ED78EF" w:rsidRPr="00705903" w:rsidRDefault="00ED78EF" w:rsidP="0097761F">
      <w:pPr>
        <w:spacing w:line="360" w:lineRule="auto"/>
        <w:ind w:firstLine="0"/>
        <w:jc w:val="both"/>
        <w:rPr>
          <w:szCs w:val="24"/>
          <w:lang w:eastAsia="zh-CN"/>
        </w:rPr>
      </w:pPr>
    </w:p>
    <w:p w14:paraId="2522B6C4" w14:textId="3722629D" w:rsidR="00ED78EF" w:rsidRPr="00705903" w:rsidRDefault="00ED78EF" w:rsidP="0097761F">
      <w:pPr>
        <w:spacing w:line="360" w:lineRule="auto"/>
        <w:ind w:firstLine="0"/>
        <w:jc w:val="both"/>
        <w:rPr>
          <w:szCs w:val="24"/>
          <w:lang w:eastAsia="zh-CN"/>
        </w:rPr>
      </w:pPr>
      <w:r w:rsidRPr="00705903">
        <w:rPr>
          <w:szCs w:val="24"/>
          <w:lang w:eastAsia="zh-CN"/>
        </w:rPr>
        <w:t>Table</w:t>
      </w:r>
      <w:r w:rsidR="00012F84" w:rsidRPr="00705903">
        <w:rPr>
          <w:szCs w:val="24"/>
          <w:lang w:eastAsia="zh-CN"/>
        </w:rPr>
        <w:t xml:space="preserve"> A</w:t>
      </w:r>
      <w:r w:rsidRPr="00705903">
        <w:rPr>
          <w:szCs w:val="24"/>
          <w:lang w:eastAsia="zh-CN"/>
        </w:rPr>
        <w:t>. Summary of Hypothesis, Emp</w:t>
      </w:r>
      <w:r w:rsidR="00012F84" w:rsidRPr="00705903">
        <w:rPr>
          <w:szCs w:val="24"/>
          <w:lang w:eastAsia="zh-CN"/>
        </w:rPr>
        <w:t>iri</w:t>
      </w:r>
      <w:r w:rsidRPr="00705903">
        <w:rPr>
          <w:szCs w:val="24"/>
          <w:lang w:eastAsia="zh-CN"/>
        </w:rPr>
        <w:t>cal Tests, and Main Findings</w:t>
      </w:r>
    </w:p>
    <w:tbl>
      <w:tblPr>
        <w:tblStyle w:val="PlainTable2"/>
        <w:tblW w:w="9445" w:type="dxa"/>
        <w:tblLook w:val="04A0" w:firstRow="1" w:lastRow="0" w:firstColumn="1" w:lastColumn="0" w:noHBand="0" w:noVBand="1"/>
      </w:tblPr>
      <w:tblGrid>
        <w:gridCol w:w="2070"/>
        <w:gridCol w:w="3687"/>
        <w:gridCol w:w="3688"/>
      </w:tblGrid>
      <w:tr w:rsidR="00036775" w:rsidRPr="00705903" w14:paraId="0E66FB86" w14:textId="77777777" w:rsidTr="00012F84">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070" w:type="dxa"/>
            <w:vAlign w:val="center"/>
          </w:tcPr>
          <w:bookmarkEnd w:id="0"/>
          <w:p w14:paraId="3399B40D" w14:textId="490512D6" w:rsidR="00ED78EF" w:rsidRPr="00705903" w:rsidRDefault="00036775" w:rsidP="0097761F">
            <w:pPr>
              <w:spacing w:line="276" w:lineRule="auto"/>
              <w:ind w:firstLine="0"/>
              <w:jc w:val="both"/>
              <w:rPr>
                <w:szCs w:val="24"/>
                <w:lang w:val="en-US" w:eastAsia="zh-CN"/>
              </w:rPr>
            </w:pPr>
            <w:r w:rsidRPr="00705903">
              <w:rPr>
                <w:b w:val="0"/>
                <w:bCs w:val="0"/>
                <w:szCs w:val="24"/>
                <w:lang w:val="en-US" w:eastAsia="zh-CN"/>
              </w:rPr>
              <w:t>Hypothesis</w:t>
            </w:r>
          </w:p>
        </w:tc>
        <w:tc>
          <w:tcPr>
            <w:tcW w:w="3687" w:type="dxa"/>
            <w:vAlign w:val="center"/>
          </w:tcPr>
          <w:p w14:paraId="2A9D2F70" w14:textId="77BE61D2" w:rsidR="00036775" w:rsidRPr="00705903" w:rsidRDefault="00036775"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szCs w:val="24"/>
                <w:lang w:val="en-US" w:eastAsia="zh-CN"/>
              </w:rPr>
            </w:pPr>
            <w:r w:rsidRPr="00705903">
              <w:rPr>
                <w:b w:val="0"/>
                <w:bCs w:val="0"/>
                <w:szCs w:val="24"/>
                <w:lang w:val="en-US" w:eastAsia="zh-CN"/>
              </w:rPr>
              <w:t>Empirical Tests</w:t>
            </w:r>
          </w:p>
        </w:tc>
        <w:tc>
          <w:tcPr>
            <w:tcW w:w="3688" w:type="dxa"/>
            <w:vAlign w:val="center"/>
          </w:tcPr>
          <w:p w14:paraId="6B31B7EC" w14:textId="792D0ADC" w:rsidR="00036775" w:rsidRPr="00705903" w:rsidRDefault="00ED78EF"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szCs w:val="24"/>
                <w:lang w:val="en-US" w:eastAsia="zh-CN"/>
              </w:rPr>
            </w:pPr>
            <w:r w:rsidRPr="00705903">
              <w:rPr>
                <w:b w:val="0"/>
                <w:bCs w:val="0"/>
                <w:szCs w:val="24"/>
                <w:lang w:val="en-US" w:eastAsia="zh-CN"/>
              </w:rPr>
              <w:t>Main Findings</w:t>
            </w:r>
          </w:p>
        </w:tc>
      </w:tr>
      <w:tr w:rsidR="00036775" w:rsidRPr="00705903" w14:paraId="57EE9512" w14:textId="77777777" w:rsidTr="0001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FCC058B" w14:textId="25EFB99E" w:rsidR="00036775" w:rsidRPr="00705903" w:rsidRDefault="00036775" w:rsidP="0097761F">
            <w:pPr>
              <w:spacing w:line="276" w:lineRule="auto"/>
              <w:ind w:firstLine="0"/>
              <w:jc w:val="both"/>
              <w:rPr>
                <w:b w:val="0"/>
                <w:bCs w:val="0"/>
                <w:i/>
                <w:iCs/>
                <w:szCs w:val="24"/>
                <w:lang w:val="en-US" w:eastAsia="zh-CN"/>
              </w:rPr>
            </w:pPr>
            <w:r w:rsidRPr="00705903">
              <w:rPr>
                <w:b w:val="0"/>
                <w:bCs w:val="0"/>
                <w:i/>
                <w:iCs/>
                <w:szCs w:val="24"/>
                <w:lang w:val="en-US" w:eastAsia="zh-CN"/>
              </w:rPr>
              <w:t>H1. ESG performance is negatively related to subsequent returns.</w:t>
            </w:r>
          </w:p>
        </w:tc>
        <w:tc>
          <w:tcPr>
            <w:tcW w:w="3687" w:type="dxa"/>
          </w:tcPr>
          <w:p w14:paraId="67043414" w14:textId="6B754699" w:rsidR="00ED78EF" w:rsidRPr="00705903" w:rsidRDefault="00ED78EF"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Cs w:val="24"/>
                <w:lang w:val="en-US" w:eastAsia="zh-CN"/>
              </w:rPr>
            </w:pPr>
            <w:r w:rsidRPr="00705903">
              <w:rPr>
                <w:szCs w:val="24"/>
                <w:lang w:eastAsia="zh-CN"/>
              </w:rPr>
              <w:t xml:space="preserve">– Decile/quintile H–L portfolios </w:t>
            </w:r>
            <w:r w:rsidRPr="00705903">
              <w:rPr>
                <w:szCs w:val="24"/>
                <w:lang w:eastAsia="zh-CN"/>
              </w:rPr>
              <w:br/>
              <w:t xml:space="preserve">– FF5 regressions </w:t>
            </w:r>
            <w:r w:rsidRPr="00705903">
              <w:rPr>
                <w:szCs w:val="24"/>
                <w:lang w:eastAsia="zh-CN"/>
              </w:rPr>
              <w:br/>
              <w:t>– Lagged ESG predictive regressions</w:t>
            </w:r>
          </w:p>
          <w:p w14:paraId="70FD725F" w14:textId="07CC01B3" w:rsidR="00036775" w:rsidRPr="00705903" w:rsidRDefault="00036775"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Cs w:val="24"/>
                <w:lang w:val="en-US" w:eastAsia="zh-CN"/>
              </w:rPr>
            </w:pPr>
          </w:p>
        </w:tc>
        <w:tc>
          <w:tcPr>
            <w:tcW w:w="3688" w:type="dxa"/>
          </w:tcPr>
          <w:p w14:paraId="46198E4A" w14:textId="243E1B8C" w:rsidR="00036775" w:rsidRPr="00705903" w:rsidRDefault="00ED78EF"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Cs w:val="24"/>
                <w:lang w:val="en-US" w:eastAsia="zh-CN"/>
              </w:rPr>
            </w:pPr>
            <w:r w:rsidRPr="00705903">
              <w:rPr>
                <w:szCs w:val="24"/>
                <w:lang w:eastAsia="zh-CN"/>
              </w:rPr>
              <w:t xml:space="preserve">– Downside deviation </w:t>
            </w:r>
            <w:r w:rsidRPr="00705903">
              <w:rPr>
                <w:szCs w:val="24"/>
                <w:lang w:eastAsia="zh-CN"/>
              </w:rPr>
              <w:br/>
              <w:t xml:space="preserve">– </w:t>
            </w:r>
            <w:proofErr w:type="spellStart"/>
            <w:r w:rsidRPr="00705903">
              <w:rPr>
                <w:szCs w:val="24"/>
                <w:lang w:eastAsia="zh-CN"/>
              </w:rPr>
              <w:t>VaR</w:t>
            </w:r>
            <w:proofErr w:type="spellEnd"/>
            <w:r w:rsidRPr="00705903">
              <w:rPr>
                <w:szCs w:val="24"/>
                <w:lang w:eastAsia="zh-CN"/>
              </w:rPr>
              <w:t xml:space="preserve"> (5%) </w:t>
            </w:r>
            <w:r w:rsidRPr="00705903">
              <w:rPr>
                <w:szCs w:val="24"/>
                <w:lang w:eastAsia="zh-CN"/>
              </w:rPr>
              <w:br/>
              <w:t xml:space="preserve">– Crash-beta regressions </w:t>
            </w:r>
            <w:r w:rsidRPr="00705903">
              <w:rPr>
                <w:szCs w:val="24"/>
                <w:lang w:eastAsia="zh-CN"/>
              </w:rPr>
              <w:br/>
              <w:t>– Benchmark comparison (CSI 300)</w:t>
            </w:r>
          </w:p>
        </w:tc>
      </w:tr>
      <w:tr w:rsidR="00036775" w:rsidRPr="00705903" w14:paraId="70A8B26B" w14:textId="77777777" w:rsidTr="00012F84">
        <w:tc>
          <w:tcPr>
            <w:cnfStyle w:val="001000000000" w:firstRow="0" w:lastRow="0" w:firstColumn="1" w:lastColumn="0" w:oddVBand="0" w:evenVBand="0" w:oddHBand="0" w:evenHBand="0" w:firstRowFirstColumn="0" w:firstRowLastColumn="0" w:lastRowFirstColumn="0" w:lastRowLastColumn="0"/>
            <w:tcW w:w="2070" w:type="dxa"/>
          </w:tcPr>
          <w:p w14:paraId="76D9BCF6" w14:textId="046CF19C" w:rsidR="00036775" w:rsidRPr="00705903" w:rsidRDefault="00036775" w:rsidP="0097761F">
            <w:pPr>
              <w:spacing w:line="276" w:lineRule="auto"/>
              <w:ind w:firstLine="0"/>
              <w:jc w:val="both"/>
              <w:rPr>
                <w:b w:val="0"/>
                <w:bCs w:val="0"/>
                <w:i/>
                <w:iCs/>
                <w:szCs w:val="24"/>
                <w:lang w:val="en-US" w:eastAsia="zh-CN"/>
              </w:rPr>
            </w:pPr>
            <w:r w:rsidRPr="00705903">
              <w:rPr>
                <w:b w:val="0"/>
                <w:bCs w:val="0"/>
                <w:i/>
                <w:iCs/>
                <w:szCs w:val="24"/>
                <w:lang w:val="en-US" w:eastAsia="zh-CN"/>
              </w:rPr>
              <w:t>H2. Governance (G) exhibits the strongest return predictability among E/S/G</w:t>
            </w:r>
          </w:p>
        </w:tc>
        <w:tc>
          <w:tcPr>
            <w:tcW w:w="3687" w:type="dxa"/>
          </w:tcPr>
          <w:p w14:paraId="2BE62B35" w14:textId="23D8ECCD" w:rsidR="00ED78EF" w:rsidRPr="00705903" w:rsidRDefault="00ED78EF"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Cs w:val="24"/>
                <w:lang w:val="en-US" w:eastAsia="zh-CN"/>
              </w:rPr>
            </w:pPr>
            <w:r w:rsidRPr="00705903">
              <w:rPr>
                <w:szCs w:val="24"/>
                <w:lang w:val="en-US" w:eastAsia="zh-CN"/>
              </w:rPr>
              <w:t>–</w:t>
            </w:r>
            <w:r w:rsidR="00490662" w:rsidRPr="00705903">
              <w:rPr>
                <w:szCs w:val="24"/>
                <w:lang w:val="en-US" w:eastAsia="zh-CN"/>
              </w:rPr>
              <w:t>Decile and quintile H–L governance-sorted portfolios</w:t>
            </w:r>
          </w:p>
          <w:p w14:paraId="38144E38" w14:textId="7EE35C85" w:rsidR="00ED78EF" w:rsidRPr="00705903" w:rsidRDefault="00ED78EF"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Cs w:val="24"/>
                <w:lang w:val="en-US" w:eastAsia="zh-CN"/>
              </w:rPr>
            </w:pPr>
            <w:r w:rsidRPr="00705903">
              <w:rPr>
                <w:szCs w:val="24"/>
                <w:lang w:val="en-US" w:eastAsia="zh-CN"/>
              </w:rPr>
              <w:t>–</w:t>
            </w:r>
            <w:r w:rsidR="00490662" w:rsidRPr="00705903">
              <w:rPr>
                <w:szCs w:val="24"/>
                <w:lang w:eastAsia="zh-CN"/>
              </w:rPr>
              <w:t>FF5 regressions for G, E, S H–L portfolios</w:t>
            </w:r>
          </w:p>
          <w:p w14:paraId="1A331903" w14:textId="44350FD3" w:rsidR="00036775" w:rsidRPr="00705903" w:rsidRDefault="00ED78EF"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Cs w:val="24"/>
                <w:lang w:val="en-US" w:eastAsia="zh-CN"/>
              </w:rPr>
            </w:pPr>
            <w:r w:rsidRPr="00705903">
              <w:rPr>
                <w:szCs w:val="24"/>
                <w:lang w:val="en-US" w:eastAsia="zh-CN"/>
              </w:rPr>
              <w:t>–</w:t>
            </w:r>
            <w:r w:rsidR="00490662" w:rsidRPr="00705903">
              <w:rPr>
                <w:szCs w:val="24"/>
                <w:lang w:eastAsia="zh-CN"/>
              </w:rPr>
              <w:t>R² comparisons across pillars</w:t>
            </w:r>
          </w:p>
        </w:tc>
        <w:tc>
          <w:tcPr>
            <w:tcW w:w="3688" w:type="dxa"/>
          </w:tcPr>
          <w:p w14:paraId="35535471" w14:textId="5F4E9FD3" w:rsidR="00036775" w:rsidRPr="00705903" w:rsidRDefault="00012F84"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Cs w:val="24"/>
                <w:lang w:val="en-US" w:eastAsia="zh-CN"/>
              </w:rPr>
            </w:pPr>
            <w:r w:rsidRPr="00705903">
              <w:rPr>
                <w:szCs w:val="24"/>
                <w:lang w:eastAsia="zh-CN"/>
              </w:rPr>
              <w:t xml:space="preserve">– G has the most negative cumulative returns </w:t>
            </w:r>
            <w:r w:rsidRPr="00705903">
              <w:rPr>
                <w:szCs w:val="24"/>
                <w:lang w:eastAsia="zh-CN"/>
              </w:rPr>
              <w:br/>
              <w:t xml:space="preserve">– </w:t>
            </w:r>
            <w:r w:rsidR="00490662" w:rsidRPr="00705903">
              <w:rPr>
                <w:szCs w:val="24"/>
                <w:lang w:eastAsia="zh-CN"/>
              </w:rPr>
              <w:t>Strongest pricing information</w:t>
            </w:r>
            <w:r w:rsidRPr="00705903">
              <w:rPr>
                <w:szCs w:val="24"/>
                <w:lang w:eastAsia="zh-CN"/>
              </w:rPr>
              <w:t xml:space="preserve"> </w:t>
            </w:r>
            <w:r w:rsidRPr="00705903">
              <w:rPr>
                <w:szCs w:val="24"/>
                <w:lang w:eastAsia="zh-CN"/>
              </w:rPr>
              <w:br/>
              <w:t xml:space="preserve">– </w:t>
            </w:r>
            <w:r w:rsidR="00490662" w:rsidRPr="00705903">
              <w:rPr>
                <w:szCs w:val="24"/>
                <w:lang w:eastAsia="zh-CN"/>
              </w:rPr>
              <w:t>Most policy- and shock-sensitive ESG pillar</w:t>
            </w:r>
          </w:p>
        </w:tc>
      </w:tr>
      <w:tr w:rsidR="007E38D6" w:rsidRPr="00705903" w14:paraId="2C952E05" w14:textId="77777777" w:rsidTr="0001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32D7E30" w14:textId="428E18B3" w:rsidR="007E38D6" w:rsidRPr="00705903" w:rsidRDefault="007E38D6" w:rsidP="0097761F">
            <w:pPr>
              <w:spacing w:line="276" w:lineRule="auto"/>
              <w:ind w:firstLine="0"/>
              <w:jc w:val="both"/>
              <w:rPr>
                <w:b w:val="0"/>
                <w:bCs w:val="0"/>
                <w:i/>
                <w:iCs/>
                <w:szCs w:val="24"/>
                <w:lang w:val="en-US" w:eastAsia="zh-CN"/>
              </w:rPr>
            </w:pPr>
            <w:r w:rsidRPr="00705903">
              <w:rPr>
                <w:b w:val="0"/>
                <w:bCs w:val="0"/>
                <w:i/>
                <w:iCs/>
                <w:szCs w:val="24"/>
                <w:lang w:val="en-US" w:eastAsia="zh-CN"/>
              </w:rPr>
              <w:t>H3. ESG return differentials are state-contingent and vary across policy regimes.</w:t>
            </w:r>
          </w:p>
        </w:tc>
        <w:tc>
          <w:tcPr>
            <w:tcW w:w="3687" w:type="dxa"/>
          </w:tcPr>
          <w:p w14:paraId="534EA059" w14:textId="23E94CA6" w:rsidR="00ED78EF" w:rsidRPr="00705903" w:rsidRDefault="00ED78EF"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Cs w:val="24"/>
                <w:lang w:val="en-US" w:eastAsia="zh-CN"/>
              </w:rPr>
            </w:pPr>
            <w:r w:rsidRPr="00705903">
              <w:rPr>
                <w:szCs w:val="24"/>
                <w:lang w:eastAsia="zh-CN"/>
              </w:rPr>
              <w:t xml:space="preserve">– Subperiod analysis (2010–2015, 2016–2020, post-2021) </w:t>
            </w:r>
            <w:r w:rsidRPr="00705903">
              <w:rPr>
                <w:szCs w:val="24"/>
                <w:lang w:eastAsia="zh-CN"/>
              </w:rPr>
              <w:br/>
              <w:t xml:space="preserve">– Policy-specific FF regressions </w:t>
            </w:r>
            <w:r w:rsidRPr="00705903">
              <w:rPr>
                <w:szCs w:val="24"/>
                <w:lang w:eastAsia="zh-CN"/>
              </w:rPr>
              <w:br/>
              <w:t>– Event-window tests</w:t>
            </w:r>
          </w:p>
        </w:tc>
        <w:tc>
          <w:tcPr>
            <w:tcW w:w="3688" w:type="dxa"/>
          </w:tcPr>
          <w:p w14:paraId="4998FD06" w14:textId="3954A7B5" w:rsidR="007E38D6" w:rsidRPr="00705903" w:rsidRDefault="00012F84"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Cs w:val="24"/>
                <w:lang w:eastAsia="zh-CN"/>
              </w:rPr>
            </w:pPr>
            <w:r w:rsidRPr="00705903">
              <w:rPr>
                <w:szCs w:val="24"/>
                <w:lang w:eastAsia="zh-CN"/>
              </w:rPr>
              <w:t xml:space="preserve">– ESG/E returns decline, rebound, and weaken with policy cycles </w:t>
            </w:r>
            <w:r w:rsidRPr="00705903">
              <w:rPr>
                <w:szCs w:val="24"/>
                <w:lang w:eastAsia="zh-CN"/>
              </w:rPr>
              <w:br/>
              <w:t xml:space="preserve">– Alphas vary across regimes </w:t>
            </w:r>
            <w:r w:rsidRPr="00705903">
              <w:rPr>
                <w:szCs w:val="24"/>
                <w:lang w:eastAsia="zh-CN"/>
              </w:rPr>
              <w:br/>
              <w:t>– Short-lived abnormal returns around policy events</w:t>
            </w:r>
          </w:p>
          <w:p w14:paraId="0A6A56EB" w14:textId="6BD0A949" w:rsidR="00012F84" w:rsidRPr="00705903" w:rsidRDefault="00012F84"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Cs w:val="24"/>
                <w:lang w:val="en-US" w:eastAsia="zh-CN"/>
              </w:rPr>
            </w:pPr>
          </w:p>
        </w:tc>
      </w:tr>
      <w:tr w:rsidR="007E38D6" w:rsidRPr="00705903" w14:paraId="5C4F9C6B" w14:textId="77777777" w:rsidTr="00012F84">
        <w:tc>
          <w:tcPr>
            <w:cnfStyle w:val="001000000000" w:firstRow="0" w:lastRow="0" w:firstColumn="1" w:lastColumn="0" w:oddVBand="0" w:evenVBand="0" w:oddHBand="0" w:evenHBand="0" w:firstRowFirstColumn="0" w:firstRowLastColumn="0" w:lastRowFirstColumn="0" w:lastRowLastColumn="0"/>
            <w:tcW w:w="2070" w:type="dxa"/>
          </w:tcPr>
          <w:p w14:paraId="3289C310" w14:textId="5B440D61" w:rsidR="007E38D6" w:rsidRPr="00705903" w:rsidRDefault="007E38D6" w:rsidP="0097761F">
            <w:pPr>
              <w:spacing w:line="276" w:lineRule="auto"/>
              <w:ind w:firstLine="0"/>
              <w:jc w:val="both"/>
              <w:rPr>
                <w:b w:val="0"/>
                <w:bCs w:val="0"/>
                <w:i/>
                <w:iCs/>
                <w:szCs w:val="24"/>
                <w:lang w:val="en-US" w:eastAsia="zh-CN"/>
              </w:rPr>
            </w:pPr>
            <w:r w:rsidRPr="00705903">
              <w:rPr>
                <w:b w:val="0"/>
                <w:bCs w:val="0"/>
                <w:i/>
                <w:iCs/>
                <w:szCs w:val="24"/>
                <w:lang w:val="en-US" w:eastAsia="zh-CN"/>
              </w:rPr>
              <w:t>H4. High-ESG firms exhibit lower downside risk.</w:t>
            </w:r>
          </w:p>
        </w:tc>
        <w:tc>
          <w:tcPr>
            <w:tcW w:w="3687" w:type="dxa"/>
          </w:tcPr>
          <w:p w14:paraId="6A0CFE5F" w14:textId="11DC014E" w:rsidR="007E38D6" w:rsidRPr="00705903" w:rsidRDefault="00ED78EF"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Cs w:val="24"/>
                <w:lang w:val="en-US" w:eastAsia="zh-CN"/>
              </w:rPr>
            </w:pPr>
            <w:r w:rsidRPr="00705903">
              <w:rPr>
                <w:szCs w:val="24"/>
                <w:lang w:eastAsia="zh-CN"/>
              </w:rPr>
              <w:t xml:space="preserve">– Downside deviation </w:t>
            </w:r>
            <w:r w:rsidRPr="00705903">
              <w:rPr>
                <w:szCs w:val="24"/>
                <w:lang w:eastAsia="zh-CN"/>
              </w:rPr>
              <w:br/>
              <w:t xml:space="preserve">– </w:t>
            </w:r>
            <w:proofErr w:type="spellStart"/>
            <w:r w:rsidRPr="00705903">
              <w:rPr>
                <w:szCs w:val="24"/>
                <w:lang w:eastAsia="zh-CN"/>
              </w:rPr>
              <w:t>VaR</w:t>
            </w:r>
            <w:proofErr w:type="spellEnd"/>
            <w:r w:rsidRPr="00705903">
              <w:rPr>
                <w:szCs w:val="24"/>
                <w:lang w:eastAsia="zh-CN"/>
              </w:rPr>
              <w:t xml:space="preserve"> (5%) </w:t>
            </w:r>
            <w:r w:rsidRPr="00705903">
              <w:rPr>
                <w:szCs w:val="24"/>
                <w:lang w:eastAsia="zh-CN"/>
              </w:rPr>
              <w:br/>
              <w:t xml:space="preserve">– Crash-beta regressions </w:t>
            </w:r>
            <w:r w:rsidRPr="00705903">
              <w:rPr>
                <w:szCs w:val="24"/>
                <w:lang w:eastAsia="zh-CN"/>
              </w:rPr>
              <w:br/>
              <w:t>– Benchmark comparison (CSI 300, SSE, SEZE)</w:t>
            </w:r>
          </w:p>
        </w:tc>
        <w:tc>
          <w:tcPr>
            <w:tcW w:w="3688" w:type="dxa"/>
          </w:tcPr>
          <w:p w14:paraId="0F87803F" w14:textId="4D436483" w:rsidR="007E38D6" w:rsidRPr="00705903" w:rsidRDefault="00012F84"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Cs w:val="24"/>
                <w:lang w:val="en-US" w:eastAsia="zh-CN"/>
              </w:rPr>
            </w:pPr>
            <w:r w:rsidRPr="00705903">
              <w:rPr>
                <w:szCs w:val="24"/>
                <w:lang w:eastAsia="zh-CN"/>
              </w:rPr>
              <w:t xml:space="preserve">– Lower volatility &amp; </w:t>
            </w:r>
            <w:proofErr w:type="spellStart"/>
            <w:r w:rsidRPr="00705903">
              <w:rPr>
                <w:szCs w:val="24"/>
                <w:lang w:eastAsia="zh-CN"/>
              </w:rPr>
              <w:t>VaR</w:t>
            </w:r>
            <w:proofErr w:type="spellEnd"/>
            <w:r w:rsidRPr="00705903">
              <w:rPr>
                <w:szCs w:val="24"/>
                <w:lang w:eastAsia="zh-CN"/>
              </w:rPr>
              <w:t xml:space="preserve"> </w:t>
            </w:r>
            <w:r w:rsidRPr="00705903">
              <w:rPr>
                <w:szCs w:val="24"/>
                <w:lang w:eastAsia="zh-CN"/>
              </w:rPr>
              <w:br/>
              <w:t xml:space="preserve">– Muted crash sensitivity </w:t>
            </w:r>
            <w:r w:rsidRPr="00705903">
              <w:rPr>
                <w:szCs w:val="24"/>
                <w:lang w:eastAsia="zh-CN"/>
              </w:rPr>
              <w:br/>
              <w:t>– Downside protection in stress periods</w:t>
            </w:r>
          </w:p>
        </w:tc>
      </w:tr>
    </w:tbl>
    <w:p w14:paraId="2733C456" w14:textId="77777777" w:rsidR="005364B7" w:rsidRPr="00705903" w:rsidRDefault="005364B7" w:rsidP="0097761F">
      <w:pPr>
        <w:spacing w:line="240" w:lineRule="auto"/>
        <w:ind w:firstLine="0"/>
        <w:jc w:val="both"/>
        <w:rPr>
          <w:lang w:val="en-US" w:eastAsia="zh-CN"/>
        </w:rPr>
      </w:pPr>
    </w:p>
    <w:p w14:paraId="3CACDA64" w14:textId="327DC905" w:rsidR="007E38D6" w:rsidRPr="00705903" w:rsidRDefault="007E38D6" w:rsidP="0097761F">
      <w:pPr>
        <w:spacing w:line="240" w:lineRule="auto"/>
        <w:ind w:firstLine="0"/>
        <w:jc w:val="both"/>
        <w:rPr>
          <w:sz w:val="20"/>
          <w:szCs w:val="20"/>
          <w:lang w:val="en-US" w:eastAsia="zh-CN"/>
        </w:rPr>
      </w:pPr>
      <w:r w:rsidRPr="00705903">
        <w:rPr>
          <w:sz w:val="20"/>
          <w:szCs w:val="20"/>
          <w:lang w:val="en-US" w:eastAsia="zh-CN"/>
        </w:rPr>
        <w:t xml:space="preserve">Notes. </w:t>
      </w:r>
      <w:r w:rsidR="0012788E" w:rsidRPr="00705903">
        <w:rPr>
          <w:rFonts w:hint="eastAsia"/>
          <w:sz w:val="20"/>
          <w:szCs w:val="20"/>
          <w:lang w:val="en-US" w:eastAsia="zh-CN"/>
        </w:rPr>
        <w:t>In this table, I</w:t>
      </w:r>
      <w:r w:rsidRPr="00705903">
        <w:rPr>
          <w:sz w:val="20"/>
          <w:szCs w:val="20"/>
          <w:lang w:val="en-US" w:eastAsia="zh-CN"/>
        </w:rPr>
        <w:t xml:space="preserve"> </w:t>
      </w:r>
      <w:r w:rsidR="0012788E" w:rsidRPr="00705903">
        <w:rPr>
          <w:sz w:val="20"/>
          <w:szCs w:val="20"/>
          <w:lang w:val="en-US" w:eastAsia="zh-CN"/>
        </w:rPr>
        <w:t>summarize</w:t>
      </w:r>
      <w:r w:rsidRPr="00705903">
        <w:rPr>
          <w:sz w:val="20"/>
          <w:szCs w:val="20"/>
          <w:lang w:val="en-US" w:eastAsia="zh-CN"/>
        </w:rPr>
        <w:t xml:space="preserve"> the four hypotheses examined in the paper and maps each hypothesis to the empirical tests and supporting evidence. H–L portfolios refer to long–short portfolios constructed from the highest and lowest ESG deciles. Downside risk metrics include lower semi-deviation, Value-at-Risk (</w:t>
      </w:r>
      <w:proofErr w:type="spellStart"/>
      <w:r w:rsidRPr="00705903">
        <w:rPr>
          <w:sz w:val="20"/>
          <w:szCs w:val="20"/>
          <w:lang w:val="en-US" w:eastAsia="zh-CN"/>
        </w:rPr>
        <w:t>VaR</w:t>
      </w:r>
      <w:proofErr w:type="spellEnd"/>
      <w:r w:rsidRPr="00705903">
        <w:rPr>
          <w:sz w:val="20"/>
          <w:szCs w:val="20"/>
          <w:lang w:val="en-US" w:eastAsia="zh-CN"/>
        </w:rPr>
        <w:t xml:space="preserve">), and crash-beta estimates.  </w:t>
      </w:r>
    </w:p>
    <w:p w14:paraId="4AA5C61B" w14:textId="77777777" w:rsidR="00A06DEB" w:rsidRPr="00705903" w:rsidRDefault="00A06DEB" w:rsidP="0097761F">
      <w:pPr>
        <w:ind w:firstLine="0"/>
        <w:jc w:val="both"/>
        <w:rPr>
          <w:lang w:val="en-US" w:eastAsia="zh-CN"/>
        </w:rPr>
      </w:pPr>
    </w:p>
    <w:p w14:paraId="74F3C69F" w14:textId="4FC18F64" w:rsidR="002B6355" w:rsidRPr="00705903" w:rsidRDefault="002B6355" w:rsidP="0097761F">
      <w:pPr>
        <w:pStyle w:val="Heading2"/>
      </w:pPr>
      <w:r w:rsidRPr="00705903">
        <w:t>3.1 Overview of ESG Performance in China</w:t>
      </w:r>
    </w:p>
    <w:p w14:paraId="268B63C4" w14:textId="21623D0A" w:rsidR="00A20847" w:rsidRPr="00705903" w:rsidRDefault="00A20847" w:rsidP="0097761F">
      <w:pPr>
        <w:spacing w:line="360" w:lineRule="auto"/>
        <w:ind w:firstLine="720"/>
        <w:jc w:val="both"/>
        <w:rPr>
          <w:lang w:eastAsia="zh-CN"/>
        </w:rPr>
      </w:pPr>
      <w:r w:rsidRPr="00705903">
        <w:rPr>
          <w:lang w:eastAsia="zh-CN"/>
        </w:rPr>
        <w:t xml:space="preserve">Before testing the four hypotheses, this subsection summarizes several structural properties of China’s ESG ratings that directly shape the empirical design. These patterns complement—but do not repeat—the institutional background discussed in the introduction and clarify how the data support the subsequent return and risk analysis. </w:t>
      </w:r>
    </w:p>
    <w:p w14:paraId="6BD08022" w14:textId="3F561F08" w:rsidR="002B6355" w:rsidRPr="00705903" w:rsidRDefault="00A20847" w:rsidP="0097761F">
      <w:pPr>
        <w:spacing w:line="360" w:lineRule="auto"/>
        <w:ind w:firstLine="720"/>
        <w:jc w:val="both"/>
        <w:rPr>
          <w:lang w:val="en-US" w:eastAsia="zh-CN"/>
        </w:rPr>
      </w:pPr>
      <w:r w:rsidRPr="00705903">
        <w:rPr>
          <w:lang w:val="en-US" w:eastAsia="zh-CN"/>
        </w:rPr>
        <w:t>First</w:t>
      </w:r>
      <w:r w:rsidR="002B6355" w:rsidRPr="00705903">
        <w:rPr>
          <w:lang w:val="en-US" w:eastAsia="zh-CN"/>
        </w:rPr>
        <w:t xml:space="preserve">, substantial cross-sectional heterogeneity exists across the Environmental (E), Social (S), and Governance (G) dimensions. The </w:t>
      </w:r>
      <w:r w:rsidR="00217D34" w:rsidRPr="00705903">
        <w:rPr>
          <w:lang w:val="en-US" w:eastAsia="zh-CN"/>
        </w:rPr>
        <w:t>E dimension</w:t>
      </w:r>
      <w:r w:rsidR="002B6355" w:rsidRPr="00705903">
        <w:rPr>
          <w:lang w:val="en-US" w:eastAsia="zh-CN"/>
        </w:rPr>
        <w:t xml:space="preserve"> exhibits the greatest dispersion and time-series volatilit</w:t>
      </w:r>
      <w:r w:rsidRPr="00705903">
        <w:rPr>
          <w:lang w:val="en-US" w:eastAsia="zh-CN"/>
        </w:rPr>
        <w:t>y</w:t>
      </w:r>
      <w:r w:rsidR="002B6355" w:rsidRPr="00705903">
        <w:rPr>
          <w:lang w:val="en-US" w:eastAsia="zh-CN"/>
        </w:rPr>
        <w:t xml:space="preserve">. </w:t>
      </w:r>
      <w:r w:rsidR="00217D34" w:rsidRPr="00705903">
        <w:rPr>
          <w:lang w:val="en-US" w:eastAsia="zh-CN"/>
        </w:rPr>
        <w:t>G dimensions</w:t>
      </w:r>
      <w:r w:rsidR="002B6355" w:rsidRPr="00705903">
        <w:rPr>
          <w:lang w:val="en-US" w:eastAsia="zh-CN"/>
        </w:rPr>
        <w:t xml:space="preserve"> display the least time-series variation. </w:t>
      </w:r>
      <w:r w:rsidR="00217D34" w:rsidRPr="00705903">
        <w:rPr>
          <w:lang w:val="en-US" w:eastAsia="zh-CN"/>
        </w:rPr>
        <w:t>S dimension is</w:t>
      </w:r>
      <w:r w:rsidR="002B6355" w:rsidRPr="00705903">
        <w:rPr>
          <w:lang w:val="en-US" w:eastAsia="zh-CN"/>
        </w:rPr>
        <w:t xml:space="preserve"> more </w:t>
      </w:r>
      <w:r w:rsidRPr="00705903">
        <w:rPr>
          <w:lang w:val="en-US" w:eastAsia="zh-CN"/>
        </w:rPr>
        <w:t>homogeneous</w:t>
      </w:r>
      <w:r w:rsidR="002B6355" w:rsidRPr="00705903">
        <w:rPr>
          <w:lang w:val="en-US" w:eastAsia="zh-CN"/>
        </w:rPr>
        <w:t>. Correlations across pillars confirm that governance operates independently from E and S, underscoring its distinct institutional origins.</w:t>
      </w:r>
    </w:p>
    <w:p w14:paraId="38D08945" w14:textId="3FE7CA60" w:rsidR="002B6355" w:rsidRPr="00705903" w:rsidRDefault="00A20847" w:rsidP="0097761F">
      <w:pPr>
        <w:spacing w:line="360" w:lineRule="auto"/>
        <w:ind w:firstLine="720"/>
        <w:jc w:val="both"/>
        <w:rPr>
          <w:lang w:val="en-US" w:eastAsia="zh-CN"/>
        </w:rPr>
      </w:pPr>
      <w:r w:rsidRPr="00705903">
        <w:rPr>
          <w:lang w:val="en-US" w:eastAsia="zh-CN"/>
        </w:rPr>
        <w:t>Second</w:t>
      </w:r>
      <w:r w:rsidR="002B6355" w:rsidRPr="00705903">
        <w:rPr>
          <w:lang w:val="en-US" w:eastAsia="zh-CN"/>
        </w:rPr>
        <w:t>, ESG coverage is mechanically tied to financial transparency. Nearly all firms without ESG ratings lack basic financial data in Wind—market capitalization, price-to-book ratios, and return histories—indicating that “non-rated” firms are informationally opaque. As a result, subsequent analyses focus on the ESG-rated universe, which represents the observable, financially transparent segment of the A-share market.</w:t>
      </w:r>
    </w:p>
    <w:p w14:paraId="332EEBB7" w14:textId="767D7276" w:rsidR="002B6355" w:rsidRPr="00705903" w:rsidRDefault="002B6355" w:rsidP="0097761F">
      <w:pPr>
        <w:spacing w:line="360" w:lineRule="auto"/>
        <w:ind w:firstLine="720"/>
        <w:jc w:val="both"/>
        <w:rPr>
          <w:lang w:val="en-US" w:eastAsia="zh-CN"/>
        </w:rPr>
      </w:pPr>
      <w:r w:rsidRPr="00705903">
        <w:rPr>
          <w:lang w:val="en-US" w:eastAsia="zh-CN"/>
        </w:rPr>
        <w:t xml:space="preserve">Together, these properties establish the empirical environment for the hypothesis tests that follow. </w:t>
      </w:r>
      <w:r w:rsidR="00A20847" w:rsidRPr="00705903">
        <w:rPr>
          <w:lang w:val="en-US" w:eastAsia="zh-CN"/>
        </w:rPr>
        <w:t>T</w:t>
      </w:r>
      <w:r w:rsidRPr="00705903">
        <w:rPr>
          <w:lang w:val="en-US" w:eastAsia="zh-CN"/>
        </w:rPr>
        <w:t>he decoupling of governance from environmental and social dimensions and the data-availability constraints provide the conceptual foundation for evaluating whether ESG attributes in China produce return premia, convey downside protection, or operate as state-contingent risk exposures.</w:t>
      </w:r>
    </w:p>
    <w:p w14:paraId="3DA64A9B" w14:textId="29C71EE8" w:rsidR="002E16E8" w:rsidRPr="00705903" w:rsidRDefault="002E16E8" w:rsidP="0097761F">
      <w:pPr>
        <w:spacing w:line="360" w:lineRule="auto"/>
        <w:ind w:firstLine="720"/>
        <w:jc w:val="both"/>
        <w:rPr>
          <w:lang w:val="en-US" w:eastAsia="zh-CN"/>
        </w:rPr>
      </w:pPr>
      <w:r w:rsidRPr="00705903">
        <w:rPr>
          <w:lang w:eastAsia="zh-CN"/>
        </w:rPr>
        <w:t xml:space="preserve">Having established the institutional and data-generating properties of ESG ratings in China, I now examine whether ESG </w:t>
      </w:r>
      <w:r w:rsidR="00217D34" w:rsidRPr="00705903">
        <w:rPr>
          <w:lang w:eastAsia="zh-CN"/>
        </w:rPr>
        <w:t>rating</w:t>
      </w:r>
      <w:r w:rsidRPr="00705903">
        <w:rPr>
          <w:lang w:eastAsia="zh-CN"/>
        </w:rPr>
        <w:t>s</w:t>
      </w:r>
      <w:r w:rsidR="00217D34" w:rsidRPr="00705903">
        <w:rPr>
          <w:lang w:eastAsia="zh-CN"/>
        </w:rPr>
        <w:t xml:space="preserve"> have</w:t>
      </w:r>
      <w:r w:rsidRPr="00705903">
        <w:rPr>
          <w:lang w:eastAsia="zh-CN"/>
        </w:rPr>
        <w:t xml:space="preserve"> predictive power for subsequent stock returns. Section 3.2 begins by testing H1 through portfolio sorts and factor regressions, providing direct evidence on whether ESG characteristics command return premia in the cross-section.</w:t>
      </w:r>
      <w:r w:rsidR="009A3FD2" w:rsidRPr="00705903">
        <w:rPr>
          <w:lang w:eastAsia="zh-CN"/>
        </w:rPr>
        <w:t xml:space="preserve"> Taken together, these properties provide the necessary context for evaluating whether ESG ratings carry predictive power for future stock returns, which I examine next in Section 3.2.</w:t>
      </w:r>
    </w:p>
    <w:p w14:paraId="1617C9B2" w14:textId="77777777" w:rsidR="0018114C" w:rsidRPr="00705903" w:rsidRDefault="0018114C" w:rsidP="0097761F">
      <w:pPr>
        <w:spacing w:line="360" w:lineRule="auto"/>
        <w:ind w:firstLine="0"/>
        <w:jc w:val="both"/>
        <w:rPr>
          <w:lang w:val="en-US" w:eastAsia="zh-CN"/>
        </w:rPr>
      </w:pPr>
    </w:p>
    <w:p w14:paraId="55B065A0" w14:textId="0239328B" w:rsidR="006F1978" w:rsidRPr="00705903" w:rsidRDefault="00810939" w:rsidP="0097761F">
      <w:pPr>
        <w:pStyle w:val="Heading2"/>
        <w:rPr>
          <w:rStyle w:val="Strong"/>
        </w:rPr>
      </w:pPr>
      <w:r w:rsidRPr="00705903">
        <w:t>3.</w:t>
      </w:r>
      <w:r w:rsidR="007F2DAC" w:rsidRPr="00705903">
        <w:t>2</w:t>
      </w:r>
      <w:r w:rsidRPr="00705903">
        <w:t xml:space="preserve"> </w:t>
      </w:r>
      <w:r w:rsidR="000B22DF" w:rsidRPr="00705903">
        <w:t>ESG Factor Performance and Return Characteristics</w:t>
      </w:r>
    </w:p>
    <w:p w14:paraId="4F41E361" w14:textId="579636F4" w:rsidR="006F1978" w:rsidRPr="00705903" w:rsidRDefault="00810939" w:rsidP="0097761F">
      <w:pPr>
        <w:pStyle w:val="Heading3"/>
        <w:rPr>
          <w:rStyle w:val="Strong"/>
          <w:b w:val="0"/>
          <w:bCs w:val="0"/>
        </w:rPr>
      </w:pPr>
      <w:r w:rsidRPr="00705903">
        <w:rPr>
          <w:rStyle w:val="Strong"/>
          <w:b w:val="0"/>
          <w:bCs w:val="0"/>
        </w:rPr>
        <w:t>3.</w:t>
      </w:r>
      <w:r w:rsidR="007F2DAC" w:rsidRPr="00705903">
        <w:rPr>
          <w:rStyle w:val="Strong"/>
          <w:b w:val="0"/>
          <w:bCs w:val="0"/>
          <w:lang w:eastAsia="zh-CN"/>
        </w:rPr>
        <w:t>2</w:t>
      </w:r>
      <w:r w:rsidRPr="00705903">
        <w:rPr>
          <w:rStyle w:val="Strong"/>
          <w:b w:val="0"/>
          <w:bCs w:val="0"/>
        </w:rPr>
        <w:t>.1 High-ESG Firms Exhibit Lower Average Returns</w:t>
      </w:r>
    </w:p>
    <w:p w14:paraId="6E794BE1" w14:textId="40385241" w:rsidR="00810939" w:rsidRPr="00705903" w:rsidRDefault="00810939" w:rsidP="0097761F">
      <w:pPr>
        <w:pStyle w:val="NormalWeb"/>
        <w:spacing w:line="360" w:lineRule="auto"/>
        <w:jc w:val="both"/>
        <w:rPr>
          <w:lang w:val="en-US" w:eastAsia="zh-CN"/>
        </w:rPr>
      </w:pPr>
      <w:r w:rsidRPr="00705903">
        <w:rPr>
          <w:lang w:val="en-US"/>
        </w:rPr>
        <w:t xml:space="preserve">To test whether firms with superior ESG performance earn different returns from those with weaker ESG profiles, I construct decile-sorted portfolios based on annual ESG scores. Following standard asset-pricing procedures, firms are sorted each year into ten (or five) groups, where Decile 1 contains the </w:t>
      </w:r>
      <w:proofErr w:type="gramStart"/>
      <w:r w:rsidRPr="00705903">
        <w:rPr>
          <w:lang w:val="en-US"/>
        </w:rPr>
        <w:t>highest-ESG</w:t>
      </w:r>
      <w:proofErr w:type="gramEnd"/>
      <w:r w:rsidRPr="00705903">
        <w:rPr>
          <w:lang w:val="en-US"/>
        </w:rPr>
        <w:t xml:space="preserve"> firms and Decile 10 the lowest. </w:t>
      </w:r>
      <w:r w:rsidR="00217D34" w:rsidRPr="00705903">
        <w:rPr>
          <w:lang w:val="en-US" w:eastAsia="zh-CN"/>
        </w:rPr>
        <w:t>The monthly return spread between the top and bottom deciles measures the ESG High–Low (H–L) factor:</w:t>
      </w:r>
    </w:p>
    <w:p w14:paraId="3E60E21C" w14:textId="02E7A0D4" w:rsidR="00810939" w:rsidRPr="00705903" w:rsidRDefault="00000000" w:rsidP="0097761F">
      <w:pPr>
        <w:pStyle w:val="NormalWeb"/>
        <w:spacing w:line="360" w:lineRule="auto"/>
        <w:jc w:val="both"/>
        <w:rPr>
          <w:lang w:val="en-US"/>
        </w:rPr>
      </w:pPr>
      <m:oMathPara>
        <m:oMath>
          <m:m>
            <m:mPr>
              <m:plcHide m:val="1"/>
              <m:mcs>
                <m:mc>
                  <m:mcPr>
                    <m:count m:val="4"/>
                    <m:mcJc m:val="center"/>
                  </m:mcPr>
                </m:mc>
              </m:mcs>
              <m:ctrlPr>
                <w:rPr>
                  <w:rFonts w:ascii="Cambria Math" w:hAnsi="Cambria Math"/>
                  <w:lang w:val="en-US"/>
                </w:rPr>
              </m:ctrlPr>
            </m:mPr>
            <m:mr>
              <m:e/>
              <m:e>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H-L,t</m:t>
                    </m:r>
                  </m:sub>
                  <m:sup>
                    <m:r>
                      <w:rPr>
                        <w:rFonts w:ascii="Cambria Math" w:hAnsi="Cambria Math"/>
                        <w:lang w:val="en-US"/>
                      </w:rPr>
                      <m:t>ESG</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High,t</m:t>
                    </m:r>
                  </m:sub>
                  <m:sup>
                    <m:r>
                      <w:rPr>
                        <w:rFonts w:ascii="Cambria Math" w:hAnsi="Cambria Math"/>
                        <w:lang w:val="en-US"/>
                      </w:rPr>
                      <m:t>ESG</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Low,t</m:t>
                    </m:r>
                  </m:sub>
                  <m:sup>
                    <m:r>
                      <w:rPr>
                        <w:rFonts w:ascii="Cambria Math" w:hAnsi="Cambria Math"/>
                        <w:lang w:val="en-US"/>
                      </w:rPr>
                      <m:t>ESG</m:t>
                    </m:r>
                  </m:sup>
                </m:sSubSup>
                <m:r>
                  <m:rPr>
                    <m:sty m:val="p"/>
                  </m:rPr>
                  <w:rPr>
                    <w:rFonts w:ascii="Cambria Math" w:hAnsi="Cambria Math"/>
                    <w:lang w:val="en-US"/>
                  </w:rPr>
                  <m:t>.</m:t>
                </m:r>
              </m:e>
              <m:e/>
              <m:e>
                <m:r>
                  <m:rPr>
                    <m:nor/>
                  </m:rPr>
                  <w:rPr>
                    <w:lang w:val="en-US"/>
                  </w:rPr>
                  <m:t>(</m:t>
                </m:r>
                <m:r>
                  <m:rPr>
                    <m:nor/>
                  </m:rPr>
                  <w:rPr>
                    <w:lang w:val="en-US" w:eastAsia="zh-CN"/>
                  </w:rPr>
                  <m:t>10</m:t>
                </m:r>
                <m:r>
                  <m:rPr>
                    <m:nor/>
                  </m:rPr>
                  <w:rPr>
                    <w:lang w:val="en-US"/>
                  </w:rPr>
                  <m:t>)</m:t>
                </m:r>
              </m:e>
            </m:mr>
          </m:m>
        </m:oMath>
      </m:oMathPara>
    </w:p>
    <w:p w14:paraId="25CF3141" w14:textId="277FFC7A" w:rsidR="00810939" w:rsidRPr="00705903" w:rsidRDefault="00810939" w:rsidP="0097761F">
      <w:pPr>
        <w:pStyle w:val="NormalWeb"/>
        <w:spacing w:line="360" w:lineRule="auto"/>
        <w:jc w:val="both"/>
        <w:rPr>
          <w:lang w:val="en-US"/>
        </w:rPr>
      </w:pPr>
      <w:r w:rsidRPr="00705903">
        <w:rPr>
          <w:lang w:val="en-US"/>
        </w:rPr>
        <w:t xml:space="preserve">The average of </w:t>
      </w:r>
      <m:oMath>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H-L,t</m:t>
            </m:r>
          </m:sub>
          <m:sup>
            <m:r>
              <w:rPr>
                <w:rFonts w:ascii="Cambria Math" w:hAnsi="Cambria Math"/>
                <w:lang w:val="en-US"/>
              </w:rPr>
              <m:t>ESG</m:t>
            </m:r>
          </m:sup>
        </m:sSubSup>
      </m:oMath>
      <w:r w:rsidRPr="00705903">
        <w:rPr>
          <w:lang w:val="en-US"/>
        </w:rPr>
        <w:t xml:space="preserve">across </w:t>
      </w:r>
      <w:r w:rsidRPr="00705903">
        <w:rPr>
          <w:i/>
          <w:iCs/>
          <w:lang w:val="en-US"/>
        </w:rPr>
        <w:t>T</w:t>
      </w:r>
      <w:r w:rsidRPr="00705903">
        <w:rPr>
          <w:lang w:val="en-US"/>
        </w:rPr>
        <w:t xml:space="preserve"> periods captures the unconditional ESG </w:t>
      </w:r>
      <w:r w:rsidR="00217D34" w:rsidRPr="00705903">
        <w:rPr>
          <w:lang w:val="en-US" w:eastAsia="zh-CN"/>
        </w:rPr>
        <w:t xml:space="preserve">factor </w:t>
      </w:r>
      <w:r w:rsidRPr="00705903">
        <w:rPr>
          <w:lang w:val="en-US"/>
        </w:rPr>
        <w:t>premium:</w:t>
      </w:r>
    </w:p>
    <w:p w14:paraId="18A13F5E" w14:textId="2FE823AE" w:rsidR="00810939" w:rsidRPr="00705903" w:rsidRDefault="00000000" w:rsidP="0097761F">
      <w:pPr>
        <w:pStyle w:val="NormalWeb"/>
        <w:spacing w:line="360" w:lineRule="auto"/>
        <w:jc w:val="both"/>
        <w:rPr>
          <w:lang w:val="en-US"/>
        </w:rPr>
      </w:pPr>
      <m:oMathPara>
        <m:oMath>
          <m:m>
            <m:mPr>
              <m:plcHide m:val="1"/>
              <m:mcs>
                <m:mc>
                  <m:mcPr>
                    <m:count m:val="4"/>
                    <m:mcJc m:val="center"/>
                  </m:mcPr>
                </m:mc>
              </m:mcs>
              <m:ctrlPr>
                <w:rPr>
                  <w:rFonts w:ascii="Cambria Math" w:hAnsi="Cambria Math"/>
                  <w:lang w:val="en-US"/>
                </w:rPr>
              </m:ctrlPr>
            </m:mPr>
            <m:mr>
              <m:e/>
              <m:e>
                <m:sSubSup>
                  <m:sSubSupPr>
                    <m:ctrlPr>
                      <w:rPr>
                        <w:rFonts w:ascii="Cambria Math" w:hAnsi="Cambria Math"/>
                        <w:lang w:val="en-US"/>
                      </w:rPr>
                    </m:ctrlPr>
                  </m:sSubSupPr>
                  <m:e>
                    <m:acc>
                      <m:accPr>
                        <m:chr m:val="‾"/>
                        <m:ctrlPr>
                          <w:rPr>
                            <w:rFonts w:ascii="Cambria Math" w:hAnsi="Cambria Math"/>
                            <w:lang w:val="en-US"/>
                          </w:rPr>
                        </m:ctrlPr>
                      </m:accPr>
                      <m:e>
                        <m:r>
                          <w:rPr>
                            <w:rFonts w:ascii="Cambria Math" w:hAnsi="Cambria Math"/>
                            <w:lang w:val="en-US"/>
                          </w:rPr>
                          <m:t>R</m:t>
                        </m:r>
                      </m:e>
                    </m:acc>
                  </m:e>
                  <m:sub>
                    <m:r>
                      <w:rPr>
                        <w:rFonts w:ascii="Cambria Math" w:hAnsi="Cambria Math"/>
                        <w:lang w:val="en-US"/>
                      </w:rPr>
                      <m:t>H-L</m:t>
                    </m:r>
                  </m:sub>
                  <m:sup>
                    <m:r>
                      <w:rPr>
                        <w:rFonts w:ascii="Cambria Math" w:hAnsi="Cambria Math"/>
                        <w:lang w:val="en-US"/>
                      </w:rPr>
                      <m:t>ESG</m:t>
                    </m:r>
                  </m:sup>
                </m:sSubSup>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T</m:t>
                    </m:r>
                  </m:den>
                </m:f>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T</m:t>
                    </m:r>
                  </m:sup>
                  <m:e>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H-L,t</m:t>
                        </m:r>
                      </m:sub>
                      <m:sup>
                        <m:r>
                          <w:rPr>
                            <w:rFonts w:ascii="Cambria Math" w:hAnsi="Cambria Math"/>
                            <w:lang w:val="en-US"/>
                          </w:rPr>
                          <m:t>ESG</m:t>
                        </m:r>
                      </m:sup>
                    </m:sSubSup>
                  </m:e>
                </m:nary>
                <m:r>
                  <m:rPr>
                    <m:sty m:val="p"/>
                  </m:rPr>
                  <w:rPr>
                    <w:rFonts w:ascii="Cambria Math" w:hAnsi="Cambria Math"/>
                    <w:lang w:val="en-US"/>
                  </w:rPr>
                  <m:t>.</m:t>
                </m:r>
              </m:e>
              <m:e/>
              <m:e>
                <m:r>
                  <m:rPr>
                    <m:nor/>
                  </m:rPr>
                  <w:rPr>
                    <w:lang w:val="en-US"/>
                  </w:rPr>
                  <m:t>(1</m:t>
                </m:r>
                <m:r>
                  <m:rPr>
                    <m:nor/>
                  </m:rPr>
                  <w:rPr>
                    <w:lang w:val="en-US" w:eastAsia="zh-CN"/>
                  </w:rPr>
                  <m:t>1</m:t>
                </m:r>
                <m:r>
                  <m:rPr>
                    <m:nor/>
                  </m:rPr>
                  <w:rPr>
                    <w:lang w:val="en-US"/>
                  </w:rPr>
                  <m:t>)</m:t>
                </m:r>
              </m:e>
            </m:mr>
          </m:m>
        </m:oMath>
      </m:oMathPara>
    </w:p>
    <w:p w14:paraId="7D08A7D3" w14:textId="7FCBABCD" w:rsidR="00810939" w:rsidRPr="00705903" w:rsidRDefault="0012788E" w:rsidP="0097761F">
      <w:pPr>
        <w:pStyle w:val="NormalWeb"/>
        <w:spacing w:line="360" w:lineRule="auto"/>
        <w:jc w:val="both"/>
        <w:rPr>
          <w:lang w:val="en-US"/>
        </w:rPr>
      </w:pPr>
      <w:r w:rsidRPr="00705903">
        <w:rPr>
          <w:rFonts w:hint="eastAsia"/>
          <w:lang w:val="en-US" w:eastAsia="zh-CN"/>
        </w:rPr>
        <w:t xml:space="preserve">In </w:t>
      </w:r>
      <w:r w:rsidR="00810939" w:rsidRPr="00705903">
        <w:rPr>
          <w:lang w:val="en-US"/>
        </w:rPr>
        <w:t>Panel A of Table 23</w:t>
      </w:r>
      <w:r w:rsidRPr="00705903">
        <w:rPr>
          <w:rFonts w:hint="eastAsia"/>
          <w:lang w:val="en-US" w:eastAsia="zh-CN"/>
        </w:rPr>
        <w:t xml:space="preserve">, I </w:t>
      </w:r>
      <w:r w:rsidR="00810939" w:rsidRPr="00705903">
        <w:rPr>
          <w:lang w:val="en-US"/>
        </w:rPr>
        <w:t xml:space="preserve">report the equal-weighted 10-decile results. The mean high-minus-low (H–L) return equals −0.0089 with </w:t>
      </w:r>
      <w:r w:rsidR="00810939" w:rsidRPr="00705903">
        <w:rPr>
          <w:i/>
          <w:iCs/>
          <w:lang w:val="en-US"/>
        </w:rPr>
        <w:t>t = −2.09 (p = 0.054)</w:t>
      </w:r>
      <w:r w:rsidR="00810939" w:rsidRPr="00705903">
        <w:rPr>
          <w:lang w:val="en-US"/>
        </w:rPr>
        <w:t xml:space="preserve">, significant at the 10 percent level. This negative coefficient indicates that firms with higher ESG ratings deliver lower realized returns, consistent with an </w:t>
      </w:r>
      <w:r w:rsidR="00810939" w:rsidRPr="00705903">
        <w:rPr>
          <w:i/>
          <w:iCs/>
          <w:lang w:val="en-US"/>
        </w:rPr>
        <w:t>ESG premium</w:t>
      </w:r>
      <w:r w:rsidR="00810939" w:rsidRPr="00705903">
        <w:rPr>
          <w:lang w:val="en-US"/>
        </w:rPr>
        <w:t xml:space="preserve"> interpretation in which investors accept lower financial performance for sustainability attributes.</w:t>
      </w:r>
    </w:p>
    <w:p w14:paraId="235F80A3" w14:textId="77777777" w:rsidR="00810939" w:rsidRPr="00705903" w:rsidRDefault="00810939" w:rsidP="0097761F">
      <w:pPr>
        <w:pStyle w:val="NormalWeb"/>
        <w:spacing w:line="360" w:lineRule="auto"/>
        <w:jc w:val="both"/>
        <w:rPr>
          <w:lang w:val="en-US"/>
        </w:rPr>
      </w:pPr>
      <w:r w:rsidRPr="00705903">
        <w:rPr>
          <w:lang w:val="en-US"/>
        </w:rPr>
        <w:t xml:space="preserve">    Panels B and C provide robustness checks using quintile groupings and value-</w:t>
      </w:r>
      <w:proofErr w:type="gramStart"/>
      <w:r w:rsidRPr="00705903">
        <w:rPr>
          <w:lang w:val="en-US"/>
        </w:rPr>
        <w:t>weighted</w:t>
      </w:r>
      <w:proofErr w:type="gramEnd"/>
      <w:r w:rsidRPr="00705903">
        <w:rPr>
          <w:lang w:val="en-US"/>
        </w:rPr>
        <w:t xml:space="preserve"> portfolios. The equal-weighted quintile specification yields an insignificant H–L spread. Notably, the value-weighted portfolio based on daily returns remains marginally negative (t = −1.66, p = 0.096), suggesting that the negative ESG-return relation persists among large-cap firms even after controlling for size. The effect is most clear in the equal-weighted decile sort—a common benchmark in asset pricing tests.</w:t>
      </w:r>
    </w:p>
    <w:p w14:paraId="06E559B9" w14:textId="42192040" w:rsidR="00810939" w:rsidRPr="00705903" w:rsidRDefault="0012788E" w:rsidP="0012788E">
      <w:pPr>
        <w:pStyle w:val="NormalWeb"/>
        <w:spacing w:line="360" w:lineRule="auto"/>
        <w:jc w:val="both"/>
        <w:rPr>
          <w:lang w:val="en-US"/>
        </w:rPr>
      </w:pPr>
      <w:r w:rsidRPr="00705903">
        <w:rPr>
          <w:lang w:val="en-US"/>
        </w:rPr>
        <w:t>Collectively, I show in Table 20 that the Chinese A-share market exhibits a weak but persistent negative ESG–return relation, suggesting that investors value non-financial sustainability attributes and price them as a non-pecuniary preference rather than a risk factor. To identify the source of this return pattern, I begin by testing whether the environmental (E) score exhibits any pricing power.</w:t>
      </w:r>
    </w:p>
    <w:p w14:paraId="17240A61" w14:textId="77777777" w:rsidR="0012788E" w:rsidRPr="00705903" w:rsidRDefault="0012788E" w:rsidP="0097761F">
      <w:pPr>
        <w:pStyle w:val="NormalWeb"/>
        <w:spacing w:line="360" w:lineRule="auto"/>
        <w:ind w:firstLine="0"/>
        <w:jc w:val="both"/>
        <w:rPr>
          <w:rStyle w:val="Strong"/>
          <w:b w:val="0"/>
          <w:bCs w:val="0"/>
        </w:rPr>
      </w:pPr>
    </w:p>
    <w:p w14:paraId="2EFD502F" w14:textId="4923EB42" w:rsidR="00810939" w:rsidRPr="00705903" w:rsidRDefault="00810939" w:rsidP="0097761F">
      <w:pPr>
        <w:pStyle w:val="Heading3"/>
        <w:rPr>
          <w:rStyle w:val="Strong"/>
          <w:b w:val="0"/>
          <w:bCs w:val="0"/>
        </w:rPr>
      </w:pPr>
      <w:r w:rsidRPr="00705903">
        <w:t>3.</w:t>
      </w:r>
      <w:r w:rsidR="007F2DAC" w:rsidRPr="00705903">
        <w:rPr>
          <w:lang w:eastAsia="zh-CN"/>
        </w:rPr>
        <w:t>2</w:t>
      </w:r>
      <w:r w:rsidRPr="00705903">
        <w:t>.2 Environmental Scores Show No Pricing Effect</w:t>
      </w:r>
    </w:p>
    <w:p w14:paraId="57EDFE36" w14:textId="46F68634" w:rsidR="009510A1" w:rsidRPr="00705903" w:rsidRDefault="009510A1" w:rsidP="0097761F">
      <w:pPr>
        <w:pStyle w:val="NormalWeb"/>
        <w:spacing w:line="360" w:lineRule="auto"/>
        <w:jc w:val="both"/>
        <w:rPr>
          <w:lang w:val="en-US"/>
        </w:rPr>
      </w:pPr>
      <w:r w:rsidRPr="00705903">
        <w:rPr>
          <w:lang w:val="en-US"/>
        </w:rPr>
        <w:t xml:space="preserve">To examine whether environmental performance alone explains systematic differences in stock returns, I construct decile- and quintile-sorted portfolios based on firms’ Environmental (E) </w:t>
      </w:r>
      <w:r w:rsidR="00217D34" w:rsidRPr="00705903">
        <w:rPr>
          <w:lang w:val="en-US" w:eastAsia="zh-CN"/>
        </w:rPr>
        <w:t>ratings</w:t>
      </w:r>
      <w:r w:rsidRPr="00705903">
        <w:rPr>
          <w:lang w:val="en-US"/>
        </w:rPr>
        <w:t>. Following the same procedure as in Equation (</w:t>
      </w:r>
      <w:r w:rsidRPr="00705903">
        <w:rPr>
          <w:lang w:val="en-US" w:eastAsia="zh-CN"/>
        </w:rPr>
        <w:t>10</w:t>
      </w:r>
      <w:r w:rsidRPr="00705903">
        <w:rPr>
          <w:lang w:val="en-US"/>
        </w:rPr>
        <w:t>)</w:t>
      </w:r>
      <w:proofErr w:type="gramStart"/>
      <w:r w:rsidRPr="00705903">
        <w:rPr>
          <w:lang w:val="en-US"/>
        </w:rPr>
        <w:t>–(</w:t>
      </w:r>
      <w:proofErr w:type="gramEnd"/>
      <w:r w:rsidRPr="00705903">
        <w:rPr>
          <w:lang w:val="en-US"/>
        </w:rPr>
        <w:t>1</w:t>
      </w:r>
      <w:r w:rsidRPr="00705903">
        <w:rPr>
          <w:lang w:val="en-US" w:eastAsia="zh-CN"/>
        </w:rPr>
        <w:t>1</w:t>
      </w:r>
      <w:r w:rsidRPr="00705903">
        <w:rPr>
          <w:lang w:val="en-US"/>
        </w:rPr>
        <w:t>), the high–low (H–L) portfolio return for the E dimension is computed as:</w:t>
      </w:r>
    </w:p>
    <w:p w14:paraId="35016087" w14:textId="77777777" w:rsidR="00217D34" w:rsidRPr="00705903" w:rsidRDefault="00000000" w:rsidP="0097761F">
      <w:pPr>
        <w:pStyle w:val="NormalWeb"/>
        <w:spacing w:line="360" w:lineRule="auto"/>
        <w:jc w:val="both"/>
        <w:rPr>
          <w:lang w:val="en-US"/>
        </w:rPr>
      </w:pPr>
      <m:oMathPara>
        <m:oMath>
          <m:m>
            <m:mPr>
              <m:plcHide m:val="1"/>
              <m:mcs>
                <m:mc>
                  <m:mcPr>
                    <m:count m:val="4"/>
                    <m:mcJc m:val="center"/>
                  </m:mcPr>
                </m:mc>
              </m:mcs>
              <m:ctrlPr>
                <w:rPr>
                  <w:rFonts w:ascii="Cambria Math" w:hAnsi="Cambria Math"/>
                  <w:lang w:val="en-US"/>
                </w:rPr>
              </m:ctrlPr>
            </m:mPr>
            <m:mr>
              <m:e/>
              <m:e>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H-L,t</m:t>
                    </m:r>
                  </m:sub>
                  <m:sup>
                    <m:r>
                      <w:rPr>
                        <w:rFonts w:ascii="Cambria Math" w:hAnsi="Cambria Math"/>
                        <w:lang w:val="en-US"/>
                      </w:rPr>
                      <m:t>E</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High,t</m:t>
                    </m:r>
                  </m:sub>
                  <m:sup>
                    <m:r>
                      <w:rPr>
                        <w:rFonts w:ascii="Cambria Math" w:hAnsi="Cambria Math"/>
                        <w:lang w:val="en-US"/>
                      </w:rPr>
                      <m:t>E</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Low,t</m:t>
                    </m:r>
                  </m:sub>
                  <m:sup>
                    <m:r>
                      <w:rPr>
                        <w:rFonts w:ascii="Cambria Math" w:hAnsi="Cambria Math"/>
                        <w:lang w:val="en-US"/>
                      </w:rPr>
                      <m:t>E</m:t>
                    </m:r>
                  </m:sup>
                </m:sSubSup>
                <m:r>
                  <w:rPr>
                    <w:rFonts w:ascii="Cambria Math" w:hAnsi="Cambria Math"/>
                    <w:lang w:val="en-US"/>
                  </w:rPr>
                  <m:t>,</m:t>
                </m:r>
              </m:e>
              <m:e/>
              <m:e>
                <m:r>
                  <m:rPr>
                    <m:nor/>
                  </m:rPr>
                  <w:rPr>
                    <w:lang w:val="en-US"/>
                  </w:rPr>
                  <m:t>(1</m:t>
                </m:r>
                <m:r>
                  <m:rPr>
                    <m:nor/>
                  </m:rPr>
                  <w:rPr>
                    <w:lang w:val="en-US" w:eastAsia="zh-CN"/>
                  </w:rPr>
                  <m:t>2</m:t>
                </m:r>
                <m:r>
                  <m:rPr>
                    <m:nor/>
                  </m:rPr>
                  <w:rPr>
                    <w:lang w:val="en-US"/>
                  </w:rPr>
                  <m:t>)</m:t>
                </m:r>
              </m:e>
            </m:mr>
          </m:m>
        </m:oMath>
      </m:oMathPara>
    </w:p>
    <w:p w14:paraId="603E31E9" w14:textId="0BFC2F7E" w:rsidR="009510A1" w:rsidRPr="00705903" w:rsidRDefault="00217D34" w:rsidP="0097761F">
      <w:pPr>
        <w:pStyle w:val="NormalWeb"/>
        <w:spacing w:line="360" w:lineRule="auto"/>
        <w:ind w:firstLine="0"/>
        <w:jc w:val="both"/>
        <w:rPr>
          <w:lang w:val="en-US"/>
        </w:rPr>
      </w:pPr>
      <w:r w:rsidRPr="00705903">
        <w:t>with its unconditional mean given by:</w:t>
      </w:r>
      <m:oMath>
        <m:r>
          <m:rPr>
            <m:sty m:val="p"/>
          </m:rPr>
          <w:rPr>
            <w:rFonts w:ascii="Cambria Math" w:hAnsi="Cambria Math"/>
            <w:lang w:val="en-US"/>
          </w:rPr>
          <w:br/>
        </m:r>
      </m:oMath>
      <m:oMathPara>
        <m:oMath>
          <m:m>
            <m:mPr>
              <m:plcHide m:val="1"/>
              <m:mcs>
                <m:mc>
                  <m:mcPr>
                    <m:count m:val="4"/>
                    <m:mcJc m:val="center"/>
                  </m:mcPr>
                </m:mc>
              </m:mcs>
              <m:ctrlPr>
                <w:rPr>
                  <w:rFonts w:ascii="Cambria Math" w:hAnsi="Cambria Math"/>
                  <w:lang w:val="en-US"/>
                </w:rPr>
              </m:ctrlPr>
            </m:mPr>
            <m:mr>
              <m:e/>
              <m:e>
                <m:sSubSup>
                  <m:sSubSupPr>
                    <m:ctrlPr>
                      <w:rPr>
                        <w:rFonts w:ascii="Cambria Math" w:hAnsi="Cambria Math"/>
                        <w:lang w:val="en-US"/>
                      </w:rPr>
                    </m:ctrlPr>
                  </m:sSubSupPr>
                  <m:e>
                    <m:acc>
                      <m:accPr>
                        <m:chr m:val="‾"/>
                        <m:ctrlPr>
                          <w:rPr>
                            <w:rFonts w:ascii="Cambria Math" w:hAnsi="Cambria Math"/>
                            <w:lang w:val="en-US"/>
                          </w:rPr>
                        </m:ctrlPr>
                      </m:accPr>
                      <m:e>
                        <m:r>
                          <w:rPr>
                            <w:rFonts w:ascii="Cambria Math" w:hAnsi="Cambria Math"/>
                            <w:lang w:val="en-US"/>
                          </w:rPr>
                          <m:t>R</m:t>
                        </m:r>
                      </m:e>
                    </m:acc>
                  </m:e>
                  <m:sub>
                    <m:r>
                      <w:rPr>
                        <w:rFonts w:ascii="Cambria Math" w:hAnsi="Cambria Math"/>
                        <w:lang w:val="en-US"/>
                      </w:rPr>
                      <m:t>H-L</m:t>
                    </m:r>
                  </m:sub>
                  <m:sup>
                    <m:r>
                      <w:rPr>
                        <w:rFonts w:ascii="Cambria Math" w:hAnsi="Cambria Math"/>
                        <w:lang w:val="en-US"/>
                      </w:rPr>
                      <m:t>E</m:t>
                    </m:r>
                  </m:sup>
                </m:sSubSup>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T</m:t>
                    </m:r>
                  </m:den>
                </m:f>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T</m:t>
                    </m:r>
                  </m:sup>
                  <m:e>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H-L,t</m:t>
                        </m:r>
                      </m:sub>
                      <m:sup>
                        <m:r>
                          <w:rPr>
                            <w:rFonts w:ascii="Cambria Math" w:hAnsi="Cambria Math"/>
                            <w:lang w:val="en-US"/>
                          </w:rPr>
                          <m:t>E</m:t>
                        </m:r>
                      </m:sup>
                    </m:sSubSup>
                  </m:e>
                </m:nary>
                <m:r>
                  <m:rPr>
                    <m:sty m:val="p"/>
                  </m:rPr>
                  <w:rPr>
                    <w:rFonts w:ascii="Cambria Math" w:hAnsi="Cambria Math"/>
                    <w:lang w:val="en-US"/>
                  </w:rPr>
                  <m:t>.</m:t>
                </m:r>
              </m:e>
              <m:e/>
              <m:e>
                <m:r>
                  <m:rPr>
                    <m:nor/>
                  </m:rPr>
                  <w:rPr>
                    <w:lang w:val="en-US"/>
                  </w:rPr>
                  <m:t>(1</m:t>
                </m:r>
                <m:r>
                  <m:rPr>
                    <m:nor/>
                  </m:rPr>
                  <w:rPr>
                    <w:lang w:val="en-US" w:eastAsia="zh-CN"/>
                  </w:rPr>
                  <m:t>3</m:t>
                </m:r>
                <m:r>
                  <m:rPr>
                    <m:nor/>
                  </m:rPr>
                  <w:rPr>
                    <w:lang w:val="en-US"/>
                  </w:rPr>
                  <m:t>)</m:t>
                </m:r>
              </m:e>
            </m:mr>
          </m:m>
        </m:oMath>
      </m:oMathPara>
    </w:p>
    <w:p w14:paraId="04345E97" w14:textId="1B57854C" w:rsidR="009510A1" w:rsidRPr="00705903" w:rsidRDefault="0012788E" w:rsidP="0097761F">
      <w:pPr>
        <w:pStyle w:val="NormalWeb"/>
        <w:spacing w:line="360" w:lineRule="auto"/>
        <w:jc w:val="both"/>
        <w:rPr>
          <w:lang w:val="en-US"/>
        </w:rPr>
      </w:pPr>
      <w:r w:rsidRPr="00705903">
        <w:rPr>
          <w:rFonts w:hint="eastAsia"/>
          <w:lang w:val="en-US" w:eastAsia="zh-CN"/>
        </w:rPr>
        <w:t xml:space="preserve">In </w:t>
      </w:r>
      <w:r w:rsidR="009510A1" w:rsidRPr="00705903">
        <w:rPr>
          <w:lang w:val="en-US"/>
        </w:rPr>
        <w:t>Panel A of Table 2</w:t>
      </w:r>
      <w:r w:rsidR="009510A1" w:rsidRPr="00705903">
        <w:rPr>
          <w:lang w:val="en-US" w:eastAsia="zh-CN"/>
        </w:rPr>
        <w:t>1</w:t>
      </w:r>
      <w:r w:rsidRPr="00705903">
        <w:rPr>
          <w:rFonts w:hint="eastAsia"/>
          <w:lang w:val="en-US" w:eastAsia="zh-CN"/>
        </w:rPr>
        <w:t>, I</w:t>
      </w:r>
      <w:r w:rsidR="009510A1" w:rsidRPr="00705903">
        <w:rPr>
          <w:lang w:val="en-US"/>
        </w:rPr>
        <w:t xml:space="preserve"> </w:t>
      </w:r>
      <w:r w:rsidRPr="00705903">
        <w:rPr>
          <w:lang w:val="en-US"/>
        </w:rPr>
        <w:t>report</w:t>
      </w:r>
      <w:r w:rsidR="009510A1" w:rsidRPr="00705903">
        <w:rPr>
          <w:lang w:val="en-US"/>
        </w:rPr>
        <w:t xml:space="preserve"> the equal-</w:t>
      </w:r>
      <w:proofErr w:type="gramStart"/>
      <w:r w:rsidR="009510A1" w:rsidRPr="00705903">
        <w:rPr>
          <w:lang w:val="en-US"/>
        </w:rPr>
        <w:t>weighted</w:t>
      </w:r>
      <w:proofErr w:type="gramEnd"/>
      <w:r w:rsidR="009510A1" w:rsidRPr="00705903">
        <w:rPr>
          <w:lang w:val="en-US"/>
        </w:rPr>
        <w:t xml:space="preserve"> 10-decile results. The mean</w:t>
      </w:r>
      <w:r w:rsidR="003C5615" w:rsidRPr="00705903">
        <w:rPr>
          <w:lang w:val="en-US"/>
        </w:rPr>
        <w:t xml:space="preserve"> environmental high minus low</w:t>
      </w:r>
      <w:r w:rsidR="009510A1" w:rsidRPr="00705903">
        <w:rPr>
          <w:lang w:val="en-US"/>
        </w:rPr>
        <w:t xml:space="preserve"> return (−0.0089) is statistically insignificant (</w:t>
      </w:r>
      <w:r w:rsidR="009510A1" w:rsidRPr="00705903">
        <w:rPr>
          <w:i/>
          <w:iCs/>
          <w:lang w:val="en-US"/>
        </w:rPr>
        <w:t>t = −0.55, p = 0.60</w:t>
      </w:r>
      <w:r w:rsidR="009510A1" w:rsidRPr="00705903">
        <w:rPr>
          <w:lang w:val="en-US"/>
        </w:rPr>
        <w:t>), indicating no systematic difference in returns between firms with high and low environmental scores. This finding persists across the 5-decile (equal-weighted) and value-weighted portfolios (Panels B–C), with all t-statistics below 1 in absolute value. The lack of significance across all specifications suggests that environmental performance does not independently contribute to excess returns in the Chinese A-share market.</w:t>
      </w:r>
    </w:p>
    <w:p w14:paraId="681D75D5" w14:textId="5E9CAD3D" w:rsidR="009510A1" w:rsidRPr="00705903" w:rsidRDefault="009510A1" w:rsidP="0097761F">
      <w:pPr>
        <w:pStyle w:val="NormalWeb"/>
        <w:spacing w:line="360" w:lineRule="auto"/>
        <w:jc w:val="both"/>
        <w:rPr>
          <w:lang w:val="en-US"/>
        </w:rPr>
      </w:pPr>
      <w:r w:rsidRPr="00705903">
        <w:rPr>
          <w:lang w:val="en-US"/>
        </w:rPr>
        <w:t>From an economic perspective, these results imply that investors do not perceive environmental scores as a priced risk attribute or as a persistent source of alpha. Instead, the E pillar appears t</w:t>
      </w:r>
      <w:r w:rsidR="00217D34" w:rsidRPr="00705903">
        <w:rPr>
          <w:lang w:val="en-US" w:eastAsia="zh-CN"/>
        </w:rPr>
        <w:t>o</w:t>
      </w:r>
      <w:r w:rsidR="00217D34" w:rsidRPr="00705903">
        <w:t xml:space="preserve"> </w:t>
      </w:r>
      <w:r w:rsidR="00217D34" w:rsidRPr="00705903">
        <w:rPr>
          <w:lang w:val="en-US"/>
        </w:rPr>
        <w:t>capture disclosure heterogeneity</w:t>
      </w:r>
      <w:r w:rsidRPr="00705903">
        <w:rPr>
          <w:lang w:val="en-US"/>
        </w:rPr>
        <w:t xml:space="preserve"> rather than return-relevant information. The consistent null results for the environmental dimension stand in contrast to the weak but significant negative premium found for the aggregate ESG score (Section 3.</w:t>
      </w:r>
      <w:r w:rsidR="00B4137F" w:rsidRPr="00705903">
        <w:rPr>
          <w:lang w:val="en-US" w:eastAsia="zh-CN"/>
        </w:rPr>
        <w:t>2</w:t>
      </w:r>
      <w:r w:rsidRPr="00705903">
        <w:rPr>
          <w:lang w:val="en-US"/>
        </w:rPr>
        <w:t xml:space="preserve">.1), highlighting that the overall ESG effect is likely driven by the Social and Governance components. </w:t>
      </w:r>
    </w:p>
    <w:p w14:paraId="729AD18F" w14:textId="5A1D062D" w:rsidR="004353EB" w:rsidRPr="00705903" w:rsidRDefault="004353EB" w:rsidP="0097761F">
      <w:pPr>
        <w:pStyle w:val="NormalWeb"/>
        <w:spacing w:line="360" w:lineRule="auto"/>
        <w:jc w:val="both"/>
        <w:rPr>
          <w:lang w:val="en-US"/>
        </w:rPr>
      </w:pPr>
      <w:r w:rsidRPr="00705903">
        <w:t xml:space="preserve">Unlike findings from developed markets, where environmental factors often yield positive excess returns due to stronger investor preference and green asset demand (e.g., Bolton and </w:t>
      </w:r>
      <w:proofErr w:type="spellStart"/>
      <w:r w:rsidRPr="00705903">
        <w:t>Kacperczyk</w:t>
      </w:r>
      <w:proofErr w:type="spellEnd"/>
      <w:r w:rsidRPr="00705903">
        <w:t>, 2021; Pastor, Stambaugh, and Taylor, 2022), the Chinese market shows no statistically significant pricing effect for the E dimension. This contrast underscores the nascent stage of ESG integration and the limited market pricing of environmental externalities in emerging economies.</w:t>
      </w:r>
      <w:r w:rsidR="009A3FD2" w:rsidRPr="00705903">
        <w:t xml:space="preserve"> I therefore assess whether the return differential is driven by the Social</w:t>
      </w:r>
      <w:r w:rsidR="009A3FD2" w:rsidRPr="00705903">
        <w:rPr>
          <w:lang w:eastAsia="zh-CN"/>
        </w:rPr>
        <w:t xml:space="preserve"> (S)</w:t>
      </w:r>
      <w:r w:rsidR="009A3FD2" w:rsidRPr="00705903">
        <w:t xml:space="preserve"> or Governance</w:t>
      </w:r>
      <w:r w:rsidR="009A3FD2" w:rsidRPr="00705903">
        <w:rPr>
          <w:lang w:eastAsia="zh-CN"/>
        </w:rPr>
        <w:t xml:space="preserve"> (G)</w:t>
      </w:r>
      <w:r w:rsidR="009A3FD2" w:rsidRPr="00705903">
        <w:t xml:space="preserve"> dimensions.</w:t>
      </w:r>
    </w:p>
    <w:p w14:paraId="23B26E76" w14:textId="77777777" w:rsidR="009510A1" w:rsidRPr="00705903" w:rsidRDefault="009510A1" w:rsidP="0097761F">
      <w:pPr>
        <w:pStyle w:val="NormalWeb"/>
        <w:spacing w:line="360" w:lineRule="auto"/>
        <w:ind w:firstLine="0"/>
        <w:jc w:val="both"/>
        <w:rPr>
          <w:rStyle w:val="Strong"/>
          <w:b w:val="0"/>
          <w:bCs w:val="0"/>
        </w:rPr>
      </w:pPr>
    </w:p>
    <w:p w14:paraId="5EEFF67B" w14:textId="1823FBA1" w:rsidR="00810939" w:rsidRPr="00705903" w:rsidRDefault="00810939" w:rsidP="0097761F">
      <w:pPr>
        <w:pStyle w:val="Heading3"/>
        <w:rPr>
          <w:rStyle w:val="Strong"/>
          <w:b w:val="0"/>
          <w:bCs w:val="0"/>
        </w:rPr>
      </w:pPr>
      <w:r w:rsidRPr="00705903">
        <w:t>3.</w:t>
      </w:r>
      <w:r w:rsidR="007F2DAC" w:rsidRPr="00705903">
        <w:rPr>
          <w:lang w:eastAsia="zh-CN"/>
        </w:rPr>
        <w:t>2</w:t>
      </w:r>
      <w:r w:rsidRPr="00705903">
        <w:t>.3 Social and Governance Dimensions Drive the Negative Premium</w:t>
      </w:r>
    </w:p>
    <w:p w14:paraId="162D6394" w14:textId="34BF8058" w:rsidR="004353EB" w:rsidRPr="00705903" w:rsidRDefault="004353EB" w:rsidP="0097761F">
      <w:pPr>
        <w:pStyle w:val="NormalWeb"/>
        <w:spacing w:line="360" w:lineRule="auto"/>
        <w:jc w:val="both"/>
        <w:rPr>
          <w:lang w:val="en-US"/>
        </w:rPr>
      </w:pPr>
      <w:r w:rsidRPr="00705903">
        <w:rPr>
          <w:lang w:val="en-US"/>
        </w:rPr>
        <w:t xml:space="preserve">Following the aggregate ESG portfolio analysis, I further decompose the negative premium into its underlying </w:t>
      </w:r>
      <w:r w:rsidR="00355991" w:rsidRPr="00705903">
        <w:rPr>
          <w:lang w:val="en-US" w:eastAsia="zh-CN"/>
        </w:rPr>
        <w:t>dimension</w:t>
      </w:r>
      <w:r w:rsidRPr="00705903">
        <w:rPr>
          <w:lang w:val="en-US"/>
        </w:rPr>
        <w:t xml:space="preserve"> to identify which dimension drives the underperformance.</w:t>
      </w:r>
      <w:r w:rsidRPr="00705903">
        <w:rPr>
          <w:lang w:val="en-US"/>
        </w:rPr>
        <w:br/>
        <w:t xml:space="preserve">Decile- and quintile-sorted portfolios are constructed for both the Social (S) and Governance (G) pillars, using annual </w:t>
      </w:r>
      <w:r w:rsidR="00355991" w:rsidRPr="00705903">
        <w:rPr>
          <w:lang w:val="en-US" w:eastAsia="zh-CN"/>
        </w:rPr>
        <w:t>dimension ratings</w:t>
      </w:r>
      <w:r w:rsidRPr="00705903">
        <w:rPr>
          <w:lang w:val="en-US"/>
        </w:rPr>
        <w:t xml:space="preserve"> as sorting variables. For each dimension, the return differential between the highest- and lowest-rated portfolios is calculated as:</w:t>
      </w:r>
    </w:p>
    <w:p w14:paraId="6651D94A" w14:textId="25D9A30F" w:rsidR="004353EB" w:rsidRPr="00705903" w:rsidRDefault="00000000" w:rsidP="0097761F">
      <w:pPr>
        <w:pStyle w:val="NormalWeb"/>
        <w:spacing w:line="360" w:lineRule="auto"/>
        <w:jc w:val="both"/>
        <w:rPr>
          <w:lang w:val="en-US"/>
        </w:rPr>
      </w:pPr>
      <m:oMathPara>
        <m:oMath>
          <m:m>
            <m:mPr>
              <m:plcHide m:val="1"/>
              <m:mcs>
                <m:mc>
                  <m:mcPr>
                    <m:count m:val="4"/>
                    <m:mcJc m:val="center"/>
                  </m:mcPr>
                </m:mc>
              </m:mcs>
              <m:ctrlPr>
                <w:rPr>
                  <w:rFonts w:ascii="Cambria Math" w:hAnsi="Cambria Math"/>
                  <w:lang w:val="en-US"/>
                </w:rPr>
              </m:ctrlPr>
            </m:mPr>
            <m:mr>
              <m:e/>
              <m:e>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H-L,t</m:t>
                    </m:r>
                  </m:sub>
                  <m:sup>
                    <m:r>
                      <w:rPr>
                        <w:rFonts w:ascii="Cambria Math" w:hAnsi="Cambria Math"/>
                        <w:lang w:val="en-US"/>
                      </w:rPr>
                      <m:t>k</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High,t</m:t>
                    </m:r>
                  </m:sub>
                  <m:sup>
                    <m:r>
                      <w:rPr>
                        <w:rFonts w:ascii="Cambria Math" w:hAnsi="Cambria Math"/>
                        <w:lang w:val="en-US"/>
                      </w:rPr>
                      <m:t>k</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Low,t</m:t>
                    </m:r>
                  </m:sub>
                  <m:sup>
                    <m:r>
                      <w:rPr>
                        <w:rFonts w:ascii="Cambria Math" w:hAnsi="Cambria Math"/>
                        <w:lang w:val="en-US"/>
                      </w:rPr>
                      <m:t>k</m:t>
                    </m:r>
                  </m:sup>
                </m:sSubSup>
                <m:r>
                  <w:rPr>
                    <w:rFonts w:ascii="Cambria Math" w:hAnsi="Cambria Math"/>
                    <w:lang w:val="en-US"/>
                  </w:rPr>
                  <m:t>,k∈{S,G},</m:t>
                </m:r>
              </m:e>
              <m:e/>
              <m:e>
                <m:r>
                  <m:rPr>
                    <m:nor/>
                  </m:rPr>
                  <w:rPr>
                    <w:lang w:val="en-US"/>
                  </w:rPr>
                  <m:t>(1</m:t>
                </m:r>
                <m:r>
                  <m:rPr>
                    <m:nor/>
                  </m:rPr>
                  <w:rPr>
                    <w:lang w:val="en-US" w:eastAsia="zh-CN"/>
                  </w:rPr>
                  <m:t>4</m:t>
                </m:r>
                <m:r>
                  <m:rPr>
                    <m:nor/>
                  </m:rPr>
                  <w:rPr>
                    <w:lang w:val="en-US"/>
                  </w:rPr>
                  <m:t>)</m:t>
                </m:r>
              </m:e>
            </m:mr>
          </m:m>
          <m:r>
            <m:rPr>
              <m:sty m:val="p"/>
            </m:rPr>
            <w:rPr>
              <w:rFonts w:ascii="Cambria Math" w:hAnsi="Cambria Math"/>
              <w:lang w:val="en-US"/>
            </w:rPr>
            <w:br/>
          </m:r>
        </m:oMath>
        <m:oMath>
          <m:m>
            <m:mPr>
              <m:plcHide m:val="1"/>
              <m:mcs>
                <m:mc>
                  <m:mcPr>
                    <m:count m:val="4"/>
                    <m:mcJc m:val="center"/>
                  </m:mcPr>
                </m:mc>
              </m:mcs>
              <m:ctrlPr>
                <w:rPr>
                  <w:rFonts w:ascii="Cambria Math" w:hAnsi="Cambria Math"/>
                  <w:lang w:val="en-US"/>
                </w:rPr>
              </m:ctrlPr>
            </m:mPr>
            <m:mr>
              <m:e/>
              <m:e>
                <m:sSubSup>
                  <m:sSubSupPr>
                    <m:ctrlPr>
                      <w:rPr>
                        <w:rFonts w:ascii="Cambria Math" w:hAnsi="Cambria Math"/>
                        <w:lang w:val="en-US"/>
                      </w:rPr>
                    </m:ctrlPr>
                  </m:sSubSupPr>
                  <m:e>
                    <m:acc>
                      <m:accPr>
                        <m:chr m:val="‾"/>
                        <m:ctrlPr>
                          <w:rPr>
                            <w:rFonts w:ascii="Cambria Math" w:hAnsi="Cambria Math"/>
                            <w:lang w:val="en-US"/>
                          </w:rPr>
                        </m:ctrlPr>
                      </m:accPr>
                      <m:e>
                        <m:r>
                          <w:rPr>
                            <w:rFonts w:ascii="Cambria Math" w:hAnsi="Cambria Math"/>
                            <w:lang w:val="en-US"/>
                          </w:rPr>
                          <m:t>R</m:t>
                        </m:r>
                      </m:e>
                    </m:acc>
                  </m:e>
                  <m:sub>
                    <m:r>
                      <w:rPr>
                        <w:rFonts w:ascii="Cambria Math" w:hAnsi="Cambria Math"/>
                        <w:lang w:val="en-US"/>
                      </w:rPr>
                      <m:t>H-L</m:t>
                    </m:r>
                  </m:sub>
                  <m:sup>
                    <m:r>
                      <w:rPr>
                        <w:rFonts w:ascii="Cambria Math" w:hAnsi="Cambria Math"/>
                        <w:lang w:val="en-US"/>
                      </w:rPr>
                      <m:t>k</m:t>
                    </m:r>
                  </m:sup>
                </m:sSubSup>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T</m:t>
                    </m:r>
                  </m:den>
                </m:f>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T</m:t>
                    </m:r>
                  </m:sup>
                  <m:e>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H-L,t</m:t>
                        </m:r>
                      </m:sub>
                      <m:sup>
                        <m:r>
                          <w:rPr>
                            <w:rFonts w:ascii="Cambria Math" w:hAnsi="Cambria Math"/>
                            <w:lang w:val="en-US"/>
                          </w:rPr>
                          <m:t>k</m:t>
                        </m:r>
                      </m:sup>
                    </m:sSubSup>
                  </m:e>
                </m:nary>
                <m:r>
                  <m:rPr>
                    <m:sty m:val="p"/>
                  </m:rPr>
                  <w:rPr>
                    <w:rFonts w:ascii="Cambria Math" w:hAnsi="Cambria Math"/>
                    <w:lang w:val="en-US"/>
                  </w:rPr>
                  <m:t>.</m:t>
                </m:r>
              </m:e>
              <m:e/>
              <m:e>
                <m:r>
                  <m:rPr>
                    <m:nor/>
                  </m:rPr>
                  <w:rPr>
                    <w:lang w:val="en-US"/>
                  </w:rPr>
                  <m:t>(1</m:t>
                </m:r>
                <m:r>
                  <m:rPr>
                    <m:nor/>
                  </m:rPr>
                  <w:rPr>
                    <w:lang w:val="en-US" w:eastAsia="zh-CN"/>
                  </w:rPr>
                  <m:t>5</m:t>
                </m:r>
                <m:r>
                  <m:rPr>
                    <m:nor/>
                  </m:rPr>
                  <w:rPr>
                    <w:lang w:val="en-US"/>
                  </w:rPr>
                  <m:t>)</m:t>
                </m:r>
              </m:e>
            </m:mr>
          </m:m>
        </m:oMath>
      </m:oMathPara>
    </w:p>
    <w:p w14:paraId="2CD8E606" w14:textId="04886903" w:rsidR="004353EB" w:rsidRPr="00705903" w:rsidRDefault="0012788E" w:rsidP="0097761F">
      <w:pPr>
        <w:pStyle w:val="NormalWeb"/>
        <w:spacing w:line="360" w:lineRule="auto"/>
        <w:jc w:val="both"/>
        <w:rPr>
          <w:lang w:val="en-US"/>
        </w:rPr>
      </w:pPr>
      <w:r w:rsidRPr="00705903">
        <w:t>As I document in Table 22, firms with stronger social responsibility consistently earn lower subsequent returns.</w:t>
      </w:r>
      <w:r w:rsidRPr="00705903">
        <w:rPr>
          <w:lang w:val="en-US"/>
        </w:rPr>
        <w:t xml:space="preserve"> </w:t>
      </w:r>
      <w:r w:rsidR="004353EB" w:rsidRPr="00705903">
        <w:rPr>
          <w:lang w:val="en-US"/>
        </w:rPr>
        <w:t>Across all specifications—10-decile, 5-decile, and value-weighted sorts—the high–low (H–L) spreads are negative and marginally significant (</w:t>
      </w:r>
      <w:r w:rsidR="004353EB" w:rsidRPr="00705903">
        <w:rPr>
          <w:i/>
          <w:iCs/>
          <w:lang w:val="en-US"/>
        </w:rPr>
        <w:t>t</w:t>
      </w:r>
      <w:r w:rsidR="004353EB" w:rsidRPr="00705903">
        <w:rPr>
          <w:lang w:val="en-US"/>
        </w:rPr>
        <w:t xml:space="preserve"> ≈ –1.8, </w:t>
      </w:r>
      <w:r w:rsidR="004353EB" w:rsidRPr="00705903">
        <w:rPr>
          <w:i/>
          <w:iCs/>
          <w:lang w:val="en-US"/>
        </w:rPr>
        <w:t>p</w:t>
      </w:r>
      <w:r w:rsidR="004353EB" w:rsidRPr="00705903">
        <w:rPr>
          <w:lang w:val="en-US"/>
        </w:rPr>
        <w:t xml:space="preserve"> ≈ 0.09). This implies that investors in high</w:t>
      </w:r>
      <w:r w:rsidR="00355991" w:rsidRPr="00705903">
        <w:rPr>
          <w:lang w:val="en-US" w:eastAsia="zh-CN"/>
        </w:rPr>
        <w:t xml:space="preserve"> Social (S) ratings</w:t>
      </w:r>
      <w:r w:rsidR="004353EB" w:rsidRPr="00705903">
        <w:rPr>
          <w:lang w:val="en-US"/>
        </w:rPr>
        <w:t xml:space="preserve"> firms accept slightly lower financial returns in exchange for exposure to firms with stronger labor, community, and employee-relation practices.</w:t>
      </w:r>
    </w:p>
    <w:p w14:paraId="17FD47BA" w14:textId="0F0845DD" w:rsidR="004353EB" w:rsidRPr="00705903" w:rsidRDefault="004353EB" w:rsidP="0097761F">
      <w:pPr>
        <w:pStyle w:val="NormalWeb"/>
        <w:spacing w:line="360" w:lineRule="auto"/>
        <w:jc w:val="both"/>
        <w:rPr>
          <w:lang w:val="en-US"/>
        </w:rPr>
      </w:pPr>
      <w:r w:rsidRPr="00705903">
        <w:rPr>
          <w:lang w:val="en-US"/>
        </w:rPr>
        <w:t xml:space="preserve">Economically, this pattern is consistent with a mild “social </w:t>
      </w:r>
      <w:r w:rsidR="00B7585F" w:rsidRPr="00705903">
        <w:rPr>
          <w:lang w:val="en-US" w:eastAsia="zh-CN"/>
        </w:rPr>
        <w:t>valuation</w:t>
      </w:r>
      <w:r w:rsidRPr="00705903">
        <w:rPr>
          <w:lang w:val="en-US"/>
        </w:rPr>
        <w:t xml:space="preserve"> premium”, where socially responsible firms command higher valuations but deliver weaker realized performance.</w:t>
      </w:r>
      <w:r w:rsidRPr="00705903">
        <w:rPr>
          <w:lang w:val="en-US"/>
        </w:rPr>
        <w:br/>
        <w:t>This finding aligns with behavioral preference theory, suggesting that Chinese investors may increasingly value perceived corporate virtue—particularly after 2015, when social disclosure became a more visible regulatory and reputational benchmark (Blitz et al., 2021; Pedersen et al., 2021).</w:t>
      </w:r>
    </w:p>
    <w:p w14:paraId="4DF0C0FC" w14:textId="1533B086" w:rsidR="004353EB" w:rsidRPr="00705903" w:rsidRDefault="004353EB" w:rsidP="0097761F">
      <w:pPr>
        <w:pStyle w:val="NormalWeb"/>
        <w:spacing w:line="360" w:lineRule="auto"/>
        <w:jc w:val="both"/>
        <w:rPr>
          <w:lang w:val="en-US"/>
        </w:rPr>
      </w:pPr>
      <w:r w:rsidRPr="00705903">
        <w:rPr>
          <w:lang w:val="en-US"/>
        </w:rPr>
        <w:t xml:space="preserve">In contrast, the Governance (G) pillar exhibits the largest and most statistically robust negative </w:t>
      </w:r>
      <w:r w:rsidR="00B7585F" w:rsidRPr="00705903">
        <w:rPr>
          <w:lang w:val="en-US" w:eastAsia="zh-CN"/>
        </w:rPr>
        <w:t>factor premium</w:t>
      </w:r>
      <w:r w:rsidRPr="00705903">
        <w:rPr>
          <w:lang w:val="en-US"/>
        </w:rPr>
        <w:t>.</w:t>
      </w:r>
      <w:r w:rsidRPr="00705903">
        <w:rPr>
          <w:lang w:val="en-US" w:eastAsia="zh-CN"/>
        </w:rPr>
        <w:t xml:space="preserve"> </w:t>
      </w:r>
      <w:r w:rsidR="0012788E" w:rsidRPr="00705903">
        <w:t>In Table 23, I document that governance-based H–L spreads reach –0.09 under the 10-decile specification (t = –2.73, p = 0.015) and remain significant at the 1 percent level under the 5-decile and daily value-weighted portfolios (t = –3.12, p = 0.002), although the annual value-weighted spread is insignificant.</w:t>
      </w:r>
      <w:r w:rsidR="0012788E" w:rsidRPr="00705903">
        <w:rPr>
          <w:rFonts w:hint="eastAsia"/>
          <w:lang w:eastAsia="zh-CN"/>
        </w:rPr>
        <w:t xml:space="preserve"> </w:t>
      </w:r>
      <w:r w:rsidRPr="00705903">
        <w:rPr>
          <w:lang w:val="en-US"/>
        </w:rPr>
        <w:t xml:space="preserve">These results indicate that firms with superior governance </w:t>
      </w:r>
      <w:r w:rsidR="00B7585F" w:rsidRPr="00705903">
        <w:rPr>
          <w:lang w:val="en-US" w:eastAsia="zh-CN"/>
        </w:rPr>
        <w:t>ratings</w:t>
      </w:r>
      <w:r w:rsidRPr="00705903">
        <w:rPr>
          <w:lang w:val="en-US"/>
        </w:rPr>
        <w:t>—characterized by independent boards, transparent reporting, and low agency conflicts—are priced at a premium ex ante, leading to lower ex-post realized returns.</w:t>
      </w:r>
    </w:p>
    <w:p w14:paraId="282858AB" w14:textId="61743A62" w:rsidR="004353EB" w:rsidRPr="00705903" w:rsidRDefault="004353EB" w:rsidP="0097761F">
      <w:pPr>
        <w:pStyle w:val="NormalWeb"/>
        <w:spacing w:line="360" w:lineRule="auto"/>
        <w:jc w:val="both"/>
        <w:rPr>
          <w:lang w:val="en-US"/>
        </w:rPr>
      </w:pPr>
      <w:r w:rsidRPr="00705903">
        <w:rPr>
          <w:lang w:val="en-US"/>
        </w:rPr>
        <w:t>This “governance premium” interpretation suggests that investors view well-governed firms as safer and are thus willing to accept lower expected returns for reduced idiosyncratic risk.</w:t>
      </w:r>
      <w:r w:rsidRPr="00705903">
        <w:rPr>
          <w:lang w:val="en-US"/>
        </w:rPr>
        <w:br/>
      </w:r>
      <w:r w:rsidR="00B7585F" w:rsidRPr="00705903">
        <w:rPr>
          <w:lang w:val="en-US"/>
        </w:rPr>
        <w:t xml:space="preserve">This “governance valuation premium” mirrors findings in developed markets, where governance characteristics behave like quality traits: reducing risk but compressing excess returns </w:t>
      </w:r>
      <w:r w:rsidRPr="00705903">
        <w:rPr>
          <w:lang w:val="en-US"/>
        </w:rPr>
        <w:t>(Gompers, Ishii, and Metrick, 2003; Core, Guay, and Rusticus, 2006).</w:t>
      </w:r>
    </w:p>
    <w:p w14:paraId="102195F0" w14:textId="1142E954" w:rsidR="00936C8C" w:rsidRPr="00705903" w:rsidRDefault="00936C8C" w:rsidP="0097761F">
      <w:pPr>
        <w:pStyle w:val="NormalWeb"/>
        <w:spacing w:line="360" w:lineRule="auto"/>
        <w:jc w:val="both"/>
      </w:pPr>
      <w:r w:rsidRPr="00705903">
        <w:t>Taken together, the S</w:t>
      </w:r>
      <w:r w:rsidR="00B7585F" w:rsidRPr="00705903">
        <w:rPr>
          <w:lang w:eastAsia="zh-CN"/>
        </w:rPr>
        <w:t>ocial (S)</w:t>
      </w:r>
      <w:r w:rsidRPr="00705903">
        <w:t xml:space="preserve"> and </w:t>
      </w:r>
      <w:r w:rsidR="00B7585F" w:rsidRPr="00705903">
        <w:t>G</w:t>
      </w:r>
      <w:r w:rsidR="00B7585F" w:rsidRPr="00705903">
        <w:rPr>
          <w:lang w:eastAsia="zh-CN"/>
        </w:rPr>
        <w:t>overnance (G)</w:t>
      </w:r>
      <w:r w:rsidRPr="00705903">
        <w:t xml:space="preserve"> dimensions account for most of the negative ESG </w:t>
      </w:r>
      <w:r w:rsidR="00B7585F" w:rsidRPr="00705903">
        <w:rPr>
          <w:lang w:eastAsia="zh-CN"/>
        </w:rPr>
        <w:t>factor</w:t>
      </w:r>
      <w:r w:rsidRPr="00705903">
        <w:t xml:space="preserve"> premium documented earlier (see Table 2</w:t>
      </w:r>
      <w:r w:rsidR="00B35CDC" w:rsidRPr="00705903">
        <w:rPr>
          <w:lang w:eastAsia="zh-CN"/>
        </w:rPr>
        <w:t>2 and Table 23</w:t>
      </w:r>
      <w:r w:rsidRPr="00705903">
        <w:t>). The environmental pillar shows no pricing power, whereas social and governance performance exhibit consistent inverse relations with returns.</w:t>
      </w:r>
      <w:r w:rsidR="00B35CDC" w:rsidRPr="00705903">
        <w:rPr>
          <w:lang w:eastAsia="zh-CN"/>
        </w:rPr>
        <w:t xml:space="preserve"> </w:t>
      </w:r>
      <w:r w:rsidRPr="00705903">
        <w:t xml:space="preserve">In contrast to evidence from developed markets—where strong governance and social performance are often associated with lower risk and slightly higher risk-adjusted returns (e.g., </w:t>
      </w:r>
      <w:proofErr w:type="spellStart"/>
      <w:r w:rsidRPr="00705903">
        <w:t>Derwall</w:t>
      </w:r>
      <w:proofErr w:type="spellEnd"/>
      <w:r w:rsidRPr="00705903">
        <w:t xml:space="preserve"> et al., 2005; Kempf and Osthoff, 2007; Lins, Servaes, and Tamayo, 2017; Gompers, Ishii, and Metrick, 2003; Core, Guay, and Rusticus, 2006)—Chinese firms with superior governance structures or social responsibility appear to trade at valuation </w:t>
      </w:r>
      <w:r w:rsidR="00B7585F" w:rsidRPr="00705903">
        <w:rPr>
          <w:lang w:eastAsia="zh-CN"/>
        </w:rPr>
        <w:t>appreciation</w:t>
      </w:r>
      <w:r w:rsidRPr="00705903">
        <w:t xml:space="preserve"> that translate into lower realized returns.</w:t>
      </w:r>
    </w:p>
    <w:p w14:paraId="79E1B7B9" w14:textId="696DA807" w:rsidR="00810939" w:rsidRPr="00705903" w:rsidRDefault="00936C8C" w:rsidP="0097761F">
      <w:pPr>
        <w:pStyle w:val="NormalWeb"/>
        <w:spacing w:line="360" w:lineRule="auto"/>
        <w:jc w:val="both"/>
        <w:rPr>
          <w:rStyle w:val="Strong"/>
          <w:lang w:val="en-US" w:eastAsia="zh-CN"/>
        </w:rPr>
      </w:pPr>
      <w:r w:rsidRPr="00705903">
        <w:t>These findings underscore the multidimensional and stage-dependent nature of ESG valuation in China’s capital market: social and governance enhancements are rewarded ex ante through higher valuations but penalized ex post in realized performance, reflecting investors’ preference for non-financial virtues over short-term profitability and the early-stage financialization of ESG investing in emerging markets.</w:t>
      </w:r>
      <w:r w:rsidR="009A3FD2" w:rsidRPr="00705903">
        <w:rPr>
          <w:lang w:eastAsia="zh-CN"/>
        </w:rPr>
        <w:t xml:space="preserve"> I next examine whether this negative premium persists after controlling for systematic risk factors.</w:t>
      </w:r>
    </w:p>
    <w:p w14:paraId="191C63F2" w14:textId="77777777" w:rsidR="009510A1" w:rsidRPr="00705903" w:rsidRDefault="009510A1" w:rsidP="0097761F">
      <w:pPr>
        <w:pStyle w:val="NormalWeb"/>
        <w:spacing w:line="360" w:lineRule="auto"/>
        <w:ind w:firstLine="0"/>
        <w:jc w:val="both"/>
        <w:rPr>
          <w:rStyle w:val="Strong"/>
          <w:b w:val="0"/>
          <w:bCs w:val="0"/>
        </w:rPr>
      </w:pPr>
    </w:p>
    <w:p w14:paraId="52B36E7D" w14:textId="217E3BC3" w:rsidR="00B35CDC" w:rsidRPr="00705903" w:rsidRDefault="00B35CDC" w:rsidP="0097761F">
      <w:pPr>
        <w:pStyle w:val="Heading3"/>
      </w:pPr>
      <w:r w:rsidRPr="00705903">
        <w:t>3.</w:t>
      </w:r>
      <w:r w:rsidR="002E16E8" w:rsidRPr="00705903">
        <w:rPr>
          <w:lang w:eastAsia="zh-CN"/>
        </w:rPr>
        <w:t>2</w:t>
      </w:r>
      <w:r w:rsidRPr="00705903">
        <w:t xml:space="preserve">.4 </w:t>
      </w:r>
      <w:r w:rsidR="00E95D91" w:rsidRPr="00705903">
        <w:t>ESG Returns Are Episodic Rather than Systematic Risk Factors</w:t>
      </w:r>
    </w:p>
    <w:p w14:paraId="138B176D" w14:textId="0828C4BB" w:rsidR="00E95D91" w:rsidRPr="00705903" w:rsidRDefault="00E95D91" w:rsidP="0097761F">
      <w:pPr>
        <w:pStyle w:val="NormalWeb"/>
        <w:spacing w:line="360" w:lineRule="auto"/>
        <w:jc w:val="both"/>
      </w:pPr>
      <w:r w:rsidRPr="00705903">
        <w:t xml:space="preserve">Following Equation (7) in Section 2.3.3, I estimate the Fama–French five-factor regressions for the value-weighted High–Low (H–L) </w:t>
      </w:r>
      <w:r w:rsidR="00B7585F" w:rsidRPr="00705903">
        <w:rPr>
          <w:lang w:eastAsia="zh-CN"/>
        </w:rPr>
        <w:t>factor</w:t>
      </w:r>
      <w:r w:rsidRPr="00705903">
        <w:t xml:space="preserve"> of ESG </w:t>
      </w:r>
      <w:r w:rsidR="00B7585F" w:rsidRPr="00705903">
        <w:rPr>
          <w:lang w:eastAsia="zh-CN"/>
        </w:rPr>
        <w:t xml:space="preserve">rating </w:t>
      </w:r>
      <w:r w:rsidRPr="00705903">
        <w:t>and its sub-</w:t>
      </w:r>
      <w:r w:rsidR="00B7585F" w:rsidRPr="00705903">
        <w:rPr>
          <w:lang w:eastAsia="zh-CN"/>
        </w:rPr>
        <w:t>dimensions</w:t>
      </w:r>
      <w:r w:rsidRPr="00705903">
        <w:t>. The intercept term (</w:t>
      </w:r>
      <m:oMath>
        <m:r>
          <w:rPr>
            <w:rFonts w:ascii="Cambria Math" w:hAnsi="Cambria Math"/>
          </w:rPr>
          <m:t>α</m:t>
        </m:r>
      </m:oMath>
      <w:r w:rsidRPr="00705903">
        <w:t>) captures abnormal returns unexplained by systematic risk factors.</w:t>
      </w:r>
    </w:p>
    <w:p w14:paraId="14A9F5FA" w14:textId="77492F20" w:rsidR="00891205" w:rsidRPr="00705903" w:rsidRDefault="0012788E" w:rsidP="0097761F">
      <w:pPr>
        <w:pStyle w:val="NormalWeb"/>
        <w:spacing w:line="360" w:lineRule="auto"/>
        <w:jc w:val="both"/>
        <w:rPr>
          <w:lang w:val="en-US"/>
        </w:rPr>
      </w:pPr>
      <w:r w:rsidRPr="00705903">
        <w:rPr>
          <w:lang w:eastAsia="zh-CN"/>
        </w:rPr>
        <w:t>Across Tables 24–28, I document that ESG-related return premia in China are episodic, sentiment-driven, and lack structural persistence.</w:t>
      </w:r>
      <w:r w:rsidRPr="00705903">
        <w:rPr>
          <w:rFonts w:hint="eastAsia"/>
          <w:lang w:eastAsia="zh-CN"/>
        </w:rPr>
        <w:t xml:space="preserve"> </w:t>
      </w:r>
      <w:r w:rsidR="00891205" w:rsidRPr="00705903">
        <w:rPr>
          <w:lang w:val="en-US"/>
        </w:rPr>
        <w:t xml:space="preserve">Across all three ESG dimensions, High–Low (H–L) portfolios produce negative mean </w:t>
      </w:r>
      <w:r w:rsidR="00554240" w:rsidRPr="00705903">
        <w:rPr>
          <w:lang w:val="en-US" w:eastAsia="zh-CN"/>
        </w:rPr>
        <w:t xml:space="preserve">return </w:t>
      </w:r>
      <w:r w:rsidR="00891205" w:rsidRPr="00705903">
        <w:rPr>
          <w:lang w:val="en-US"/>
        </w:rPr>
        <w:t xml:space="preserve">and </w:t>
      </w:r>
      <w:r w:rsidR="00554240" w:rsidRPr="00705903">
        <w:rPr>
          <w:lang w:val="en-US" w:eastAsia="zh-CN"/>
        </w:rPr>
        <w:t xml:space="preserve">negative </w:t>
      </w:r>
      <w:r w:rsidR="00891205" w:rsidRPr="00705903">
        <w:rPr>
          <w:lang w:val="en-US"/>
        </w:rPr>
        <w:t xml:space="preserve">cumulative returns over 2007–2022, with no evidence of sustained abnormal performance. </w:t>
      </w:r>
      <w:r w:rsidRPr="00705903">
        <w:t xml:space="preserve">I </w:t>
      </w:r>
      <w:r w:rsidRPr="00705903">
        <w:rPr>
          <w:rFonts w:hint="eastAsia"/>
          <w:lang w:eastAsia="zh-CN"/>
        </w:rPr>
        <w:t>investigate</w:t>
      </w:r>
      <w:r w:rsidRPr="00705903">
        <w:t xml:space="preserve"> in Table 25 that the negative Sharpe ratios confirm that, after adjusting for volatility, high-ESG firms underperform their low-ESG counterparts on a risk-adjusted basis.</w:t>
      </w:r>
    </w:p>
    <w:p w14:paraId="1AB7ECF1" w14:textId="216A6063" w:rsidR="00B35CDC" w:rsidRPr="00705903" w:rsidRDefault="00891205" w:rsidP="0097761F">
      <w:pPr>
        <w:pStyle w:val="NormalWeb"/>
        <w:spacing w:line="360" w:lineRule="auto"/>
        <w:jc w:val="both"/>
        <w:rPr>
          <w:lang w:val="en-US"/>
        </w:rPr>
      </w:pPr>
      <w:r w:rsidRPr="00705903">
        <w:t xml:space="preserve">Governance-based portfolios exhibit the largest cumulative loss (−102%) and highest volatility (24.5%), implying that governance signals are highly sensitive to regulatory cycles and investor sentiment. In contrast, the Environmental (E) and Social (S) pillars show moderate volatility yet similarly negative Sharpe ratios, </w:t>
      </w:r>
      <w:r w:rsidR="00B35CDC" w:rsidRPr="00705903">
        <w:rPr>
          <w:lang w:val="en-US"/>
        </w:rPr>
        <w:t>suggesting that any observed ESG premium is short-lived and linked to temporary “green” or “social responsibility” enthusiasm, particularly during 2016–2021 when policy rhetoric on sustainability intensified</w:t>
      </w:r>
      <w:r w:rsidR="00B35CDC" w:rsidRPr="00705903">
        <w:rPr>
          <w:rStyle w:val="FootnoteReference"/>
          <w:lang w:val="en-US"/>
        </w:rPr>
        <w:footnoteReference w:id="22"/>
      </w:r>
      <w:r w:rsidR="00B35CDC" w:rsidRPr="00705903">
        <w:rPr>
          <w:lang w:val="en-US"/>
        </w:rPr>
        <w:t>.</w:t>
      </w:r>
    </w:p>
    <w:p w14:paraId="1D098E0A" w14:textId="20CC552A" w:rsidR="00B35CDC" w:rsidRPr="00705903" w:rsidRDefault="0012788E" w:rsidP="0097761F">
      <w:pPr>
        <w:pStyle w:val="NormalWeb"/>
        <w:spacing w:line="360" w:lineRule="auto"/>
        <w:jc w:val="both"/>
        <w:rPr>
          <w:lang w:val="en-US"/>
        </w:rPr>
      </w:pPr>
      <w:r w:rsidRPr="00705903">
        <w:rPr>
          <w:rFonts w:hint="eastAsia"/>
          <w:lang w:val="en-US" w:eastAsia="zh-CN"/>
        </w:rPr>
        <w:t xml:space="preserve">My </w:t>
      </w:r>
      <w:r w:rsidR="00891205" w:rsidRPr="00705903">
        <w:rPr>
          <w:lang w:val="en-US"/>
        </w:rPr>
        <w:t>analysis</w:t>
      </w:r>
      <w:r w:rsidRPr="00705903">
        <w:rPr>
          <w:rFonts w:hint="eastAsia"/>
          <w:lang w:val="en-US" w:eastAsia="zh-CN"/>
        </w:rPr>
        <w:t xml:space="preserve"> </w:t>
      </w:r>
      <w:r w:rsidRPr="00705903">
        <w:rPr>
          <w:lang w:val="en-US" w:eastAsia="zh-CN"/>
        </w:rPr>
        <w:t>of</w:t>
      </w:r>
      <w:r w:rsidRPr="00705903">
        <w:rPr>
          <w:rFonts w:hint="eastAsia"/>
          <w:lang w:val="en-US" w:eastAsia="zh-CN"/>
        </w:rPr>
        <w:t xml:space="preserve"> turnover</w:t>
      </w:r>
      <w:r w:rsidR="00891205" w:rsidRPr="00705903">
        <w:rPr>
          <w:lang w:val="en-US"/>
        </w:rPr>
        <w:t xml:space="preserve"> in Table 26 further reveals that ESG </w:t>
      </w:r>
      <w:proofErr w:type="gramStart"/>
      <w:r w:rsidR="00891205" w:rsidRPr="00705903">
        <w:rPr>
          <w:lang w:val="en-US"/>
        </w:rPr>
        <w:t>portfolios—</w:t>
      </w:r>
      <w:proofErr w:type="gramEnd"/>
      <w:r w:rsidR="00891205" w:rsidRPr="00705903">
        <w:rPr>
          <w:lang w:val="en-US"/>
        </w:rPr>
        <w:t xml:space="preserve">especially those based on </w:t>
      </w:r>
      <w:r w:rsidRPr="00705903">
        <w:rPr>
          <w:lang w:val="en-US"/>
        </w:rPr>
        <w:t xml:space="preserve">governance, </w:t>
      </w:r>
      <w:r w:rsidR="00891205" w:rsidRPr="00705903">
        <w:rPr>
          <w:lang w:val="en-US"/>
        </w:rPr>
        <w:t>require frequent rebalancing, with annual turnover often approaching or exceeding 1.0 on average. Such high rebalancing intensity indicates unstable firm rankings and rapidly shifting investor expectations, both of which constrain the implement</w:t>
      </w:r>
      <w:r w:rsidR="00891205" w:rsidRPr="00705903">
        <w:rPr>
          <w:lang w:val="en-US" w:eastAsia="zh-CN"/>
        </w:rPr>
        <w:t>-</w:t>
      </w:r>
      <w:r w:rsidR="00891205" w:rsidRPr="00705903">
        <w:rPr>
          <w:lang w:val="en-US"/>
        </w:rPr>
        <w:t>ability of ESG-based long–short strategies and contribute to performance erosion through transaction</w:t>
      </w:r>
      <w:r w:rsidR="00B35CDC" w:rsidRPr="00705903">
        <w:rPr>
          <w:lang w:val="en-US"/>
        </w:rPr>
        <w:t xml:space="preserve"> costs.</w:t>
      </w:r>
      <w:r w:rsidR="00B35CDC" w:rsidRPr="00705903">
        <w:rPr>
          <w:rStyle w:val="FootnoteReference"/>
          <w:lang w:val="en-US"/>
        </w:rPr>
        <w:footnoteReference w:id="23"/>
      </w:r>
    </w:p>
    <w:p w14:paraId="129AE579" w14:textId="35A563AF" w:rsidR="00B35CDC" w:rsidRPr="00705903" w:rsidRDefault="00B35CDC" w:rsidP="0097761F">
      <w:pPr>
        <w:pStyle w:val="NormalWeb"/>
        <w:spacing w:line="360" w:lineRule="auto"/>
        <w:jc w:val="both"/>
        <w:rPr>
          <w:lang w:val="en-US"/>
        </w:rPr>
      </w:pPr>
      <w:r w:rsidRPr="00705903">
        <w:rPr>
          <w:lang w:val="en-US"/>
        </w:rPr>
        <w:t>Results from the Fama–French five-factor regressions (Table 27) reinforce these observations. None of the ESG-related factors yield statistically significant alphas, suggesting no independent pricing power after controlling for market, size, value, profitability, and investment factors. Instead, ESG returns are largely explained by exposures to the RMW (profitability) and CMA (investment) factors, consistent with the notion that ESG performance proxies for firm quality and capital intensity rather than a distinct risk source.</w:t>
      </w:r>
      <w:r w:rsidRPr="00705903">
        <w:rPr>
          <w:rStyle w:val="FootnoteReference"/>
          <w:lang w:val="en-US"/>
        </w:rPr>
        <w:footnoteReference w:id="24"/>
      </w:r>
    </w:p>
    <w:p w14:paraId="4A98241C" w14:textId="0FFCBC0A" w:rsidR="00F70AFF" w:rsidRPr="00705903" w:rsidRDefault="00B35CDC" w:rsidP="0097761F">
      <w:pPr>
        <w:pStyle w:val="NormalWeb"/>
        <w:spacing w:line="360" w:lineRule="auto"/>
        <w:jc w:val="both"/>
        <w:rPr>
          <w:lang w:val="en-US"/>
        </w:rPr>
      </w:pPr>
      <w:r w:rsidRPr="00705903">
        <w:rPr>
          <w:lang w:val="en-US"/>
        </w:rPr>
        <w:t>Taken together, these findings suggest that ESG factors in China behave more as dynamic sentiment exposures than as priced risk factors. Their return patterns are episodic, responding strongly to policy signals, media attention, and investor mood, rather than to systematic risk compensation. In this sense, ESG integration in the Chinese capital market remains in a transitional stage of financialization, where sustainability attributes influence valuations but have yet to produce consistent, risk-adjusted performance premia.</w:t>
      </w:r>
      <w:r w:rsidRPr="00705903">
        <w:rPr>
          <w:rStyle w:val="FootnoteReference"/>
          <w:lang w:val="en-US"/>
        </w:rPr>
        <w:footnoteReference w:id="25"/>
      </w:r>
    </w:p>
    <w:p w14:paraId="370A05DE" w14:textId="605D3260" w:rsidR="00AC3144" w:rsidRPr="00705903" w:rsidRDefault="004C0EF5" w:rsidP="0097761F">
      <w:pPr>
        <w:pStyle w:val="NormalWeb"/>
        <w:spacing w:line="360" w:lineRule="auto"/>
        <w:jc w:val="both"/>
      </w:pPr>
      <w:r w:rsidRPr="00705903">
        <w:t>While Section 3.2 establishes the unconditional pricing patterns of ESG and it</w:t>
      </w:r>
      <w:r w:rsidR="009F02C0" w:rsidRPr="00705903">
        <w:rPr>
          <w:lang w:eastAsia="zh-CN"/>
        </w:rPr>
        <w:t xml:space="preserve">s </w:t>
      </w:r>
      <w:r w:rsidRPr="00705903">
        <w:t xml:space="preserve">E/S/G </w:t>
      </w:r>
      <w:r w:rsidR="009F02C0" w:rsidRPr="00705903">
        <w:rPr>
          <w:lang w:eastAsia="zh-CN"/>
        </w:rPr>
        <w:t>dimensions</w:t>
      </w:r>
      <w:r w:rsidRPr="00705903">
        <w:t>, these results do not reveal which pillar carries the strongest cross-sectional predictive power. Because the aggregate ESG premium is primarily driven by the underlying pillars, Section 3.3 isolates the relative contributions of E, S, and G to evaluate H2—namely, whether governance dominates ESG pricing in China.</w:t>
      </w:r>
    </w:p>
    <w:p w14:paraId="2290EA0B" w14:textId="7CE25A64" w:rsidR="009A3FD2" w:rsidRPr="00705903" w:rsidRDefault="009A3FD2" w:rsidP="0097761F">
      <w:pPr>
        <w:pStyle w:val="NormalWeb"/>
        <w:spacing w:line="360" w:lineRule="auto"/>
        <w:jc w:val="both"/>
      </w:pPr>
      <w:r w:rsidRPr="00705903">
        <w:t>Economically, the dominance of governance reflects its central role in China’s regulatory and financing environment. Governance scores embed information about board independence, internal controls, related-party transaction transparency, and audit rigor—attributes that directly mitigate information asymmetry in a market where disclosure practices remain heterogeneous. These characteristics are particularly valuable in China’s bank-</w:t>
      </w:r>
      <w:proofErr w:type="spellStart"/>
      <w:r w:rsidRPr="00705903">
        <w:t>centered</w:t>
      </w:r>
      <w:proofErr w:type="spellEnd"/>
      <w:r w:rsidRPr="00705903">
        <w:t xml:space="preserve"> financial system, where lending decisions and credit access depend heavily on perceived governance quality. As a result, well-governed firms attract stronger policy endorsement and lower financing costs, leading investors to bid up their valuations ex ante, which in turn produces lower realized returns ex post.</w:t>
      </w:r>
    </w:p>
    <w:p w14:paraId="0010B6F0" w14:textId="77777777" w:rsidR="004C0EF5" w:rsidRPr="00705903" w:rsidRDefault="004C0EF5" w:rsidP="0097761F">
      <w:pPr>
        <w:pStyle w:val="NormalWeb"/>
        <w:spacing w:line="360" w:lineRule="auto"/>
        <w:ind w:firstLine="0"/>
        <w:jc w:val="both"/>
        <w:rPr>
          <w:lang w:val="en-US"/>
        </w:rPr>
      </w:pPr>
    </w:p>
    <w:p w14:paraId="78364A29" w14:textId="5790895B" w:rsidR="00AC3144" w:rsidRPr="00705903" w:rsidRDefault="00AC3144" w:rsidP="0097761F">
      <w:pPr>
        <w:pStyle w:val="Heading2"/>
      </w:pPr>
      <w:r w:rsidRPr="00705903">
        <w:t>3.</w:t>
      </w:r>
      <w:r w:rsidR="002E16E8" w:rsidRPr="00705903">
        <w:t>3</w:t>
      </w:r>
      <w:r w:rsidRPr="00705903">
        <w:t xml:space="preserve"> Governance Dominance in ESG Pricing</w:t>
      </w:r>
    </w:p>
    <w:p w14:paraId="28E918DD" w14:textId="0E472CB2" w:rsidR="00AC3144" w:rsidRPr="00705903" w:rsidRDefault="00AC3144" w:rsidP="0097761F">
      <w:pPr>
        <w:pStyle w:val="Heading3"/>
      </w:pPr>
      <w:r w:rsidRPr="00705903">
        <w:t>3.</w:t>
      </w:r>
      <w:r w:rsidR="002E16E8" w:rsidRPr="00705903">
        <w:rPr>
          <w:lang w:eastAsia="zh-CN"/>
        </w:rPr>
        <w:t>3</w:t>
      </w:r>
      <w:r w:rsidRPr="00705903">
        <w:t>.1 Governance-Based Portfolios Generate the Largest Negative Return Differentials</w:t>
      </w:r>
    </w:p>
    <w:p w14:paraId="06079096" w14:textId="1BA352C9" w:rsidR="003B720D" w:rsidRPr="00705903" w:rsidRDefault="003B720D" w:rsidP="0097761F">
      <w:pPr>
        <w:pStyle w:val="NormalWeb"/>
        <w:spacing w:line="360" w:lineRule="auto"/>
        <w:ind w:firstLine="720"/>
        <w:jc w:val="both"/>
        <w:rPr>
          <w:lang w:val="en-US" w:eastAsia="zh-CN"/>
        </w:rPr>
      </w:pPr>
      <w:r w:rsidRPr="00705903">
        <w:rPr>
          <w:lang w:val="en-US"/>
        </w:rPr>
        <w:t>Governance consistently generates the strongest return differentials among the three ESG pillars.</w:t>
      </w:r>
      <w:r w:rsidRPr="00705903">
        <w:rPr>
          <w:lang w:val="en-US" w:eastAsia="zh-CN"/>
        </w:rPr>
        <w:t xml:space="preserve"> </w:t>
      </w:r>
      <w:r w:rsidRPr="00705903">
        <w:rPr>
          <w:lang w:val="en-US"/>
        </w:rPr>
        <w:t xml:space="preserve">Decile- and quintile-sorted portfolios (Table 23) show that the governance High–Low (H–L) spread reaches −0.09, with a t-statistic of −2.73, making it substantially larger in magnitude and significance than that of the </w:t>
      </w:r>
      <w:proofErr w:type="gramStart"/>
      <w:r w:rsidRPr="00705903">
        <w:rPr>
          <w:lang w:val="en-US"/>
        </w:rPr>
        <w:t>Social</w:t>
      </w:r>
      <w:proofErr w:type="gramEnd"/>
      <w:r w:rsidRPr="00705903">
        <w:rPr>
          <w:lang w:val="en-US"/>
        </w:rPr>
        <w:t xml:space="preserve"> pillar and clearly outperforming the environmentally sorted portfolios, which yield no significant premia across any specification.</w:t>
      </w:r>
    </w:p>
    <w:p w14:paraId="70186E13" w14:textId="2D1BCC81" w:rsidR="003B720D" w:rsidRPr="00705903" w:rsidRDefault="003B720D" w:rsidP="0097761F">
      <w:pPr>
        <w:pStyle w:val="NormalWeb"/>
        <w:spacing w:line="360" w:lineRule="auto"/>
        <w:ind w:firstLine="720"/>
        <w:jc w:val="both"/>
        <w:rPr>
          <w:lang w:val="en-US"/>
        </w:rPr>
      </w:pPr>
      <w:r w:rsidRPr="00705903">
        <w:rPr>
          <w:lang w:val="en-US"/>
        </w:rPr>
        <w:t xml:space="preserve">Value-weighted and </w:t>
      </w:r>
      <w:proofErr w:type="gramStart"/>
      <w:r w:rsidRPr="00705903">
        <w:rPr>
          <w:lang w:val="en-US"/>
        </w:rPr>
        <w:t>daily-based</w:t>
      </w:r>
      <w:proofErr w:type="gramEnd"/>
      <w:r w:rsidRPr="00705903">
        <w:rPr>
          <w:lang w:val="en-US"/>
        </w:rPr>
        <w:t xml:space="preserve"> constructions confirm the same pattern. High-governance firms—those with more independent boards, stronger disclosure discipline, and lower agency frictions—consistently trade at valuation premiums. As a result, their realized returns are systematically lower, producing highly persistent and statistically robust negative H–L spreads.</w:t>
      </w:r>
    </w:p>
    <w:p w14:paraId="22A854F6" w14:textId="56EE93E9" w:rsidR="00AC3144" w:rsidRPr="00705903" w:rsidRDefault="003B720D" w:rsidP="0097761F">
      <w:pPr>
        <w:pStyle w:val="NormalWeb"/>
        <w:spacing w:line="360" w:lineRule="auto"/>
        <w:ind w:firstLine="720"/>
        <w:jc w:val="both"/>
        <w:rPr>
          <w:lang w:val="en-US" w:eastAsia="zh-CN"/>
        </w:rPr>
      </w:pPr>
      <w:r w:rsidRPr="00705903">
        <w:rPr>
          <w:lang w:val="en-US"/>
        </w:rPr>
        <w:t>This behavior parallels the “governance premium” documented in U.S. and European markets, but the effect is magnified in China. Because governance quality is closely monitored by regulators and often tied to state-ownership discipline, governance scores carry more institutional content than E or S metrics. This structural role makes governance the most powerful cross-sectional return driver among ESG components.</w:t>
      </w:r>
      <w:r w:rsidR="009A3FD2" w:rsidRPr="00705903">
        <w:rPr>
          <w:lang w:val="en-US" w:eastAsia="zh-CN"/>
        </w:rPr>
        <w:t xml:space="preserve"> I next examine whether this dominance also appears in standard asset-pricing factor exposures.</w:t>
      </w:r>
    </w:p>
    <w:p w14:paraId="6C9F0F53" w14:textId="77777777" w:rsidR="003B720D" w:rsidRPr="00705903" w:rsidRDefault="003B720D" w:rsidP="0097761F">
      <w:pPr>
        <w:pStyle w:val="NormalWeb"/>
        <w:spacing w:line="360" w:lineRule="auto"/>
        <w:ind w:firstLine="0"/>
        <w:jc w:val="both"/>
        <w:rPr>
          <w:lang w:val="en-US"/>
        </w:rPr>
      </w:pPr>
    </w:p>
    <w:p w14:paraId="59C0CECE" w14:textId="0CD1642F" w:rsidR="00AC3144" w:rsidRPr="00705903" w:rsidRDefault="00AC3144" w:rsidP="0097761F">
      <w:pPr>
        <w:pStyle w:val="Heading3"/>
        <w:numPr>
          <w:ilvl w:val="2"/>
          <w:numId w:val="33"/>
        </w:numPr>
      </w:pPr>
      <w:r w:rsidRPr="00705903">
        <w:t>Governance Shows the Strongest Sensitivity to Standard Asset-Pricing Factors</w:t>
      </w:r>
    </w:p>
    <w:p w14:paraId="2ECBDE74" w14:textId="4491D971" w:rsidR="003B720D" w:rsidRPr="00705903" w:rsidRDefault="003B720D" w:rsidP="0097761F">
      <w:pPr>
        <w:pStyle w:val="NormalWeb"/>
        <w:spacing w:line="360" w:lineRule="auto"/>
        <w:jc w:val="both"/>
        <w:rPr>
          <w:lang w:val="en-US"/>
        </w:rPr>
      </w:pPr>
      <w:r w:rsidRPr="00705903">
        <w:rPr>
          <w:lang w:val="en-US"/>
        </w:rPr>
        <w:t>Fama–French regressions (Table 27) further reinforce governance’s dominance. The G-sorted factor exhibits</w:t>
      </w:r>
      <w:r w:rsidRPr="00705903">
        <w:rPr>
          <w:lang w:val="en-US" w:eastAsia="zh-CN"/>
        </w:rPr>
        <w:t xml:space="preserve"> </w:t>
      </w:r>
      <w:r w:rsidRPr="00705903">
        <w:rPr>
          <w:lang w:val="en-US"/>
        </w:rPr>
        <w:t>the highest R² values,</w:t>
      </w:r>
      <w:r w:rsidRPr="00705903">
        <w:rPr>
          <w:lang w:val="en-US" w:eastAsia="zh-CN"/>
        </w:rPr>
        <w:t xml:space="preserve"> </w:t>
      </w:r>
      <w:r w:rsidRPr="00705903">
        <w:rPr>
          <w:lang w:val="en-US"/>
        </w:rPr>
        <w:t>the strongest loadings on profitability (RMW) and investment (CMA), and</w:t>
      </w:r>
      <w:r w:rsidRPr="00705903">
        <w:rPr>
          <w:lang w:val="en-US" w:eastAsia="zh-CN"/>
        </w:rPr>
        <w:t xml:space="preserve"> </w:t>
      </w:r>
      <w:r w:rsidRPr="00705903">
        <w:rPr>
          <w:lang w:val="en-US"/>
        </w:rPr>
        <w:t>more stable exposures across subsamples than its E and S counterparts.</w:t>
      </w:r>
    </w:p>
    <w:p w14:paraId="5E21C92D" w14:textId="77777777" w:rsidR="003B720D" w:rsidRPr="00705903" w:rsidRDefault="003B720D" w:rsidP="0097761F">
      <w:pPr>
        <w:pStyle w:val="NormalWeb"/>
        <w:spacing w:line="360" w:lineRule="auto"/>
        <w:jc w:val="both"/>
        <w:rPr>
          <w:lang w:val="en-US"/>
        </w:rPr>
      </w:pPr>
      <w:r w:rsidRPr="00705903">
        <w:rPr>
          <w:lang w:val="en-US"/>
        </w:rPr>
        <w:t xml:space="preserve">These patterns indicate that governance proxies for fundamental firm </w:t>
      </w:r>
      <w:proofErr w:type="gramStart"/>
      <w:r w:rsidRPr="00705903">
        <w:rPr>
          <w:lang w:val="en-US"/>
        </w:rPr>
        <w:t>characteristics—</w:t>
      </w:r>
      <w:proofErr w:type="gramEnd"/>
      <w:r w:rsidRPr="00705903">
        <w:rPr>
          <w:lang w:val="en-US"/>
        </w:rPr>
        <w:t>capital intensity, operational discipline, and debt capacity—that directly shape risk and valuation dynamics. The negative and frequently significant alpha associated with the governance H–L portfolio reflects the pricing of “quality-like” traits already embedded in market valuations.</w:t>
      </w:r>
    </w:p>
    <w:p w14:paraId="71624380" w14:textId="219E2FB1" w:rsidR="003B720D" w:rsidRPr="00705903" w:rsidRDefault="003B720D" w:rsidP="0097761F">
      <w:pPr>
        <w:pStyle w:val="NormalWeb"/>
        <w:spacing w:line="360" w:lineRule="auto"/>
        <w:jc w:val="both"/>
        <w:rPr>
          <w:lang w:val="en-US" w:eastAsia="zh-CN"/>
        </w:rPr>
      </w:pPr>
      <w:r w:rsidRPr="00705903">
        <w:rPr>
          <w:lang w:val="en-US"/>
        </w:rPr>
        <w:t>In the Chinese setting, these exposures are amplified by regulatory governance oversight, the influence of state ownership, and governance’s role in credit allocation. These institutional channels strengthen governance’s explanatory power relative to the environmental and social pillars.</w:t>
      </w:r>
      <w:r w:rsidR="009A3FD2" w:rsidRPr="00705903">
        <w:rPr>
          <w:lang w:val="en-US" w:eastAsia="zh-CN"/>
        </w:rPr>
        <w:t xml:space="preserve"> This motivates analyzing how governance behaves under shifting policy regimes and macroeconomic conditions.</w:t>
      </w:r>
    </w:p>
    <w:p w14:paraId="4B0ADEFB" w14:textId="77777777" w:rsidR="003B720D" w:rsidRPr="00705903" w:rsidRDefault="003B720D" w:rsidP="0097761F">
      <w:pPr>
        <w:pStyle w:val="NormalWeb"/>
        <w:spacing w:line="360" w:lineRule="auto"/>
        <w:ind w:firstLine="0"/>
        <w:jc w:val="both"/>
        <w:rPr>
          <w:lang w:val="en-US"/>
        </w:rPr>
      </w:pPr>
    </w:p>
    <w:p w14:paraId="4B2B7190" w14:textId="365A6263" w:rsidR="00AC3144" w:rsidRPr="00705903" w:rsidRDefault="00AC3144" w:rsidP="0097761F">
      <w:pPr>
        <w:pStyle w:val="Heading3"/>
      </w:pPr>
      <w:r w:rsidRPr="00705903">
        <w:t>3.</w:t>
      </w:r>
      <w:r w:rsidR="002E16E8" w:rsidRPr="00705903">
        <w:rPr>
          <w:lang w:eastAsia="zh-CN"/>
        </w:rPr>
        <w:t>3</w:t>
      </w:r>
      <w:r w:rsidRPr="00705903">
        <w:t>.3 Governance Performance Is Episodic and Highly Sensitive to Policy Cycles</w:t>
      </w:r>
    </w:p>
    <w:p w14:paraId="471978D1" w14:textId="1040331A" w:rsidR="003B720D" w:rsidRPr="00705903" w:rsidRDefault="003B720D" w:rsidP="0097761F">
      <w:pPr>
        <w:pStyle w:val="NormalWeb"/>
        <w:spacing w:line="360" w:lineRule="auto"/>
        <w:ind w:firstLine="720"/>
        <w:jc w:val="both"/>
        <w:rPr>
          <w:lang w:val="en-US"/>
        </w:rPr>
      </w:pPr>
      <w:r w:rsidRPr="00705903">
        <w:rPr>
          <w:lang w:val="en-US"/>
        </w:rPr>
        <w:t xml:space="preserve">Dynamic segmentation of the sample reveals that </w:t>
      </w:r>
      <w:r w:rsidR="009F02C0" w:rsidRPr="00705903">
        <w:rPr>
          <w:lang w:val="en-US" w:eastAsia="zh-CN"/>
        </w:rPr>
        <w:t>Governance (G) factor</w:t>
      </w:r>
      <w:r w:rsidRPr="00705903">
        <w:rPr>
          <w:lang w:val="en-US"/>
        </w:rPr>
        <w:t xml:space="preserve"> </w:t>
      </w:r>
      <w:r w:rsidR="009F02C0" w:rsidRPr="00705903">
        <w:rPr>
          <w:lang w:val="en-US"/>
        </w:rPr>
        <w:t>is</w:t>
      </w:r>
      <w:r w:rsidRPr="00705903">
        <w:rPr>
          <w:lang w:val="en-US"/>
        </w:rPr>
        <w:t xml:space="preserve"> not only stronger on average, but more sensitive to policy cycles and macro shocks than </w:t>
      </w:r>
      <w:r w:rsidR="009F02C0" w:rsidRPr="00705903">
        <w:rPr>
          <w:lang w:val="en-US"/>
        </w:rPr>
        <w:t>E</w:t>
      </w:r>
      <w:r w:rsidR="009F02C0" w:rsidRPr="00705903">
        <w:rPr>
          <w:lang w:val="en-US" w:eastAsia="zh-CN"/>
        </w:rPr>
        <w:t>nvironmental (E)</w:t>
      </w:r>
      <w:r w:rsidRPr="00705903">
        <w:rPr>
          <w:lang w:val="en-US"/>
        </w:rPr>
        <w:t xml:space="preserve"> </w:t>
      </w:r>
      <w:r w:rsidR="009F02C0" w:rsidRPr="00705903">
        <w:rPr>
          <w:lang w:val="en-US" w:eastAsia="zh-CN"/>
        </w:rPr>
        <w:t xml:space="preserve">factor </w:t>
      </w:r>
      <w:r w:rsidRPr="00705903">
        <w:rPr>
          <w:lang w:val="en-US"/>
        </w:rPr>
        <w:t>or S</w:t>
      </w:r>
      <w:r w:rsidR="009F02C0" w:rsidRPr="00705903">
        <w:rPr>
          <w:lang w:val="en-US" w:eastAsia="zh-CN"/>
        </w:rPr>
        <w:t>ocial (S) factor</w:t>
      </w:r>
      <w:r w:rsidRPr="00705903">
        <w:rPr>
          <w:lang w:val="en-US"/>
        </w:rPr>
        <w:t>.</w:t>
      </w:r>
    </w:p>
    <w:p w14:paraId="6E171D0E" w14:textId="71B4671C" w:rsidR="00AC3144" w:rsidRPr="00705903" w:rsidRDefault="00253789" w:rsidP="0097761F">
      <w:pPr>
        <w:pStyle w:val="NormalWeb"/>
        <w:spacing w:line="360" w:lineRule="auto"/>
        <w:ind w:firstLine="720"/>
        <w:jc w:val="both"/>
        <w:rPr>
          <w:lang w:val="en-US"/>
        </w:rPr>
      </w:pPr>
      <w:r w:rsidRPr="00705903">
        <w:rPr>
          <w:lang w:val="en-US"/>
        </w:rPr>
        <w:t>I investigate in Table 29 how the governance factor behaves across all COVID-19 phases—outbreak, containment, recovery, and reopening—and find that it exhibits consistently negative and statistically significant alphas.</w:t>
      </w:r>
      <w:r w:rsidRPr="00705903">
        <w:rPr>
          <w:rFonts w:hint="eastAsia"/>
          <w:lang w:val="en-US" w:eastAsia="zh-CN"/>
        </w:rPr>
        <w:t xml:space="preserve"> </w:t>
      </w:r>
      <w:r w:rsidR="003B720D" w:rsidRPr="00705903">
        <w:rPr>
          <w:lang w:val="en-US"/>
        </w:rPr>
        <w:t>Unlike the Social</w:t>
      </w:r>
      <w:r w:rsidR="009F02C0" w:rsidRPr="00705903">
        <w:rPr>
          <w:lang w:val="en-US" w:eastAsia="zh-CN"/>
        </w:rPr>
        <w:t xml:space="preserve"> (S)</w:t>
      </w:r>
      <w:r w:rsidR="003B720D" w:rsidRPr="00705903">
        <w:rPr>
          <w:lang w:val="en-US"/>
        </w:rPr>
        <w:t xml:space="preserve"> </w:t>
      </w:r>
      <w:r w:rsidR="009F02C0" w:rsidRPr="00705903">
        <w:rPr>
          <w:lang w:val="en-US" w:eastAsia="zh-CN"/>
        </w:rPr>
        <w:t>dimension</w:t>
      </w:r>
      <w:r w:rsidR="003B720D" w:rsidRPr="00705903">
        <w:rPr>
          <w:lang w:val="en-US"/>
        </w:rPr>
        <w:t xml:space="preserve">, which temporarily generates positive alpha during the initial outbreak, governance never produces positive abnormal returns. This </w:t>
      </w:r>
      <w:proofErr w:type="gramStart"/>
      <w:r w:rsidR="003B720D" w:rsidRPr="00705903">
        <w:rPr>
          <w:lang w:val="en-US"/>
        </w:rPr>
        <w:t>asymmetry</w:t>
      </w:r>
      <w:proofErr w:type="gramEnd"/>
      <w:r w:rsidR="003B720D" w:rsidRPr="00705903">
        <w:rPr>
          <w:lang w:val="en-US"/>
        </w:rPr>
        <w:t xml:space="preserve"> suggests that governance-heavy firms face structural rigidity: stricter compliance requirements, slower decision cycles, and less operational flexibility.</w:t>
      </w:r>
      <w:r w:rsidR="002E16E8" w:rsidRPr="00705903">
        <w:rPr>
          <w:lang w:val="en-US" w:eastAsia="zh-CN"/>
        </w:rPr>
        <w:t xml:space="preserve"> </w:t>
      </w:r>
      <w:r w:rsidR="003B720D" w:rsidRPr="00705903">
        <w:rPr>
          <w:lang w:val="en-US"/>
        </w:rPr>
        <w:t xml:space="preserve">These features reduce adaptability under crisis conditions, causing governance portfolios to systematically </w:t>
      </w:r>
      <w:r w:rsidR="009F02C0" w:rsidRPr="00705903">
        <w:rPr>
          <w:lang w:val="en-US"/>
        </w:rPr>
        <w:t xml:space="preserve">underperform </w:t>
      </w:r>
      <w:r w:rsidR="003B720D" w:rsidRPr="00705903">
        <w:rPr>
          <w:lang w:val="en-US"/>
        </w:rPr>
        <w:t>during periods of heightened uncertainty.</w:t>
      </w:r>
    </w:p>
    <w:p w14:paraId="02FF4F82" w14:textId="7F9A2A0D" w:rsidR="002E16E8" w:rsidRPr="00705903" w:rsidRDefault="002E16E8" w:rsidP="0097761F">
      <w:pPr>
        <w:pStyle w:val="NormalWeb"/>
        <w:spacing w:line="360" w:lineRule="auto"/>
        <w:ind w:firstLine="720"/>
        <w:jc w:val="both"/>
        <w:rPr>
          <w:lang w:val="en-US" w:eastAsia="zh-CN"/>
        </w:rPr>
      </w:pPr>
      <w:r w:rsidRPr="00705903">
        <w:t xml:space="preserve">The results in Section 3.3 show that governance generates the strongest and most persistent pricing effects among the three pillars. However, these governance-driven premia are not constant over time and appear highly sensitive to institutional conditions. Section 3.4 therefore tests H3 by </w:t>
      </w:r>
      <w:r w:rsidR="009F02C0" w:rsidRPr="00705903">
        <w:t>analysing</w:t>
      </w:r>
      <w:r w:rsidRPr="00705903">
        <w:t xml:space="preserve"> the state-contingency of ESG returns across major policy cycles, pandemic shocks, and real-estate credit regimes.</w:t>
      </w:r>
      <w:r w:rsidR="009A3FD2" w:rsidRPr="00705903">
        <w:rPr>
          <w:lang w:eastAsia="zh-CN"/>
        </w:rPr>
        <w:t xml:space="preserve"> Accordingly, I extend the analysis to evaluate how ESG returns adjust across policy cycles and macroeconomic regimes.</w:t>
      </w:r>
    </w:p>
    <w:p w14:paraId="59752237" w14:textId="77777777" w:rsidR="003B720D" w:rsidRPr="00705903" w:rsidRDefault="003B720D" w:rsidP="0097761F">
      <w:pPr>
        <w:pStyle w:val="NormalWeb"/>
        <w:spacing w:line="360" w:lineRule="auto"/>
        <w:ind w:firstLine="0"/>
        <w:jc w:val="both"/>
        <w:rPr>
          <w:lang w:val="en-US"/>
        </w:rPr>
      </w:pPr>
    </w:p>
    <w:p w14:paraId="6310EC23" w14:textId="1337F006" w:rsidR="006E5478" w:rsidRPr="00705903" w:rsidRDefault="006E5478" w:rsidP="0097761F">
      <w:pPr>
        <w:pStyle w:val="Heading2"/>
        <w:rPr>
          <w:rStyle w:val="Strong"/>
          <w:b/>
          <w:bCs/>
        </w:rPr>
      </w:pPr>
      <w:r w:rsidRPr="00705903">
        <w:rPr>
          <w:rStyle w:val="Strong"/>
          <w:b/>
          <w:bCs/>
        </w:rPr>
        <w:t>3.</w:t>
      </w:r>
      <w:r w:rsidR="002E16E8" w:rsidRPr="00705903">
        <w:rPr>
          <w:rStyle w:val="Strong"/>
          <w:b/>
          <w:bCs/>
        </w:rPr>
        <w:t>4</w:t>
      </w:r>
      <w:r w:rsidRPr="00705903">
        <w:rPr>
          <w:rStyle w:val="Strong"/>
          <w:b/>
          <w:bCs/>
        </w:rPr>
        <w:t xml:space="preserve"> </w:t>
      </w:r>
      <w:r w:rsidRPr="00705903">
        <w:t>ESG Factor Dynamics Across Policy and Market Regimes</w:t>
      </w:r>
    </w:p>
    <w:p w14:paraId="1B3FEBA2" w14:textId="66F6630E" w:rsidR="006E5478" w:rsidRPr="00705903" w:rsidRDefault="006E5478" w:rsidP="0097761F">
      <w:pPr>
        <w:pStyle w:val="Heading3"/>
        <w:rPr>
          <w:rStyle w:val="Strong"/>
          <w:b w:val="0"/>
          <w:bCs w:val="0"/>
          <w:lang w:eastAsia="zh-CN"/>
        </w:rPr>
      </w:pPr>
      <w:r w:rsidRPr="00705903">
        <w:rPr>
          <w:lang w:eastAsia="zh-CN"/>
        </w:rPr>
        <w:t>3.</w:t>
      </w:r>
      <w:r w:rsidR="002E16E8" w:rsidRPr="00705903">
        <w:rPr>
          <w:lang w:eastAsia="zh-CN"/>
        </w:rPr>
        <w:t>4</w:t>
      </w:r>
      <w:r w:rsidRPr="00705903">
        <w:rPr>
          <w:lang w:eastAsia="zh-CN"/>
        </w:rPr>
        <w:t>.1 Dynamic ESG Performance Framework: Motivation and Design</w:t>
      </w:r>
    </w:p>
    <w:p w14:paraId="7E3F756C" w14:textId="77777777" w:rsidR="006E5478" w:rsidRPr="00705903" w:rsidRDefault="006E5478" w:rsidP="0097761F">
      <w:pPr>
        <w:pStyle w:val="NormalWeb"/>
        <w:spacing w:line="360" w:lineRule="auto"/>
        <w:jc w:val="both"/>
        <w:rPr>
          <w:lang w:val="en-US"/>
        </w:rPr>
      </w:pPr>
      <w:r w:rsidRPr="00705903">
        <w:rPr>
          <w:lang w:val="en-US"/>
        </w:rPr>
        <w:t>This section introduces a dynamic framework to investigate whether the pricing of ESG factors in China is time-varying and policy-sensitive, rather than structurally persistent.</w:t>
      </w:r>
      <w:r w:rsidRPr="00705903">
        <w:rPr>
          <w:lang w:val="en-US"/>
        </w:rPr>
        <w:br/>
        <w:t>The static portfolio and regression results in Section 3.</w:t>
      </w:r>
      <w:r w:rsidRPr="00705903">
        <w:rPr>
          <w:lang w:val="en-US" w:eastAsia="zh-CN"/>
        </w:rPr>
        <w:t>2</w:t>
      </w:r>
      <w:r w:rsidRPr="00705903">
        <w:rPr>
          <w:lang w:val="en-US"/>
        </w:rPr>
        <w:t xml:space="preserve"> reveal no consistent abnormal returns associated with ESG or its sub-dimensions (E, S, G). One plausible explanation is that ESG performance may be rewarded or penalized conditionally, depending on market uncertainty, regulatory stance, and macro-institutional transitions.</w:t>
      </w:r>
    </w:p>
    <w:p w14:paraId="6388ACB0" w14:textId="5E2D5C22" w:rsidR="006E5478" w:rsidRPr="00705903" w:rsidRDefault="006E5478" w:rsidP="0097761F">
      <w:pPr>
        <w:pStyle w:val="NormalWeb"/>
        <w:spacing w:line="360" w:lineRule="auto"/>
        <w:jc w:val="both"/>
        <w:rPr>
          <w:lang w:val="en-US"/>
        </w:rPr>
      </w:pPr>
      <w:r w:rsidRPr="00705903">
        <w:rPr>
          <w:lang w:val="en-US"/>
        </w:rPr>
        <w:t xml:space="preserve">Following Pedersen et al. (2021) and Broadstock et al. (2021), </w:t>
      </w:r>
      <w:r w:rsidR="00D8546C" w:rsidRPr="00705903">
        <w:t>I segment the sample by major policy and macro regimes (COVID-19 phases, regulatory tightening cycles, real-estate credit cycles, and green-policy milestones</w:t>
      </w:r>
      <w:proofErr w:type="gramStart"/>
      <w:r w:rsidR="00D8546C" w:rsidRPr="00705903">
        <w:t>).</w:t>
      </w:r>
      <w:r w:rsidRPr="00705903">
        <w:rPr>
          <w:lang w:val="en-US"/>
        </w:rPr>
        <w:t>Within</w:t>
      </w:r>
      <w:proofErr w:type="gramEnd"/>
      <w:r w:rsidRPr="00705903">
        <w:rPr>
          <w:lang w:val="en-US"/>
        </w:rPr>
        <w:t xml:space="preserve"> each phase, I re-estimate the monthly High–Low (H–L) portfolio excess returns using the Fama–French five-factor specification:</w:t>
      </w:r>
    </w:p>
    <w:p w14:paraId="0D55D0E7" w14:textId="77777777" w:rsidR="006E5478" w:rsidRPr="00705903" w:rsidRDefault="00000000" w:rsidP="0097761F">
      <w:pPr>
        <w:pStyle w:val="NormalWeb"/>
        <w:spacing w:line="360" w:lineRule="auto"/>
        <w:jc w:val="both"/>
        <w:rPr>
          <w:i/>
          <w:sz w:val="22"/>
          <w:szCs w:val="22"/>
          <w:lang w:val="en-US" w:eastAsia="zh-CN"/>
        </w:rPr>
      </w:pPr>
      <m:oMathPara>
        <m:oMath>
          <m:sSub>
            <m:sSubPr>
              <m:ctrlPr>
                <w:rPr>
                  <w:rFonts w:ascii="Cambria Math" w:hAnsi="Cambria Math"/>
                  <w:sz w:val="20"/>
                  <w:szCs w:val="20"/>
                  <w:lang w:val="en-US"/>
                </w:rPr>
              </m:ctrlPr>
            </m:sSubPr>
            <m:e>
              <m:r>
                <w:rPr>
                  <w:rFonts w:ascii="Cambria Math" w:hAnsi="Cambria Math"/>
                  <w:sz w:val="20"/>
                  <w:szCs w:val="20"/>
                  <w:lang w:val="en-US"/>
                </w:rPr>
                <m:t>R</m:t>
              </m:r>
            </m:e>
            <m:sub>
              <m:r>
                <w:rPr>
                  <w:rFonts w:ascii="Cambria Math" w:hAnsi="Cambria Math"/>
                  <w:sz w:val="20"/>
                  <w:szCs w:val="20"/>
                  <w:lang w:val="en-US"/>
                </w:rPr>
                <m:t>p,t</m:t>
              </m:r>
            </m:sub>
          </m:sSub>
          <m: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R</m:t>
              </m:r>
            </m:e>
            <m:sub>
              <m:r>
                <w:rPr>
                  <w:rFonts w:ascii="Cambria Math" w:hAnsi="Cambria Math"/>
                  <w:sz w:val="20"/>
                  <w:szCs w:val="20"/>
                  <w:lang w:val="en-US"/>
                </w:rPr>
                <m:t>f,t</m:t>
              </m:r>
            </m:sub>
          </m:sSub>
          <m: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α</m:t>
              </m:r>
            </m:e>
            <m:sub>
              <m:r>
                <w:rPr>
                  <w:rFonts w:ascii="Cambria Math" w:hAnsi="Cambria Math"/>
                  <w:sz w:val="20"/>
                  <w:szCs w:val="20"/>
                  <w:lang w:val="en-US"/>
                </w:rPr>
                <m:t>p</m:t>
              </m:r>
            </m:sub>
          </m:sSub>
          <m: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β</m:t>
              </m:r>
            </m:e>
            <m:sub>
              <m:r>
                <w:rPr>
                  <w:rFonts w:ascii="Cambria Math" w:hAnsi="Cambria Math"/>
                  <w:sz w:val="20"/>
                  <w:szCs w:val="20"/>
                  <w:lang w:val="en-US"/>
                </w:rPr>
                <m:t>MKT</m:t>
              </m:r>
            </m:sub>
          </m:sSub>
          <m: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R</m:t>
              </m:r>
            </m:e>
            <m:sub>
              <m:r>
                <w:rPr>
                  <w:rFonts w:ascii="Cambria Math" w:hAnsi="Cambria Math"/>
                  <w:sz w:val="20"/>
                  <w:szCs w:val="20"/>
                  <w:lang w:val="en-US"/>
                </w:rPr>
                <m:t>MKT,t</m:t>
              </m:r>
            </m:sub>
          </m:sSub>
          <m: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R</m:t>
              </m:r>
            </m:e>
            <m:sub>
              <m:r>
                <w:rPr>
                  <w:rFonts w:ascii="Cambria Math" w:hAnsi="Cambria Math"/>
                  <w:sz w:val="20"/>
                  <w:szCs w:val="20"/>
                  <w:lang w:val="en-US"/>
                </w:rPr>
                <m:t>f,t</m:t>
              </m:r>
            </m:sub>
          </m:sSub>
          <m: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β</m:t>
              </m:r>
            </m:e>
            <m:sub>
              <m:r>
                <w:rPr>
                  <w:rFonts w:ascii="Cambria Math" w:hAnsi="Cambria Math"/>
                  <w:sz w:val="20"/>
                  <w:szCs w:val="20"/>
                  <w:lang w:val="en-US"/>
                </w:rPr>
                <m:t>SMB</m:t>
              </m:r>
            </m:sub>
          </m:sSub>
          <m:r>
            <w:rPr>
              <w:rFonts w:ascii="Cambria Math" w:hAnsi="Cambria Math"/>
              <w:sz w:val="20"/>
              <w:szCs w:val="20"/>
              <w:lang w:val="en-US"/>
            </w:rPr>
            <m:t>SM</m:t>
          </m:r>
          <m:sSub>
            <m:sSubPr>
              <m:ctrlPr>
                <w:rPr>
                  <w:rFonts w:ascii="Cambria Math" w:hAnsi="Cambria Math"/>
                  <w:sz w:val="20"/>
                  <w:szCs w:val="20"/>
                  <w:lang w:val="en-US"/>
                </w:rPr>
              </m:ctrlPr>
            </m:sSubPr>
            <m:e>
              <m:r>
                <w:rPr>
                  <w:rFonts w:ascii="Cambria Math" w:hAnsi="Cambria Math"/>
                  <w:sz w:val="20"/>
                  <w:szCs w:val="20"/>
                  <w:lang w:val="en-US"/>
                </w:rPr>
                <m:t>B</m:t>
              </m:r>
            </m:e>
            <m:sub>
              <m:r>
                <w:rPr>
                  <w:rFonts w:ascii="Cambria Math" w:hAnsi="Cambria Math"/>
                  <w:sz w:val="20"/>
                  <w:szCs w:val="20"/>
                  <w:lang w:val="en-US"/>
                </w:rPr>
                <m:t>t</m:t>
              </m:r>
            </m:sub>
          </m:sSub>
          <m: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β</m:t>
              </m:r>
            </m:e>
            <m:sub>
              <m:r>
                <w:rPr>
                  <w:rFonts w:ascii="Cambria Math" w:hAnsi="Cambria Math"/>
                  <w:sz w:val="20"/>
                  <w:szCs w:val="20"/>
                  <w:lang w:val="en-US"/>
                </w:rPr>
                <m:t>HML</m:t>
              </m:r>
            </m:sub>
          </m:sSub>
          <m:r>
            <w:rPr>
              <w:rFonts w:ascii="Cambria Math" w:hAnsi="Cambria Math"/>
              <w:sz w:val="20"/>
              <w:szCs w:val="20"/>
              <w:lang w:val="en-US"/>
            </w:rPr>
            <m:t>HM</m:t>
          </m:r>
          <m:sSub>
            <m:sSubPr>
              <m:ctrlPr>
                <w:rPr>
                  <w:rFonts w:ascii="Cambria Math" w:hAnsi="Cambria Math"/>
                  <w:sz w:val="20"/>
                  <w:szCs w:val="20"/>
                  <w:lang w:val="en-US"/>
                </w:rPr>
              </m:ctrlPr>
            </m:sSubPr>
            <m:e>
              <m:r>
                <w:rPr>
                  <w:rFonts w:ascii="Cambria Math" w:hAnsi="Cambria Math"/>
                  <w:sz w:val="20"/>
                  <w:szCs w:val="20"/>
                  <w:lang w:val="en-US"/>
                </w:rPr>
                <m:t>L</m:t>
              </m:r>
            </m:e>
            <m:sub>
              <m:r>
                <w:rPr>
                  <w:rFonts w:ascii="Cambria Math" w:hAnsi="Cambria Math"/>
                  <w:sz w:val="20"/>
                  <w:szCs w:val="20"/>
                  <w:lang w:val="en-US"/>
                </w:rPr>
                <m:t>t</m:t>
              </m:r>
            </m:sub>
          </m:sSub>
          <m: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β</m:t>
              </m:r>
            </m:e>
            <m:sub>
              <m:r>
                <w:rPr>
                  <w:rFonts w:ascii="Cambria Math" w:hAnsi="Cambria Math"/>
                  <w:sz w:val="20"/>
                  <w:szCs w:val="20"/>
                  <w:lang w:val="en-US"/>
                </w:rPr>
                <m:t>RMW</m:t>
              </m:r>
            </m:sub>
          </m:sSub>
          <m:r>
            <w:rPr>
              <w:rFonts w:ascii="Cambria Math" w:hAnsi="Cambria Math"/>
              <w:sz w:val="20"/>
              <w:szCs w:val="20"/>
              <w:lang w:val="en-US"/>
            </w:rPr>
            <m:t>RM</m:t>
          </m:r>
          <m:sSub>
            <m:sSubPr>
              <m:ctrlPr>
                <w:rPr>
                  <w:rFonts w:ascii="Cambria Math" w:hAnsi="Cambria Math"/>
                  <w:sz w:val="20"/>
                  <w:szCs w:val="20"/>
                  <w:lang w:val="en-US"/>
                </w:rPr>
              </m:ctrlPr>
            </m:sSubPr>
            <m:e>
              <m:r>
                <w:rPr>
                  <w:rFonts w:ascii="Cambria Math" w:hAnsi="Cambria Math"/>
                  <w:sz w:val="20"/>
                  <w:szCs w:val="20"/>
                  <w:lang w:val="en-US"/>
                </w:rPr>
                <m:t>W</m:t>
              </m:r>
            </m:e>
            <m:sub>
              <m:r>
                <w:rPr>
                  <w:rFonts w:ascii="Cambria Math" w:hAnsi="Cambria Math"/>
                  <w:sz w:val="20"/>
                  <w:szCs w:val="20"/>
                  <w:lang w:val="en-US"/>
                </w:rPr>
                <m:t>t</m:t>
              </m:r>
            </m:sub>
          </m:sSub>
          <m: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β</m:t>
              </m:r>
            </m:e>
            <m:sub>
              <m:r>
                <w:rPr>
                  <w:rFonts w:ascii="Cambria Math" w:hAnsi="Cambria Math"/>
                  <w:sz w:val="20"/>
                  <w:szCs w:val="20"/>
                  <w:lang w:val="en-US"/>
                </w:rPr>
                <m:t>CMA</m:t>
              </m:r>
            </m:sub>
          </m:sSub>
          <m:r>
            <w:rPr>
              <w:rFonts w:ascii="Cambria Math" w:hAnsi="Cambria Math"/>
              <w:sz w:val="20"/>
              <w:szCs w:val="20"/>
              <w:lang w:val="en-US"/>
            </w:rPr>
            <m:t>CM</m:t>
          </m:r>
          <m:sSub>
            <m:sSubPr>
              <m:ctrlPr>
                <w:rPr>
                  <w:rFonts w:ascii="Cambria Math" w:hAnsi="Cambria Math"/>
                  <w:sz w:val="20"/>
                  <w:szCs w:val="20"/>
                  <w:lang w:val="en-US"/>
                </w:rPr>
              </m:ctrlPr>
            </m:sSubPr>
            <m:e>
              <m:r>
                <w:rPr>
                  <w:rFonts w:ascii="Cambria Math" w:hAnsi="Cambria Math"/>
                  <w:sz w:val="20"/>
                  <w:szCs w:val="20"/>
                  <w:lang w:val="en-US"/>
                </w:rPr>
                <m:t>A</m:t>
              </m:r>
            </m:e>
            <m:sub>
              <m:r>
                <w:rPr>
                  <w:rFonts w:ascii="Cambria Math" w:hAnsi="Cambria Math"/>
                  <w:sz w:val="20"/>
                  <w:szCs w:val="20"/>
                  <w:lang w:val="en-US"/>
                </w:rPr>
                <m:t>t</m:t>
              </m:r>
            </m:sub>
          </m:sSub>
          <m: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ε</m:t>
              </m:r>
            </m:e>
            <m:sub>
              <m:r>
                <w:rPr>
                  <w:rFonts w:ascii="Cambria Math" w:hAnsi="Cambria Math"/>
                  <w:sz w:val="20"/>
                  <w:szCs w:val="20"/>
                  <w:lang w:val="en-US"/>
                </w:rPr>
                <m:t>t</m:t>
              </m:r>
            </m:sub>
          </m:sSub>
          <m:r>
            <w:rPr>
              <w:rFonts w:ascii="Cambria Math" w:hAnsi="Cambria Math"/>
              <w:sz w:val="20"/>
              <w:szCs w:val="20"/>
              <w:lang w:val="en-US"/>
            </w:rPr>
            <m:t xml:space="preserve"> </m:t>
          </m:r>
          <m:r>
            <w:rPr>
              <w:rFonts w:ascii="Cambria Math" w:hAnsi="Cambria Math"/>
              <w:sz w:val="20"/>
              <w:szCs w:val="20"/>
              <w:lang w:val="en-US" w:eastAsia="zh-CN"/>
            </w:rPr>
            <m:t>(7)</m:t>
          </m:r>
        </m:oMath>
      </m:oMathPara>
    </w:p>
    <w:p w14:paraId="303BF626" w14:textId="57939D2C" w:rsidR="006E5478" w:rsidRPr="00705903" w:rsidRDefault="006E5478" w:rsidP="0097761F">
      <w:pPr>
        <w:pStyle w:val="NormalWeb"/>
        <w:spacing w:line="360" w:lineRule="auto"/>
        <w:ind w:firstLine="0"/>
        <w:jc w:val="both"/>
        <w:rPr>
          <w:lang w:val="en-US"/>
        </w:rPr>
      </w:pPr>
      <w:r w:rsidRPr="00705903">
        <w:rPr>
          <w:lang w:val="en-US"/>
        </w:rPr>
        <w:t xml:space="preserve">where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p,t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f,t</m:t>
            </m:r>
          </m:sub>
        </m:sSub>
      </m:oMath>
      <w:r w:rsidRPr="00705903">
        <w:rPr>
          <w:lang w:val="en-US"/>
        </w:rPr>
        <w:t>is the excess return of the ESG-sorted long–short portfolio, and</w:t>
      </w:r>
      <w:r w:rsidR="00A11DCA" w:rsidRPr="00705903">
        <w:rPr>
          <w:lang w:val="en-US" w:eastAsia="zh-CN"/>
        </w:rPr>
        <w:t xml:space="preserve"> intercept</w:t>
      </w:r>
      <w:r w:rsidRPr="00705903">
        <w:rPr>
          <w:lang w:val="en-US"/>
        </w:rPr>
        <w:t xml:space="preserve">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p</m:t>
            </m:r>
          </m:sub>
        </m:sSub>
      </m:oMath>
      <w:r w:rsidRPr="00705903">
        <w:rPr>
          <w:lang w:val="en-US"/>
        </w:rPr>
        <w:t xml:space="preserve">captures the abnormal return unexplained by </w:t>
      </w:r>
      <w:r w:rsidR="00A11DCA" w:rsidRPr="00705903">
        <w:rPr>
          <w:lang w:val="en-US" w:eastAsia="zh-CN"/>
        </w:rPr>
        <w:t>systematic</w:t>
      </w:r>
      <w:r w:rsidRPr="00705903">
        <w:rPr>
          <w:lang w:val="en-US"/>
        </w:rPr>
        <w:t xml:space="preserve"> risk </w:t>
      </w:r>
      <w:r w:rsidR="00A11DCA" w:rsidRPr="00705903">
        <w:rPr>
          <w:lang w:val="en-US" w:eastAsia="zh-CN"/>
        </w:rPr>
        <w:t>exposure</w:t>
      </w:r>
      <w:r w:rsidRPr="00705903">
        <w:rPr>
          <w:lang w:val="en-US"/>
        </w:rPr>
        <w:t>.</w:t>
      </w:r>
      <w:r w:rsidRPr="00705903">
        <w:rPr>
          <w:lang w:val="en-US" w:eastAsia="zh-CN"/>
        </w:rPr>
        <w:t xml:space="preserve"> </w:t>
      </w:r>
      <w:r w:rsidRPr="00705903">
        <w:rPr>
          <w:lang w:val="en-US"/>
        </w:rPr>
        <w:t>To complement the regression evidence, I compute performance diagnostics—annualized return, volatility, Sharpe ratio, and portfolio turnover—to evaluate risk-adjusted performance and strategy implement</w:t>
      </w:r>
      <w:r w:rsidRPr="00705903">
        <w:rPr>
          <w:lang w:val="en-US" w:eastAsia="zh-CN"/>
        </w:rPr>
        <w:t xml:space="preserve"> </w:t>
      </w:r>
      <w:r w:rsidRPr="00705903">
        <w:rPr>
          <w:lang w:val="en-US"/>
        </w:rPr>
        <w:t>ability across subperiods.</w:t>
      </w:r>
    </w:p>
    <w:p w14:paraId="075EED8B" w14:textId="26842C33" w:rsidR="006E5478" w:rsidRPr="00705903" w:rsidRDefault="006E5478" w:rsidP="0097761F">
      <w:pPr>
        <w:pStyle w:val="NormalWeb"/>
        <w:spacing w:line="360" w:lineRule="auto"/>
        <w:jc w:val="both"/>
        <w:rPr>
          <w:lang w:val="en-US"/>
        </w:rPr>
      </w:pPr>
      <w:r w:rsidRPr="00705903">
        <w:rPr>
          <w:lang w:val="en-US"/>
        </w:rPr>
        <w:t xml:space="preserve">By comparing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p</m:t>
            </m:r>
          </m:sub>
        </m:sSub>
      </m:oMath>
      <w:r w:rsidRPr="00705903">
        <w:rPr>
          <w:lang w:val="en-US"/>
        </w:rPr>
        <w:t>and Sharpe ratios across segmented regimes, this framework tests whether ESG performance in China is structural (</w:t>
      </w:r>
      <w:r w:rsidR="00A11DCA" w:rsidRPr="00705903">
        <w:rPr>
          <w:lang w:val="en-US" w:eastAsia="zh-CN"/>
        </w:rPr>
        <w:t>stable alpha</w:t>
      </w:r>
      <w:r w:rsidRPr="00705903">
        <w:rPr>
          <w:lang w:val="en-US"/>
        </w:rPr>
        <w:t>) or episodic (</w:t>
      </w:r>
      <w:r w:rsidR="00A11DCA" w:rsidRPr="00705903">
        <w:rPr>
          <w:lang w:val="en-US" w:eastAsia="zh-CN"/>
        </w:rPr>
        <w:t>time-varying alphas</w:t>
      </w:r>
      <w:r w:rsidRPr="00705903">
        <w:rPr>
          <w:lang w:val="en-US"/>
        </w:rPr>
        <w:t>).</w:t>
      </w:r>
      <w:r w:rsidRPr="00705903">
        <w:rPr>
          <w:lang w:val="en-US" w:eastAsia="zh-CN"/>
        </w:rPr>
        <w:t xml:space="preserve"> </w:t>
      </w:r>
      <w:r w:rsidRPr="00705903">
        <w:rPr>
          <w:lang w:val="en-US"/>
        </w:rPr>
        <w:t xml:space="preserve">A significant and shifting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p</m:t>
            </m:r>
          </m:sub>
        </m:sSub>
      </m:oMath>
      <w:r w:rsidRPr="00705903">
        <w:rPr>
          <w:lang w:val="en-US"/>
        </w:rPr>
        <w:t>across subperiods would imply that ESG pricing reacts endogenously to changing regulatory priorities and macroeconomic conditions rather than representing a stable risk premium.</w:t>
      </w:r>
      <w:r w:rsidRPr="00705903">
        <w:rPr>
          <w:lang w:val="en-US" w:eastAsia="zh-CN"/>
        </w:rPr>
        <w:t xml:space="preserve"> </w:t>
      </w:r>
      <w:r w:rsidRPr="00705903">
        <w:rPr>
          <w:lang w:val="en-US"/>
        </w:rPr>
        <w:t>This design thus bridges institutional shocks with asset-pricing dynamics, extending recent work on time-varying ESG payoffs in emerging markets (e.g., Ding et al., 2022; Krueger et al., 2023).</w:t>
      </w:r>
      <w:r w:rsidRPr="00705903">
        <w:rPr>
          <w:szCs w:val="22"/>
        </w:rPr>
        <w:t xml:space="preserve"> </w:t>
      </w:r>
      <w:r w:rsidR="009A3FD2" w:rsidRPr="00705903">
        <w:rPr>
          <w:szCs w:val="22"/>
        </w:rPr>
        <w:t>I begin by applying this framework to the COVID-19 shock, which provides a natural setting to evaluate episodic ESG repricing.</w:t>
      </w:r>
    </w:p>
    <w:p w14:paraId="5FCBA9E3" w14:textId="77777777" w:rsidR="006E5478" w:rsidRPr="00705903" w:rsidRDefault="006E5478" w:rsidP="0097761F">
      <w:pPr>
        <w:pStyle w:val="NormalWeb"/>
        <w:spacing w:line="360" w:lineRule="auto"/>
        <w:ind w:firstLine="0"/>
        <w:jc w:val="both"/>
        <w:rPr>
          <w:lang w:val="en-US"/>
        </w:rPr>
      </w:pPr>
    </w:p>
    <w:p w14:paraId="234152BE" w14:textId="45ACFCE5" w:rsidR="006E5478" w:rsidRPr="00705903" w:rsidRDefault="006E5478" w:rsidP="0097761F">
      <w:pPr>
        <w:pStyle w:val="Heading3"/>
      </w:pPr>
      <w:r w:rsidRPr="00705903">
        <w:t>3.</w:t>
      </w:r>
      <w:r w:rsidR="002E16E8" w:rsidRPr="00705903">
        <w:rPr>
          <w:lang w:eastAsia="zh-CN"/>
        </w:rPr>
        <w:t>4</w:t>
      </w:r>
      <w:r w:rsidRPr="00705903">
        <w:t>.2 COVID-19 Shock and ESG Factor Resilience</w:t>
      </w:r>
    </w:p>
    <w:p w14:paraId="1C0FFE5F" w14:textId="2F12D9F5" w:rsidR="006E5478" w:rsidRPr="00705903" w:rsidRDefault="00D8546C" w:rsidP="0097761F">
      <w:pPr>
        <w:pStyle w:val="NormalWeb"/>
        <w:spacing w:line="360" w:lineRule="auto"/>
        <w:jc w:val="both"/>
        <w:rPr>
          <w:lang w:val="en-US"/>
        </w:rPr>
      </w:pPr>
      <w:r w:rsidRPr="00705903">
        <w:t>COVID-19 provides a natural stress test for ESG factors. I examine ESG, S, and G performance across four institutional phases, following the segmentation in Appendix Table 29.</w:t>
      </w:r>
      <w:bookmarkStart w:id="1" w:name="_Hlk215011627"/>
      <w:r w:rsidR="00162876" w:rsidRPr="00705903">
        <w:rPr>
          <w:lang w:eastAsia="zh-CN"/>
        </w:rPr>
        <w:t xml:space="preserve"> </w:t>
      </w:r>
      <w:r w:rsidR="006E5478" w:rsidRPr="00705903">
        <w:rPr>
          <w:lang w:val="en-US"/>
        </w:rPr>
        <w:t xml:space="preserve">Segmenting the sample along these phases enables identification of time-varying ESG </w:t>
      </w:r>
      <w:r w:rsidR="00A11DCA" w:rsidRPr="00705903">
        <w:rPr>
          <w:lang w:val="en-US"/>
        </w:rPr>
        <w:t>premium</w:t>
      </w:r>
      <w:r w:rsidR="006E5478" w:rsidRPr="00705903">
        <w:rPr>
          <w:lang w:val="en-US"/>
        </w:rPr>
        <w:t xml:space="preserve"> across heterogeneous uncertainty regimes.</w:t>
      </w:r>
      <w:r w:rsidR="006E5478" w:rsidRPr="00705903">
        <w:rPr>
          <w:rStyle w:val="FootnoteReference"/>
          <w:lang w:val="en-US"/>
        </w:rPr>
        <w:footnoteReference w:id="26"/>
      </w:r>
    </w:p>
    <w:bookmarkEnd w:id="1"/>
    <w:p w14:paraId="150BD72A" w14:textId="0DB06274" w:rsidR="00EB536A" w:rsidRPr="00705903" w:rsidRDefault="00253789" w:rsidP="0097761F">
      <w:pPr>
        <w:pStyle w:val="NormalWeb"/>
        <w:spacing w:line="360" w:lineRule="auto"/>
        <w:jc w:val="both"/>
        <w:rPr>
          <w:lang w:val="en-US" w:eastAsia="zh-CN"/>
        </w:rPr>
      </w:pPr>
      <w:r w:rsidRPr="00705903">
        <w:rPr>
          <w:rFonts w:hint="eastAsia"/>
          <w:lang w:eastAsia="zh-CN"/>
        </w:rPr>
        <w:t xml:space="preserve">In </w:t>
      </w:r>
      <w:r w:rsidR="00162876" w:rsidRPr="00705903">
        <w:t>Panel A of Appendix Table 29</w:t>
      </w:r>
      <w:r w:rsidRPr="00705903">
        <w:rPr>
          <w:rFonts w:hint="eastAsia"/>
          <w:lang w:eastAsia="zh-CN"/>
        </w:rPr>
        <w:t xml:space="preserve">, I </w:t>
      </w:r>
      <w:r w:rsidR="00162876" w:rsidRPr="00705903">
        <w:t xml:space="preserve">show that the </w:t>
      </w:r>
      <w:r w:rsidR="00A11DCA" w:rsidRPr="00705903">
        <w:rPr>
          <w:lang w:eastAsia="zh-CN"/>
        </w:rPr>
        <w:t xml:space="preserve">aggregate </w:t>
      </w:r>
      <w:r w:rsidR="00162876" w:rsidRPr="00705903">
        <w:t xml:space="preserve">ESG factor exhibits a significantly positive alpha during the outbreak phase (α = 1.84, p &lt; 0.001), </w:t>
      </w:r>
      <w:r w:rsidR="00A11DCA" w:rsidRPr="00705903">
        <w:t>indicating that high-ESG firms temporarily became a resilience signal under systemic stress.</w:t>
      </w:r>
      <w:r w:rsidR="00A11DCA" w:rsidRPr="00705903">
        <w:rPr>
          <w:lang w:eastAsia="zh-CN"/>
        </w:rPr>
        <w:t xml:space="preserve"> </w:t>
      </w:r>
      <w:r w:rsidR="00162876" w:rsidRPr="00705903">
        <w:t xml:space="preserve">This transitory premium disappears once market volatility normalized, with alphas turning insignificant or negative in subsequent periods. These dynamics suggest that ESG was briefly repriced as a resilience signal during the pandemic, consistent with an episodic </w:t>
      </w:r>
      <w:r w:rsidR="00A11DCA" w:rsidRPr="00705903">
        <w:rPr>
          <w:lang w:eastAsia="zh-CN"/>
        </w:rPr>
        <w:t xml:space="preserve">repriced </w:t>
      </w:r>
      <w:r w:rsidR="00162876" w:rsidRPr="00705903">
        <w:t>rather than structural valuation effect.</w:t>
      </w:r>
      <w:r w:rsidR="00EB536A" w:rsidRPr="00705903">
        <w:rPr>
          <w:lang w:val="en-US" w:eastAsia="zh-CN"/>
        </w:rPr>
        <w:t xml:space="preserve"> </w:t>
      </w:r>
    </w:p>
    <w:p w14:paraId="26556923" w14:textId="26F67526" w:rsidR="00162876" w:rsidRPr="00705903" w:rsidRDefault="00253789" w:rsidP="0097761F">
      <w:pPr>
        <w:pStyle w:val="NormalWeb"/>
        <w:spacing w:line="360" w:lineRule="auto"/>
        <w:jc w:val="both"/>
        <w:rPr>
          <w:lang w:val="en-US"/>
        </w:rPr>
      </w:pPr>
      <w:r w:rsidRPr="00705903">
        <w:rPr>
          <w:rFonts w:hint="eastAsia"/>
          <w:lang w:eastAsia="zh-CN"/>
        </w:rPr>
        <w:t xml:space="preserve">In </w:t>
      </w:r>
      <w:r w:rsidR="00162876" w:rsidRPr="00705903">
        <w:t>Panel B of Appendix Table 29</w:t>
      </w:r>
      <w:r w:rsidRPr="00705903">
        <w:rPr>
          <w:rFonts w:hint="eastAsia"/>
          <w:lang w:eastAsia="zh-CN"/>
        </w:rPr>
        <w:t xml:space="preserve">, I </w:t>
      </w:r>
      <w:r w:rsidR="00162876" w:rsidRPr="00705903">
        <w:t>show that the Social (S) factor earns a significantly positive alpha during the outbreak phase (α = 0.99, p = 0.027), indicating that firms with stronger social commitments were temporarily rewarded under crisis conditions. This effect reverses in the recovery (α = –2.21, p &lt; 0.001) and post-reopening (α = –1.10, p = 0.087) periods, as investor preferences shifted back toward higher-growth, risk-tolerant firms once uncertainty eased. These sign reversals highlight that social premia were short-lived and sensitive to changes in market sentiment.</w:t>
      </w:r>
    </w:p>
    <w:p w14:paraId="08C71891" w14:textId="5C1B0755" w:rsidR="00162876" w:rsidRPr="00705903" w:rsidRDefault="00162876" w:rsidP="0097761F">
      <w:pPr>
        <w:pStyle w:val="NormalWeb"/>
        <w:spacing w:line="360" w:lineRule="auto"/>
        <w:jc w:val="both"/>
      </w:pPr>
      <w:r w:rsidRPr="00705903">
        <w:t xml:space="preserve">Panel C shows that the Governance (G) factor exhibits negative and statistically significant alphas in all phases, with the strongest decline during the outbreak (α = –2.24, p &lt; 0.001). The persistent underperformance suggests that governance-intensive firms were penalized for </w:t>
      </w:r>
      <w:r w:rsidR="009030CE" w:rsidRPr="00705903">
        <w:rPr>
          <w:lang w:eastAsia="zh-CN"/>
        </w:rPr>
        <w:t xml:space="preserve">reduced </w:t>
      </w:r>
      <w:r w:rsidRPr="00705903">
        <w:t>operational flexibility during the pandemic, likely reflecting slower decision processes and higher compliance rigidity under crisis constraints. Although the magnitude of the negative alpha moderates after 2021, it remains below zero, indicating sustained investor discounting of governance-heavy firms.</w:t>
      </w:r>
    </w:p>
    <w:p w14:paraId="3D8262F1" w14:textId="0F26CC48" w:rsidR="006E5478" w:rsidRPr="00705903" w:rsidRDefault="00EB536A" w:rsidP="0097761F">
      <w:pPr>
        <w:pStyle w:val="NormalWeb"/>
        <w:spacing w:line="360" w:lineRule="auto"/>
        <w:jc w:val="both"/>
        <w:rPr>
          <w:lang w:val="en-US"/>
        </w:rPr>
      </w:pPr>
      <w:r w:rsidRPr="00705903">
        <w:t>Taken together, the COVID-19 evidence shows that ESG pricing in China was conditional and highly dimension-specific. ESG and Social factors generated short-term abnormal returns only during peak uncertainty, whereas the Governance factor consistently underperformed throughout the pandemic. These patterns indicate that ESG premia in China reflect state-contingent factor loadings rather than stable risk-compensation mechanisms, aligning with the conditional-beta interpretation in Broadstock et al. (2021) and Pedersen et al. (2021).</w:t>
      </w:r>
      <w:r w:rsidR="006E5478" w:rsidRPr="00705903">
        <w:rPr>
          <w:lang w:val="en-US"/>
        </w:rPr>
        <w:t>These results suggest that ESG premia in emerging markets represent state-contingent factor loadings that adjust endogenously to policy regimes and macroeconomic shocks, rather than stable risk-compensation mechanisms (Broadstock et al., 2021; Pedersen et al., 2021).</w:t>
      </w:r>
      <w:r w:rsidR="006E5478" w:rsidRPr="00705903">
        <w:rPr>
          <w:rStyle w:val="FootnoteReference"/>
          <w:lang w:val="en-US"/>
        </w:rPr>
        <w:footnoteReference w:id="27"/>
      </w:r>
      <w:r w:rsidR="009A3FD2" w:rsidRPr="00705903">
        <w:t xml:space="preserve"> </w:t>
      </w:r>
      <w:r w:rsidR="009A3FD2" w:rsidRPr="00705903">
        <w:rPr>
          <w:lang w:val="en-US"/>
        </w:rPr>
        <w:t>I now turn to how these dynamics unfold across policy tightening and real-estate credit cycles.</w:t>
      </w:r>
    </w:p>
    <w:p w14:paraId="4E1A9AAE" w14:textId="77777777" w:rsidR="006E5478" w:rsidRPr="00705903" w:rsidRDefault="006E5478" w:rsidP="0097761F">
      <w:pPr>
        <w:pStyle w:val="NormalWeb"/>
        <w:spacing w:line="360" w:lineRule="auto"/>
        <w:ind w:firstLine="0"/>
        <w:jc w:val="both"/>
        <w:rPr>
          <w:lang w:val="en-US"/>
        </w:rPr>
      </w:pPr>
    </w:p>
    <w:p w14:paraId="6DACEAF6" w14:textId="6B705411" w:rsidR="006E5478" w:rsidRPr="00705903" w:rsidRDefault="006E5478" w:rsidP="0097761F">
      <w:pPr>
        <w:pStyle w:val="Heading3"/>
        <w:rPr>
          <w:lang w:eastAsia="zh-CN"/>
        </w:rPr>
      </w:pPr>
      <w:r w:rsidRPr="00705903">
        <w:rPr>
          <w:lang w:eastAsia="zh-CN"/>
        </w:rPr>
        <w:t>3.</w:t>
      </w:r>
      <w:r w:rsidR="002E16E8" w:rsidRPr="00705903">
        <w:rPr>
          <w:lang w:eastAsia="zh-CN"/>
        </w:rPr>
        <w:t>4</w:t>
      </w:r>
      <w:r w:rsidRPr="00705903">
        <w:rPr>
          <w:lang w:eastAsia="zh-CN"/>
        </w:rPr>
        <w:t>.3 Policy Tightening, Real Estate Cycles, and the Governance Factor</w:t>
      </w:r>
    </w:p>
    <w:p w14:paraId="346E352D" w14:textId="24B5FAF4" w:rsidR="00EB536A" w:rsidRPr="00705903" w:rsidRDefault="00EB536A" w:rsidP="0097761F">
      <w:pPr>
        <w:pStyle w:val="NormalWeb"/>
        <w:spacing w:line="360" w:lineRule="auto"/>
        <w:ind w:firstLine="720"/>
        <w:jc w:val="both"/>
        <w:rPr>
          <w:lang w:eastAsia="zh-CN"/>
        </w:rPr>
      </w:pPr>
      <w:r w:rsidRPr="00705903">
        <w:rPr>
          <w:lang w:eastAsia="zh-CN"/>
        </w:rPr>
        <w:t>The governance (G) factor offers a useful lens for examining how regulatory constraints</w:t>
      </w:r>
      <w:r w:rsidR="00192F61" w:rsidRPr="00705903">
        <w:rPr>
          <w:lang w:eastAsia="zh-CN"/>
        </w:rPr>
        <w:t xml:space="preserve">, credit conditions </w:t>
      </w:r>
      <w:r w:rsidRPr="00705903">
        <w:rPr>
          <w:lang w:eastAsia="zh-CN"/>
        </w:rPr>
        <w:t>and leverage c</w:t>
      </w:r>
      <w:r w:rsidR="00192F61" w:rsidRPr="00705903">
        <w:rPr>
          <w:lang w:eastAsia="zh-CN"/>
        </w:rPr>
        <w:t>ycles</w:t>
      </w:r>
      <w:r w:rsidRPr="00705903">
        <w:rPr>
          <w:lang w:eastAsia="zh-CN"/>
        </w:rPr>
        <w:t xml:space="preserve"> interact in China’s equity market. Because high-G portfolios are heavily concentrated in property developers and financial institutions, their returns are naturally sensitive to shifts in credit availability and </w:t>
      </w:r>
      <w:proofErr w:type="gramStart"/>
      <w:r w:rsidRPr="00705903">
        <w:rPr>
          <w:lang w:eastAsia="zh-CN"/>
        </w:rPr>
        <w:t>real-estate</w:t>
      </w:r>
      <w:proofErr w:type="gramEnd"/>
      <w:r w:rsidRPr="00705903">
        <w:rPr>
          <w:lang w:eastAsia="zh-CN"/>
        </w:rPr>
        <w:t>–linked financing stress.</w:t>
      </w:r>
    </w:p>
    <w:p w14:paraId="08EF6EF8" w14:textId="3CC95010" w:rsidR="006E5478" w:rsidRPr="00705903" w:rsidRDefault="00EB536A" w:rsidP="0097761F">
      <w:pPr>
        <w:pStyle w:val="NormalWeb"/>
        <w:spacing w:line="360" w:lineRule="auto"/>
        <w:ind w:firstLine="720"/>
        <w:jc w:val="both"/>
        <w:rPr>
          <w:lang w:val="en-US" w:eastAsia="zh-CN"/>
        </w:rPr>
      </w:pPr>
      <w:r w:rsidRPr="00705903">
        <w:rPr>
          <w:lang w:eastAsia="zh-CN"/>
        </w:rPr>
        <w:t xml:space="preserve">To isolate these mechanisms, I evaluate the </w:t>
      </w:r>
      <w:r w:rsidR="00192F61" w:rsidRPr="00705903">
        <w:rPr>
          <w:lang w:eastAsia="zh-CN"/>
        </w:rPr>
        <w:t>Governance (</w:t>
      </w:r>
      <w:r w:rsidRPr="00705903">
        <w:rPr>
          <w:lang w:eastAsia="zh-CN"/>
        </w:rPr>
        <w:t>G</w:t>
      </w:r>
      <w:r w:rsidR="00192F61" w:rsidRPr="00705903">
        <w:rPr>
          <w:lang w:eastAsia="zh-CN"/>
        </w:rPr>
        <w:t>)</w:t>
      </w:r>
      <w:r w:rsidRPr="00705903">
        <w:rPr>
          <w:lang w:eastAsia="zh-CN"/>
        </w:rPr>
        <w:t xml:space="preserve"> High–Low portfolio under two complementary segmentation schemes: (1) regulatory tightening and easing phases, and (2) real-estate price cycles, as summarized in Appendix Table </w:t>
      </w:r>
      <w:r w:rsidR="006E5478" w:rsidRPr="00705903">
        <w:rPr>
          <w:lang w:val="en-US" w:eastAsia="zh-CN"/>
        </w:rPr>
        <w:t xml:space="preserve">30. </w:t>
      </w:r>
      <w:r w:rsidR="006E5478" w:rsidRPr="00705903">
        <w:rPr>
          <w:rStyle w:val="FootnoteReference"/>
          <w:lang w:val="en-US" w:eastAsia="zh-CN"/>
        </w:rPr>
        <w:footnoteReference w:id="28"/>
      </w:r>
    </w:p>
    <w:p w14:paraId="46C4A7D6" w14:textId="7D69065C" w:rsidR="00EB536A" w:rsidRPr="00705903" w:rsidRDefault="00EB536A" w:rsidP="0097761F">
      <w:pPr>
        <w:pStyle w:val="NormalWeb"/>
        <w:spacing w:line="360" w:lineRule="auto"/>
        <w:ind w:firstLine="720"/>
        <w:jc w:val="both"/>
        <w:rPr>
          <w:lang w:val="en-US" w:eastAsia="zh-CN"/>
        </w:rPr>
      </w:pPr>
      <w:r w:rsidRPr="00705903">
        <w:rPr>
          <w:lang w:val="en-US" w:eastAsia="zh-CN"/>
        </w:rPr>
        <w:t xml:space="preserve">Panel A shows that the </w:t>
      </w:r>
      <w:r w:rsidR="00192F61" w:rsidRPr="00705903">
        <w:rPr>
          <w:lang w:eastAsia="zh-CN"/>
        </w:rPr>
        <w:t>Governance (G)</w:t>
      </w:r>
      <w:r w:rsidRPr="00705903">
        <w:rPr>
          <w:lang w:val="en-US" w:eastAsia="zh-CN"/>
        </w:rPr>
        <w:t xml:space="preserve"> factor delivers statistically significant alphas across all regulatory regimes, but the sign of α alternates across phases. Positive alphas appear when financing conditions are stable, while negative alphas emerge when firms face binding credit constraints. This nonmonotonic pattern indicates that macro policy alone does not systematically determine governance-related returns. Instead, the </w:t>
      </w:r>
      <w:r w:rsidR="00192F61" w:rsidRPr="00705903">
        <w:rPr>
          <w:lang w:eastAsia="zh-CN"/>
        </w:rPr>
        <w:t>Governance (G)</w:t>
      </w:r>
      <w:r w:rsidR="00192F61" w:rsidRPr="00705903">
        <w:rPr>
          <w:lang w:val="en-US" w:eastAsia="zh-CN"/>
        </w:rPr>
        <w:t xml:space="preserve"> </w:t>
      </w:r>
      <w:r w:rsidRPr="00705903">
        <w:rPr>
          <w:lang w:val="en-US" w:eastAsia="zh-CN"/>
        </w:rPr>
        <w:t>factor captures firm-level heterogeneity in leverage exposure: governance-intensive firms—often large, formal, and compliance-heavy—are more vulnerable when liquidity tightens and benefit disproportionately when credit conditions stabilize.</w:t>
      </w:r>
    </w:p>
    <w:p w14:paraId="0167946A" w14:textId="47E28E89" w:rsidR="00EB536A" w:rsidRPr="00705903" w:rsidRDefault="00EB536A" w:rsidP="0097761F">
      <w:pPr>
        <w:pStyle w:val="NormalWeb"/>
        <w:spacing w:line="360" w:lineRule="auto"/>
        <w:ind w:firstLine="720"/>
        <w:jc w:val="both"/>
        <w:rPr>
          <w:lang w:val="en-US" w:eastAsia="zh-CN"/>
        </w:rPr>
      </w:pPr>
      <w:r w:rsidRPr="00705903">
        <w:rPr>
          <w:lang w:val="en-US" w:eastAsia="zh-CN"/>
        </w:rPr>
        <w:t>Panel B, which segments the same period by real-estate price cycles rather than regulatory events, yields a similar pattern</w:t>
      </w:r>
      <w:r w:rsidRPr="00705903">
        <w:rPr>
          <w:rStyle w:val="FootnoteReference"/>
          <w:lang w:val="en-US" w:eastAsia="zh-CN"/>
        </w:rPr>
        <w:footnoteReference w:id="29"/>
      </w:r>
      <w:r w:rsidRPr="00705903">
        <w:rPr>
          <w:lang w:val="en-US" w:eastAsia="zh-CN"/>
        </w:rPr>
        <w:t>. The sign of α closely tracks housing-market conditions: positive during price stability and rebounds, and negative during downturns and credit contractions. The consistency across both segmentation schemes suggests that the governance premium is robust but state-contingent, reflecting sensitivity to leverage risk and sectoral liquidity rather than direct responses to specific policy announcements.</w:t>
      </w:r>
      <w:r w:rsidRPr="00705903">
        <w:rPr>
          <w:rStyle w:val="FootnoteReference"/>
          <w:lang w:val="en-US" w:eastAsia="zh-CN"/>
        </w:rPr>
        <w:footnoteReference w:id="30"/>
      </w:r>
    </w:p>
    <w:p w14:paraId="331441C5" w14:textId="218A3B38" w:rsidR="00EB536A" w:rsidRPr="00705903" w:rsidRDefault="00EB536A" w:rsidP="0097761F">
      <w:pPr>
        <w:pStyle w:val="NormalWeb"/>
        <w:spacing w:line="360" w:lineRule="auto"/>
        <w:ind w:firstLine="720"/>
        <w:jc w:val="both"/>
        <w:rPr>
          <w:lang w:eastAsia="zh-CN"/>
        </w:rPr>
      </w:pPr>
      <w:r w:rsidRPr="00705903">
        <w:rPr>
          <w:lang w:eastAsia="zh-CN"/>
        </w:rPr>
        <w:t xml:space="preserve">Taken together, the evidence shows that the G factor functions as a leverage-sensitive </w:t>
      </w:r>
      <w:r w:rsidR="00192F61" w:rsidRPr="00705903">
        <w:rPr>
          <w:lang w:eastAsia="zh-CN"/>
        </w:rPr>
        <w:t xml:space="preserve">and policy-mediated </w:t>
      </w:r>
      <w:r w:rsidRPr="00705903">
        <w:rPr>
          <w:lang w:eastAsia="zh-CN"/>
        </w:rPr>
        <w:t>pricing channel in China’s hybrid financial system</w:t>
      </w:r>
      <w:r w:rsidRPr="00705903">
        <w:rPr>
          <w:rStyle w:val="FootnoteReference"/>
          <w:lang w:eastAsia="zh-CN"/>
        </w:rPr>
        <w:footnoteReference w:id="31"/>
      </w:r>
      <w:r w:rsidRPr="00705903">
        <w:rPr>
          <w:lang w:eastAsia="zh-CN"/>
        </w:rPr>
        <w:t>. Governance-intensive firms face higher financing costs during credit tightening and limited flexibility to exploit easing conditions, producing alternating positive and negative governance premia across regimes. These dynamics highlight how macro policy shocks and credit-market sentiment jointly shape the valuation of governance characteristics in a policy-driven emerging market.</w:t>
      </w:r>
      <w:r w:rsidR="009A3FD2" w:rsidRPr="00705903">
        <w:rPr>
          <w:lang w:eastAsia="zh-CN"/>
        </w:rPr>
        <w:t xml:space="preserve"> This naturally leads to examining whether environmental premia display comparable sensitivity to green-policy cycles.</w:t>
      </w:r>
    </w:p>
    <w:p w14:paraId="00D1864F" w14:textId="77777777" w:rsidR="006E5478" w:rsidRPr="00705903" w:rsidRDefault="006E5478" w:rsidP="0097761F">
      <w:pPr>
        <w:pStyle w:val="NormalWeb"/>
        <w:spacing w:line="360" w:lineRule="auto"/>
        <w:ind w:firstLine="0"/>
        <w:jc w:val="both"/>
        <w:rPr>
          <w:lang w:val="en-US"/>
        </w:rPr>
      </w:pPr>
    </w:p>
    <w:p w14:paraId="011A3256" w14:textId="3074F0F4" w:rsidR="006E5478" w:rsidRPr="00705903" w:rsidRDefault="006E5478" w:rsidP="0097761F">
      <w:pPr>
        <w:pStyle w:val="Heading3"/>
        <w:rPr>
          <w:lang w:eastAsia="zh-CN"/>
        </w:rPr>
      </w:pPr>
      <w:r w:rsidRPr="00705903">
        <w:rPr>
          <w:lang w:eastAsia="zh-CN"/>
        </w:rPr>
        <w:t>3.</w:t>
      </w:r>
      <w:r w:rsidR="002E16E8" w:rsidRPr="00705903">
        <w:rPr>
          <w:lang w:eastAsia="zh-CN"/>
        </w:rPr>
        <w:t>4</w:t>
      </w:r>
      <w:r w:rsidRPr="00705903">
        <w:rPr>
          <w:lang w:eastAsia="zh-CN"/>
        </w:rPr>
        <w:t>.4 Green Policy Milestones and the Environmental Factor</w:t>
      </w:r>
    </w:p>
    <w:p w14:paraId="44D8C58D" w14:textId="74BB3222" w:rsidR="007D5B67" w:rsidRPr="00705903" w:rsidRDefault="00555CF3" w:rsidP="0097761F">
      <w:pPr>
        <w:pStyle w:val="NormalWeb"/>
        <w:spacing w:line="360" w:lineRule="auto"/>
        <w:ind w:firstLine="720"/>
        <w:jc w:val="both"/>
        <w:rPr>
          <w:lang w:val="en-US" w:eastAsia="zh-CN"/>
        </w:rPr>
      </w:pPr>
      <w:r w:rsidRPr="00705903">
        <w:rPr>
          <w:lang w:val="en-US" w:eastAsia="zh-CN"/>
        </w:rPr>
        <w:t>T</w:t>
      </w:r>
      <w:r w:rsidR="007D5B67" w:rsidRPr="00705903">
        <w:rPr>
          <w:lang w:val="en-US" w:eastAsia="zh-CN"/>
        </w:rPr>
        <w:t xml:space="preserve">he environmental (E) factor in China reflects how capital markets respond to state-led green-transition cycles and shifts in carbon-policy priorities. Given China’s top-down regulatory structure, environmental valuation is expected to be highly sensitive to policy reinforcement, fiscal </w:t>
      </w:r>
      <w:r w:rsidR="00192F61" w:rsidRPr="00705903">
        <w:rPr>
          <w:lang w:val="en-US" w:eastAsia="zh-CN"/>
        </w:rPr>
        <w:t>subsidies</w:t>
      </w:r>
      <w:r w:rsidR="007D5B67" w:rsidRPr="00705903">
        <w:rPr>
          <w:lang w:val="en-US" w:eastAsia="zh-CN"/>
        </w:rPr>
        <w:t xml:space="preserve">, and </w:t>
      </w:r>
      <w:r w:rsidR="00192F61" w:rsidRPr="00705903">
        <w:rPr>
          <w:lang w:val="en-US" w:eastAsia="zh-CN"/>
        </w:rPr>
        <w:t>shift</w:t>
      </w:r>
      <w:r w:rsidR="007D5B67" w:rsidRPr="00705903">
        <w:rPr>
          <w:lang w:val="en-US" w:eastAsia="zh-CN"/>
        </w:rPr>
        <w:t>s in national sustainability agendas.</w:t>
      </w:r>
    </w:p>
    <w:p w14:paraId="4403A420" w14:textId="45507021" w:rsidR="00253789" w:rsidRPr="00705903" w:rsidRDefault="007D5B67" w:rsidP="00253789">
      <w:pPr>
        <w:pStyle w:val="NormalWeb"/>
        <w:spacing w:line="360" w:lineRule="auto"/>
        <w:ind w:firstLine="720"/>
        <w:jc w:val="both"/>
        <w:rPr>
          <w:lang w:val="en-US" w:eastAsia="zh-CN"/>
        </w:rPr>
      </w:pPr>
      <w:r w:rsidRPr="00705903">
        <w:rPr>
          <w:lang w:val="en-US" w:eastAsia="zh-CN"/>
        </w:rPr>
        <w:t xml:space="preserve">To evaluate whether </w:t>
      </w:r>
      <w:r w:rsidR="00192F61" w:rsidRPr="00705903">
        <w:rPr>
          <w:lang w:val="en-US" w:eastAsia="zh-CN"/>
        </w:rPr>
        <w:t xml:space="preserve">Environmental € </w:t>
      </w:r>
      <w:r w:rsidRPr="00705903">
        <w:rPr>
          <w:lang w:val="en-US" w:eastAsia="zh-CN"/>
        </w:rPr>
        <w:t>factor returns are structural or policy-driven, I segment the 2015–2022 sample according to major green-development milestones, following the classification reported in Appendix Table 31</w:t>
      </w:r>
      <w:r w:rsidRPr="00705903">
        <w:rPr>
          <w:rStyle w:val="FootnoteReference"/>
          <w:lang w:val="en-US" w:eastAsia="zh-CN"/>
        </w:rPr>
        <w:footnoteReference w:id="32"/>
      </w:r>
      <w:r w:rsidRPr="00705903">
        <w:rPr>
          <w:lang w:val="en-US" w:eastAsia="zh-CN"/>
        </w:rPr>
        <w:t>. This event-segmented design allows identification of periods in which policy intensity temporarily strengthens or weakens environmental pricing.</w:t>
      </w:r>
    </w:p>
    <w:p w14:paraId="5CEDCA9A" w14:textId="7DD73D1D" w:rsidR="007D5B67" w:rsidRPr="00705903" w:rsidRDefault="00253789" w:rsidP="0097761F">
      <w:pPr>
        <w:pStyle w:val="NormalWeb"/>
        <w:spacing w:line="360" w:lineRule="auto"/>
        <w:ind w:firstLine="720"/>
        <w:jc w:val="both"/>
        <w:rPr>
          <w:lang w:val="en-US" w:eastAsia="zh-CN"/>
        </w:rPr>
      </w:pPr>
      <w:r w:rsidRPr="00705903">
        <w:rPr>
          <w:lang w:eastAsia="zh-CN"/>
        </w:rPr>
        <w:t>I investigate in Appendix Table 31 whether E-factor alphas fluctuate with policy timing. Environmental portfolios earn strongly positive abnormal returns during major policy-promotion phases—such as early ecological-civilization reinforcement and the dual-carbon announcement—but generate negative or insignificant alphas when subsidies are withdrawn or policy momentum slows.</w:t>
      </w:r>
      <w:r w:rsidRPr="00705903">
        <w:rPr>
          <w:rFonts w:hint="eastAsia"/>
          <w:lang w:eastAsia="zh-CN"/>
        </w:rPr>
        <w:t xml:space="preserve"> </w:t>
      </w:r>
      <w:r w:rsidR="007D5B67" w:rsidRPr="00705903">
        <w:rPr>
          <w:lang w:val="en-US" w:eastAsia="zh-CN"/>
        </w:rPr>
        <w:t xml:space="preserve">These </w:t>
      </w:r>
      <w:proofErr w:type="gramStart"/>
      <w:r w:rsidR="007D5B67" w:rsidRPr="00705903">
        <w:rPr>
          <w:lang w:val="en-US" w:eastAsia="zh-CN"/>
        </w:rPr>
        <w:t>alternations</w:t>
      </w:r>
      <w:proofErr w:type="gramEnd"/>
      <w:r w:rsidR="007D5B67" w:rsidRPr="00705903">
        <w:rPr>
          <w:lang w:val="en-US" w:eastAsia="zh-CN"/>
        </w:rPr>
        <w:t xml:space="preserve"> indicate that environmental </w:t>
      </w:r>
      <w:proofErr w:type="gramStart"/>
      <w:r w:rsidR="007D5B67" w:rsidRPr="00705903">
        <w:rPr>
          <w:lang w:val="en-US" w:eastAsia="zh-CN"/>
        </w:rPr>
        <w:t>premia</w:t>
      </w:r>
      <w:proofErr w:type="gramEnd"/>
      <w:r w:rsidR="007D5B67" w:rsidRPr="00705903">
        <w:rPr>
          <w:lang w:val="en-US" w:eastAsia="zh-CN"/>
        </w:rPr>
        <w:t xml:space="preserve"> arise primarily when new policy signals increase investor demand for green-aligned </w:t>
      </w:r>
      <w:proofErr w:type="gramStart"/>
      <w:r w:rsidR="007D5B67" w:rsidRPr="00705903">
        <w:rPr>
          <w:lang w:val="en-US" w:eastAsia="zh-CN"/>
        </w:rPr>
        <w:t>firms, but</w:t>
      </w:r>
      <w:proofErr w:type="gramEnd"/>
      <w:r w:rsidR="007D5B67" w:rsidRPr="00705903">
        <w:rPr>
          <w:lang w:val="en-US" w:eastAsia="zh-CN"/>
        </w:rPr>
        <w:t xml:space="preserve"> fade once expectations are fully priced or fiscal support diminishes.</w:t>
      </w:r>
    </w:p>
    <w:p w14:paraId="29826A03" w14:textId="3386DF18" w:rsidR="007D5B67" w:rsidRPr="00705903" w:rsidRDefault="007D5B67" w:rsidP="0097761F">
      <w:pPr>
        <w:pStyle w:val="NormalWeb"/>
        <w:spacing w:line="360" w:lineRule="auto"/>
        <w:ind w:firstLine="720"/>
        <w:jc w:val="both"/>
        <w:rPr>
          <w:lang w:val="en-US" w:eastAsia="zh-CN"/>
        </w:rPr>
      </w:pPr>
      <w:r w:rsidRPr="00705903">
        <w:rPr>
          <w:lang w:val="en-US" w:eastAsia="zh-CN"/>
        </w:rPr>
        <w:t xml:space="preserve">Overall, the evidence suggests that environmental premia in China are policy-induced and </w:t>
      </w:r>
      <w:r w:rsidR="00192F61" w:rsidRPr="00705903">
        <w:rPr>
          <w:lang w:val="en-US" w:eastAsia="zh-CN"/>
        </w:rPr>
        <w:t>episodic</w:t>
      </w:r>
      <w:r w:rsidRPr="00705903">
        <w:rPr>
          <w:lang w:val="en-US" w:eastAsia="zh-CN"/>
        </w:rPr>
        <w:t xml:space="preserve">, rather than </w:t>
      </w:r>
      <w:r w:rsidR="00192F61" w:rsidRPr="00705903">
        <w:rPr>
          <w:lang w:val="en-US" w:eastAsia="zh-CN"/>
        </w:rPr>
        <w:t>non-</w:t>
      </w:r>
      <w:r w:rsidRPr="00705903">
        <w:rPr>
          <w:lang w:val="en-US" w:eastAsia="zh-CN"/>
        </w:rPr>
        <w:t xml:space="preserve">persistent. Unlike governance or social factors—whose valuation reflects financial constraints or reputational </w:t>
      </w:r>
      <w:proofErr w:type="gramStart"/>
      <w:r w:rsidRPr="00705903">
        <w:rPr>
          <w:lang w:val="en-US" w:eastAsia="zh-CN"/>
        </w:rPr>
        <w:t>channels—</w:t>
      </w:r>
      <w:proofErr w:type="gramEnd"/>
      <w:r w:rsidRPr="00705903">
        <w:rPr>
          <w:lang w:val="en-US" w:eastAsia="zh-CN"/>
        </w:rPr>
        <w:t>the environmental factor is mediated by industrial policy, fiscal incentives, and political signaling. Consequently, the E</w:t>
      </w:r>
      <w:r w:rsidR="00C4138C" w:rsidRPr="00705903">
        <w:rPr>
          <w:lang w:val="en-US" w:eastAsia="zh-CN"/>
        </w:rPr>
        <w:t>nvironmental (E)</w:t>
      </w:r>
      <w:r w:rsidRPr="00705903">
        <w:rPr>
          <w:lang w:val="en-US" w:eastAsia="zh-CN"/>
        </w:rPr>
        <w:t xml:space="preserve"> factor behaves as a policy-sensitive beta: it delivers transient excess returns when green-policy reinforcement occurs but reverts once subsidy intensity or political attention declines. This pattern is consistent with the policy-beta interpretation proposed by Pedersen et al. (2021) and Ding et al. (2022).</w:t>
      </w:r>
      <w:r w:rsidR="009A3234" w:rsidRPr="00705903">
        <w:rPr>
          <w:szCs w:val="22"/>
        </w:rPr>
        <w:t xml:space="preserve"> </w:t>
      </w:r>
      <w:r w:rsidR="009A3234" w:rsidRPr="00705903">
        <w:rPr>
          <w:lang w:eastAsia="zh-CN"/>
        </w:rPr>
        <w:t>These episodic return patterns motivate an analysis of how ESG factors behave under downside risk and crash conditions.</w:t>
      </w:r>
    </w:p>
    <w:p w14:paraId="021DD8BA" w14:textId="77777777" w:rsidR="00AC3144" w:rsidRPr="00705903" w:rsidRDefault="00AC3144" w:rsidP="0097761F">
      <w:pPr>
        <w:pStyle w:val="NormalWeb"/>
        <w:spacing w:line="360" w:lineRule="auto"/>
        <w:ind w:firstLine="0"/>
        <w:jc w:val="both"/>
        <w:rPr>
          <w:lang w:val="en-US"/>
        </w:rPr>
      </w:pPr>
    </w:p>
    <w:p w14:paraId="45AFA635" w14:textId="41CF5DDE" w:rsidR="00F70AFF" w:rsidRPr="00705903" w:rsidRDefault="00F70AFF" w:rsidP="0097761F">
      <w:pPr>
        <w:pStyle w:val="Heading2"/>
      </w:pPr>
      <w:r w:rsidRPr="00705903">
        <w:t>3.</w:t>
      </w:r>
      <w:r w:rsidR="002E16E8" w:rsidRPr="00705903">
        <w:t>5</w:t>
      </w:r>
      <w:r w:rsidRPr="00705903">
        <w:t xml:space="preserve"> </w:t>
      </w:r>
      <w:r w:rsidR="000B22DF" w:rsidRPr="00705903">
        <w:t>ESG Factor Downside Risk and Crash Sensitivity</w:t>
      </w:r>
    </w:p>
    <w:p w14:paraId="7E882394" w14:textId="2C346974" w:rsidR="00F70AFF" w:rsidRPr="00705903" w:rsidRDefault="00F70AFF" w:rsidP="0097761F">
      <w:pPr>
        <w:pStyle w:val="NormalWeb"/>
        <w:spacing w:line="360" w:lineRule="auto"/>
        <w:ind w:firstLine="720"/>
        <w:jc w:val="both"/>
        <w:rPr>
          <w:lang w:val="en-US" w:eastAsia="zh-CN"/>
        </w:rPr>
      </w:pPr>
      <w:r w:rsidRPr="00705903">
        <w:rPr>
          <w:lang w:val="en-US"/>
        </w:rPr>
        <w:t>This section examines how ESG-related information and risk characteristics shape market reactions, volatility, and crash resilience in China’s equity market.</w:t>
      </w:r>
      <w:r w:rsidRPr="00705903">
        <w:rPr>
          <w:lang w:val="en-US" w:eastAsia="zh-CN"/>
        </w:rPr>
        <w:t xml:space="preserve"> </w:t>
      </w:r>
      <w:r w:rsidR="00C4138C" w:rsidRPr="00705903">
        <w:rPr>
          <w:lang w:val="en-US"/>
        </w:rPr>
        <w:t>While earlier analyses show that ESG factors generate limited and transient alpha, understanding ESG’s role in risk mitigation is key to interpreting its pricing implications.</w:t>
      </w:r>
      <w:r w:rsidRPr="00705903">
        <w:rPr>
          <w:lang w:val="en-US" w:eastAsia="zh-CN"/>
        </w:rPr>
        <w:t xml:space="preserve"> </w:t>
      </w:r>
      <w:r w:rsidRPr="00705903">
        <w:rPr>
          <w:lang w:val="en-US"/>
        </w:rPr>
        <w:t>Accordingly, this section analyzes the market responses to ESG rating events, compares volatility and downside risk profiles against major stock indices, and evaluates factor behavior during systemic market crashes.</w:t>
      </w:r>
      <w:r w:rsidR="00213659" w:rsidRPr="00705903">
        <w:rPr>
          <w:lang w:val="en-US" w:eastAsia="zh-CN"/>
        </w:rPr>
        <w:t xml:space="preserve"> </w:t>
      </w:r>
    </w:p>
    <w:p w14:paraId="47C9ED49" w14:textId="6A6C3A46" w:rsidR="00F70AFF" w:rsidRPr="00705903" w:rsidRDefault="00F70AFF" w:rsidP="0097761F">
      <w:pPr>
        <w:pStyle w:val="NormalWeb"/>
        <w:spacing w:line="360" w:lineRule="auto"/>
        <w:ind w:firstLine="720"/>
        <w:jc w:val="both"/>
        <w:rPr>
          <w:lang w:val="en-US"/>
        </w:rPr>
      </w:pPr>
      <w:r w:rsidRPr="00705903">
        <w:rPr>
          <w:lang w:val="en-US"/>
        </w:rPr>
        <w:t>The first analysis focuses on market reactions to ESG rating initiations and revisions.</w:t>
      </w:r>
      <w:r w:rsidRPr="00705903">
        <w:rPr>
          <w:lang w:val="en-US" w:eastAsia="zh-CN"/>
        </w:rPr>
        <w:t xml:space="preserve"> </w:t>
      </w:r>
      <w:r w:rsidR="00253789" w:rsidRPr="00705903">
        <w:rPr>
          <w:rFonts w:hint="eastAsia"/>
          <w:lang w:val="en-US" w:eastAsia="zh-CN"/>
        </w:rPr>
        <w:t xml:space="preserve">I </w:t>
      </w:r>
      <w:proofErr w:type="gramStart"/>
      <w:r w:rsidR="00253789" w:rsidRPr="00705903">
        <w:rPr>
          <w:rFonts w:hint="eastAsia"/>
          <w:lang w:val="en-US" w:eastAsia="zh-CN"/>
        </w:rPr>
        <w:t>reports</w:t>
      </w:r>
      <w:proofErr w:type="gramEnd"/>
      <w:r w:rsidRPr="00705903">
        <w:rPr>
          <w:lang w:val="en-US"/>
        </w:rPr>
        <w:t xml:space="preserve"> results from monthly calendar-time portfolio regressions that aggregate all firms experiencing an ESG event—initiation, upgrade, or downgrade—within a given month and regress their subsequent portfolio returns on the Fama–French five factors using Newey–West standard errors with twelve lags.</w:t>
      </w:r>
      <w:r w:rsidRPr="00705903">
        <w:rPr>
          <w:lang w:val="en-US" w:eastAsia="zh-CN"/>
        </w:rPr>
        <w:t xml:space="preserve"> </w:t>
      </w:r>
      <w:r w:rsidRPr="00705903">
        <w:rPr>
          <w:lang w:val="en-US"/>
        </w:rPr>
        <w:t>The evidence shows that rating initiations produce the strongest and most significant abnormal returns (α = 0.0875, t = 4.54), far exceeding those associated with upgrades (α = 0.0078) or downgrades (α = 0.0086).</w:t>
      </w:r>
      <w:r w:rsidRPr="00705903">
        <w:rPr>
          <w:lang w:val="en-US" w:eastAsia="zh-CN"/>
        </w:rPr>
        <w:t xml:space="preserve"> </w:t>
      </w:r>
      <w:r w:rsidRPr="00705903">
        <w:rPr>
          <w:lang w:val="en-US"/>
        </w:rPr>
        <w:t>This pattern suggests that the market perceives first-time ESG coverage as a positive informational signal, reflecting improved disclosure quality, greater analyst visibility, and increased investor recognition.</w:t>
      </w:r>
      <w:r w:rsidRPr="00705903">
        <w:rPr>
          <w:lang w:val="en-US" w:eastAsia="zh-CN"/>
        </w:rPr>
        <w:t xml:space="preserve"> </w:t>
      </w:r>
      <w:r w:rsidRPr="00705903">
        <w:rPr>
          <w:lang w:val="en-US"/>
        </w:rPr>
        <w:t xml:space="preserve">The reaction is reminiscent of the “coverage initiation premium” documented in developed markets (Hong &amp; </w:t>
      </w:r>
      <w:proofErr w:type="spellStart"/>
      <w:r w:rsidRPr="00705903">
        <w:rPr>
          <w:lang w:val="en-US"/>
        </w:rPr>
        <w:t>Kacperczyk</w:t>
      </w:r>
      <w:proofErr w:type="spellEnd"/>
      <w:r w:rsidRPr="00705903">
        <w:rPr>
          <w:lang w:val="en-US"/>
        </w:rPr>
        <w:t xml:space="preserve"> 2009), where investor attention itself conveys value.</w:t>
      </w:r>
    </w:p>
    <w:p w14:paraId="28A0E190" w14:textId="77777777" w:rsidR="00F70AFF" w:rsidRPr="00705903" w:rsidRDefault="00F70AFF" w:rsidP="0097761F">
      <w:pPr>
        <w:pStyle w:val="NormalWeb"/>
        <w:spacing w:line="360" w:lineRule="auto"/>
        <w:ind w:firstLine="720"/>
        <w:jc w:val="both"/>
        <w:rPr>
          <w:lang w:val="en-US"/>
        </w:rPr>
      </w:pPr>
      <w:r w:rsidRPr="00705903">
        <w:rPr>
          <w:lang w:val="en-US"/>
        </w:rPr>
        <w:t xml:space="preserve">By contrast, subsequent revisions in ESG </w:t>
      </w:r>
      <w:proofErr w:type="gramStart"/>
      <w:r w:rsidRPr="00705903">
        <w:rPr>
          <w:lang w:val="en-US"/>
        </w:rPr>
        <w:t>scores—</w:t>
      </w:r>
      <w:proofErr w:type="gramEnd"/>
      <w:r w:rsidRPr="00705903">
        <w:rPr>
          <w:lang w:val="en-US"/>
        </w:rPr>
        <w:t xml:space="preserve">either upward or </w:t>
      </w:r>
      <w:proofErr w:type="gramStart"/>
      <w:r w:rsidRPr="00705903">
        <w:rPr>
          <w:lang w:val="en-US"/>
        </w:rPr>
        <w:t>downward—elicit</w:t>
      </w:r>
      <w:proofErr w:type="gramEnd"/>
      <w:r w:rsidRPr="00705903">
        <w:rPr>
          <w:lang w:val="en-US"/>
        </w:rPr>
        <w:t xml:space="preserve"> weaker and largely symmetric reactions, implying that investors regard incremental rating changes as less informative.</w:t>
      </w:r>
      <w:r w:rsidRPr="00705903">
        <w:rPr>
          <w:lang w:val="en-US" w:eastAsia="zh-CN"/>
        </w:rPr>
        <w:t xml:space="preserve"> </w:t>
      </w:r>
      <w:r w:rsidRPr="00705903">
        <w:rPr>
          <w:lang w:val="en-US"/>
        </w:rPr>
        <w:t>The uniformly positive coefficients for upgrades and downgrades may also indicate a structural optimism bias: firms subject to ESG evaluation already represent higher-quality issuers, and the reputational inertia surrounding ESG classifications tempers the impact of modest score changes.</w:t>
      </w:r>
      <w:r w:rsidRPr="00705903">
        <w:rPr>
          <w:rStyle w:val="FootnoteReference"/>
          <w:lang w:val="en-US"/>
        </w:rPr>
        <w:footnoteReference w:id="33"/>
      </w:r>
    </w:p>
    <w:p w14:paraId="3EFA1533" w14:textId="73E11194" w:rsidR="00F70AFF" w:rsidRPr="00705903" w:rsidRDefault="00F70AFF" w:rsidP="0097761F">
      <w:pPr>
        <w:pStyle w:val="NormalWeb"/>
        <w:spacing w:line="360" w:lineRule="auto"/>
        <w:ind w:firstLine="720"/>
        <w:jc w:val="both"/>
        <w:rPr>
          <w:lang w:val="en-US"/>
        </w:rPr>
      </w:pPr>
      <w:r w:rsidRPr="00705903">
        <w:rPr>
          <w:lang w:val="en-US"/>
        </w:rPr>
        <w:t xml:space="preserve">To assess the risk properties of ESG exposures, </w:t>
      </w:r>
      <w:r w:rsidR="00253789" w:rsidRPr="00705903">
        <w:rPr>
          <w:rFonts w:hint="eastAsia"/>
          <w:lang w:val="en-US" w:eastAsia="zh-CN"/>
        </w:rPr>
        <w:t xml:space="preserve">I </w:t>
      </w:r>
      <w:r w:rsidRPr="00705903">
        <w:rPr>
          <w:lang w:val="en-US"/>
        </w:rPr>
        <w:t>compare the volatility characteristics of the ESG high-minus-low (H–L) factor with those of major Chinese equity indices (CSI 300, SSE Composite, and SZSE Component)</w:t>
      </w:r>
      <w:r w:rsidR="00253789" w:rsidRPr="00705903">
        <w:rPr>
          <w:rFonts w:hint="eastAsia"/>
          <w:lang w:val="en-US" w:eastAsia="zh-CN"/>
        </w:rPr>
        <w:t xml:space="preserve"> in Table 33</w:t>
      </w:r>
      <w:r w:rsidRPr="00705903">
        <w:rPr>
          <w:lang w:val="en-US"/>
        </w:rPr>
        <w:t>.</w:t>
      </w:r>
      <w:r w:rsidRPr="00705903">
        <w:rPr>
          <w:lang w:val="en-US" w:eastAsia="zh-CN"/>
        </w:rPr>
        <w:t xml:space="preserve"> </w:t>
      </w:r>
      <w:r w:rsidR="00CC44DF" w:rsidRPr="00705903">
        <w:rPr>
          <w:lang w:val="en-US"/>
        </w:rPr>
        <w:t>The aggregate ESG factor exhibits lower volatility and a smaller Value-at-Risk (</w:t>
      </w:r>
      <w:proofErr w:type="spellStart"/>
      <w:r w:rsidR="00CC44DF" w:rsidRPr="00705903">
        <w:rPr>
          <w:lang w:val="en-US"/>
        </w:rPr>
        <w:t>VaR</w:t>
      </w:r>
      <w:proofErr w:type="spellEnd"/>
      <w:r w:rsidR="00CC44DF" w:rsidRPr="00705903">
        <w:rPr>
          <w:lang w:val="en-US"/>
        </w:rPr>
        <w:t xml:space="preserve"> 5% = 0.0028) compared with market benchmarks (0.0059–0.0084</w:t>
      </w:r>
      <w:proofErr w:type="gramStart"/>
      <w:r w:rsidR="00CC44DF" w:rsidRPr="00705903">
        <w:rPr>
          <w:lang w:val="en-US"/>
        </w:rPr>
        <w:t>).This</w:t>
      </w:r>
      <w:proofErr w:type="gramEnd"/>
      <w:r w:rsidR="00CC44DF" w:rsidRPr="00705903">
        <w:rPr>
          <w:lang w:val="en-US"/>
        </w:rPr>
        <w:t xml:space="preserve"> indicates a defensive, low-beta profile, driven by the concentration of ESG portfolios in firms with stable earnings, lower leverage, and stronger stakeholder support.</w:t>
      </w:r>
    </w:p>
    <w:p w14:paraId="1B0C0EBC" w14:textId="034B8EBD" w:rsidR="00F70AFF" w:rsidRPr="00705903" w:rsidRDefault="00F70AFF" w:rsidP="0097761F">
      <w:pPr>
        <w:pStyle w:val="NormalWeb"/>
        <w:spacing w:line="360" w:lineRule="auto"/>
        <w:ind w:firstLine="720"/>
        <w:jc w:val="both"/>
        <w:rPr>
          <w:lang w:val="en-US"/>
        </w:rPr>
      </w:pPr>
      <w:r w:rsidRPr="00705903">
        <w:rPr>
          <w:lang w:val="en-US"/>
        </w:rPr>
        <w:t xml:space="preserve">However, </w:t>
      </w:r>
      <w:r w:rsidR="00253789" w:rsidRPr="00705903">
        <w:rPr>
          <w:rFonts w:hint="eastAsia"/>
          <w:lang w:val="en-US" w:eastAsia="zh-CN"/>
        </w:rPr>
        <w:t>my</w:t>
      </w:r>
      <w:r w:rsidRPr="00705903">
        <w:rPr>
          <w:lang w:val="en-US"/>
        </w:rPr>
        <w:t xml:space="preserve"> subsequent analysis in Table 34 shows that lower volatility does not necessarily yield superior risk-adjusted performance: all ESG and sub-pillar portfolios record slightly negative Sortino ratios, indicating that while ESG exposures reduce downside fluctuations, they do not enhance average returns during normal market conditions.</w:t>
      </w:r>
      <w:r w:rsidRPr="00705903">
        <w:rPr>
          <w:lang w:val="en-US" w:eastAsia="zh-CN"/>
        </w:rPr>
        <w:t xml:space="preserve"> </w:t>
      </w:r>
      <w:r w:rsidRPr="00705903">
        <w:rPr>
          <w:lang w:val="en-US"/>
        </w:rPr>
        <w:t>Among sub-pillars, the Governance (G) factor displays the highest volatility and downside sensitivity, consistent with its heavy weighting in financially leveraged and policy-regulated sectors, whereas the Environmental (E) and Social (S) factors maintain comparatively stable profiles.</w:t>
      </w:r>
    </w:p>
    <w:p w14:paraId="389E0788" w14:textId="77777777" w:rsidR="00F70AFF" w:rsidRPr="00705903" w:rsidRDefault="00F70AFF" w:rsidP="0097761F">
      <w:pPr>
        <w:pStyle w:val="NormalWeb"/>
        <w:spacing w:line="360" w:lineRule="auto"/>
        <w:ind w:firstLine="0"/>
        <w:jc w:val="both"/>
        <w:rPr>
          <w:lang w:val="en-US"/>
        </w:rPr>
      </w:pPr>
      <w:r w:rsidRPr="00705903">
        <w:rPr>
          <w:lang w:val="en-US"/>
        </w:rPr>
        <w:t>Overall, these results indicate that ESG factors in China act primarily as volatility dampeners rather than sources of persistent alpha, providing risk mitigation without performance enhancement.</w:t>
      </w:r>
    </w:p>
    <w:p w14:paraId="2193BFF4" w14:textId="6E8E4939" w:rsidR="00F70AFF" w:rsidRPr="00705903" w:rsidRDefault="00253789" w:rsidP="0097761F">
      <w:pPr>
        <w:pStyle w:val="NormalWeb"/>
        <w:spacing w:line="360" w:lineRule="auto"/>
        <w:ind w:firstLine="720"/>
        <w:jc w:val="both"/>
        <w:rPr>
          <w:lang w:val="en-US"/>
        </w:rPr>
      </w:pPr>
      <w:r w:rsidRPr="00705903">
        <w:rPr>
          <w:rFonts w:hint="eastAsia"/>
          <w:lang w:val="en-US" w:eastAsia="zh-CN"/>
        </w:rPr>
        <w:t xml:space="preserve">I </w:t>
      </w:r>
      <w:r w:rsidRPr="00705903">
        <w:rPr>
          <w:lang w:val="en-US" w:eastAsia="zh-CN"/>
        </w:rPr>
        <w:t>investigate</w:t>
      </w:r>
      <w:r w:rsidRPr="00705903">
        <w:rPr>
          <w:rFonts w:hint="eastAsia"/>
          <w:lang w:val="en-US" w:eastAsia="zh-CN"/>
        </w:rPr>
        <w:t xml:space="preserve"> in </w:t>
      </w:r>
      <w:r w:rsidR="00F70AFF" w:rsidRPr="00705903">
        <w:rPr>
          <w:lang w:val="en-US"/>
        </w:rPr>
        <w:t xml:space="preserve">Table </w:t>
      </w:r>
      <w:r w:rsidRPr="00705903">
        <w:rPr>
          <w:lang w:val="en-US"/>
        </w:rPr>
        <w:t>35</w:t>
      </w:r>
      <w:r w:rsidR="00F70AFF" w:rsidRPr="00705903">
        <w:rPr>
          <w:lang w:val="en-US"/>
        </w:rPr>
        <w:t xml:space="preserve"> whether ESG factors offer protection during systemic market crashes.</w:t>
      </w:r>
      <w:r w:rsidR="00F70AFF" w:rsidRPr="00705903">
        <w:rPr>
          <w:lang w:val="en-US" w:eastAsia="zh-CN"/>
        </w:rPr>
        <w:t xml:space="preserve"> </w:t>
      </w:r>
      <w:r w:rsidR="00F70AFF" w:rsidRPr="00705903">
        <w:rPr>
          <w:lang w:val="en-US"/>
        </w:rPr>
        <w:t>Following Chen, Hong, and Stein (2001), I estimate crash-beta regressions conditioning on increasingly severe downside thresholds (–5% to –11%) of market returns.</w:t>
      </w:r>
      <w:r w:rsidR="00F70AFF" w:rsidRPr="00705903">
        <w:rPr>
          <w:lang w:val="en-US" w:eastAsia="zh-CN"/>
        </w:rPr>
        <w:t xml:space="preserve"> </w:t>
      </w:r>
      <w:r w:rsidR="00F70AFF" w:rsidRPr="00705903">
        <w:rPr>
          <w:lang w:val="en-US"/>
        </w:rPr>
        <w:t xml:space="preserve">The aggregate ESG H–L factor exhibits consistently small and statistically insignificant crash betas, even under the most extreme cutoffs, confirming its resilience to systemic </w:t>
      </w:r>
      <w:proofErr w:type="gramStart"/>
      <w:r w:rsidR="00F70AFF" w:rsidRPr="00705903">
        <w:rPr>
          <w:lang w:val="en-US"/>
        </w:rPr>
        <w:t>sell-offs</w:t>
      </w:r>
      <w:proofErr w:type="gramEnd"/>
      <w:r w:rsidR="00F70AFF" w:rsidRPr="00705903">
        <w:rPr>
          <w:lang w:val="en-US"/>
        </w:rPr>
        <w:t>.</w:t>
      </w:r>
      <w:r w:rsidR="00F70AFF" w:rsidRPr="00705903">
        <w:rPr>
          <w:lang w:val="en-US" w:eastAsia="zh-CN"/>
        </w:rPr>
        <w:t xml:space="preserve"> </w:t>
      </w:r>
      <w:r w:rsidR="00F70AFF" w:rsidRPr="00705903">
        <w:rPr>
          <w:lang w:val="en-US"/>
        </w:rPr>
        <w:t>At the sub-pillar level, the Environmental factor displays mild fragility, with significantly positive crash betas under moderate thresholds (–5% to –7%), implying that investors temporarily de-risk green assets when liquidity tightens.</w:t>
      </w:r>
      <w:r w:rsidR="00F70AFF" w:rsidRPr="00705903">
        <w:rPr>
          <w:lang w:val="en-US" w:eastAsia="zh-CN"/>
        </w:rPr>
        <w:t xml:space="preserve"> </w:t>
      </w:r>
      <w:r w:rsidR="00F70AFF" w:rsidRPr="00705903">
        <w:rPr>
          <w:lang w:val="en-US"/>
        </w:rPr>
        <w:t>The Social factor remains largely immune to crashes, often generating positive returns in stress periods, consistent with the notion that firms demonstrating strong social responsibility benefit from stakeholder loyalty and reputational insurance (Lins, Servaes &amp; Tamayo 2017).</w:t>
      </w:r>
      <w:r w:rsidR="00F70AFF" w:rsidRPr="00705903">
        <w:rPr>
          <w:lang w:val="en-US" w:eastAsia="zh-CN"/>
        </w:rPr>
        <w:t xml:space="preserve"> </w:t>
      </w:r>
      <w:r w:rsidR="00F70AFF" w:rsidRPr="00705903">
        <w:rPr>
          <w:lang w:val="en-US"/>
        </w:rPr>
        <w:t>In contrast, the Governance factor is the most vulnerable, showing negative and near-significant crash betas (p ≈ 0.10), reflecting its exposure to financial and real-estate shocks where tight regulation and leverage amplify systemic stress.</w:t>
      </w:r>
      <w:r w:rsidR="00F70AFF" w:rsidRPr="00705903">
        <w:rPr>
          <w:lang w:val="en-US" w:eastAsia="zh-CN"/>
        </w:rPr>
        <w:t xml:space="preserve"> </w:t>
      </w:r>
      <w:r w:rsidR="00F70AFF" w:rsidRPr="00705903">
        <w:rPr>
          <w:lang w:val="en-US"/>
        </w:rPr>
        <w:t xml:space="preserve">Taken together, these results suggest that ESG resilience in China is dimension-specific—driven primarily by the </w:t>
      </w:r>
      <w:proofErr w:type="gramStart"/>
      <w:r w:rsidR="00F70AFF" w:rsidRPr="00705903">
        <w:rPr>
          <w:lang w:val="en-US"/>
        </w:rPr>
        <w:t>Social</w:t>
      </w:r>
      <w:proofErr w:type="gramEnd"/>
      <w:r w:rsidR="00F70AFF" w:rsidRPr="00705903">
        <w:rPr>
          <w:lang w:val="en-US"/>
        </w:rPr>
        <w:t xml:space="preserve"> pillar, mildly supported by Environmental exposure, and offset by Governance fragility.</w:t>
      </w:r>
    </w:p>
    <w:p w14:paraId="2155D623" w14:textId="1FBDBB34" w:rsidR="00F70AFF" w:rsidRPr="00705903" w:rsidRDefault="00F70AFF" w:rsidP="0097761F">
      <w:pPr>
        <w:pStyle w:val="NormalWeb"/>
        <w:spacing w:line="360" w:lineRule="auto"/>
        <w:ind w:firstLine="720"/>
        <w:jc w:val="both"/>
        <w:rPr>
          <w:lang w:val="en-US" w:eastAsia="zh-CN"/>
        </w:rPr>
      </w:pPr>
      <w:r w:rsidRPr="00705903">
        <w:rPr>
          <w:lang w:val="en-US"/>
        </w:rPr>
        <w:t>Synthesizing the evidence across event reactions, volatility diagnostics, and crash behavior reveals a consistent pattern.</w:t>
      </w:r>
      <w:r w:rsidRPr="00705903">
        <w:rPr>
          <w:lang w:val="en-US" w:eastAsia="zh-CN"/>
        </w:rPr>
        <w:t xml:space="preserve"> </w:t>
      </w:r>
      <w:r w:rsidRPr="00705903">
        <w:rPr>
          <w:lang w:val="en-US"/>
        </w:rPr>
        <w:t>ESG in China functions less as a priced factor and more as a reputational and stability signal.</w:t>
      </w:r>
      <w:r w:rsidRPr="00705903">
        <w:rPr>
          <w:lang w:val="en-US" w:eastAsia="zh-CN"/>
        </w:rPr>
        <w:t xml:space="preserve"> </w:t>
      </w:r>
      <w:r w:rsidRPr="00705903">
        <w:rPr>
          <w:lang w:val="en-US"/>
        </w:rPr>
        <w:t>Rating initiations yield short-term valuation gains through enhanced investor recognition, while long-term ESG holdings reduce volatility and tail risk without generating excess returns.</w:t>
      </w:r>
      <w:r w:rsidRPr="00705903">
        <w:rPr>
          <w:lang w:val="en-US" w:eastAsia="zh-CN"/>
        </w:rPr>
        <w:t xml:space="preserve"> </w:t>
      </w:r>
      <w:r w:rsidRPr="00705903">
        <w:rPr>
          <w:lang w:val="en-US"/>
        </w:rPr>
        <w:t>Among the three pillars, social performance offers genuine defensive capacity, whereas governance rigidity and sectoral concentration weaken overall resilience.</w:t>
      </w:r>
      <w:r w:rsidRPr="00705903">
        <w:rPr>
          <w:lang w:val="en-US" w:eastAsia="zh-CN"/>
        </w:rPr>
        <w:t xml:space="preserve"> </w:t>
      </w:r>
      <w:r w:rsidRPr="00705903">
        <w:rPr>
          <w:lang w:val="en-US"/>
        </w:rPr>
        <w:t>These findings align with Pedersen et al. (2021) and Broadstock et al. (2021), who document similar downside-hedging but non-alpha effects of ESG integration in global and emerging markets.</w:t>
      </w:r>
      <w:r w:rsidRPr="00705903">
        <w:rPr>
          <w:lang w:val="en-US" w:eastAsia="zh-CN"/>
        </w:rPr>
        <w:t xml:space="preserve"> </w:t>
      </w:r>
      <w:r w:rsidRPr="00705903">
        <w:rPr>
          <w:lang w:val="en-US"/>
        </w:rPr>
        <w:t>In China’s transitional institutional setting, ESG thus represents a conditional, policy-sensitive stability mechanism rather than a structural risk premium, reflecting investors’ preference for trust, legitimacy, and continuity amid regulatory and economic uncertainty</w:t>
      </w:r>
      <w:r w:rsidR="009A3234" w:rsidRPr="00705903">
        <w:rPr>
          <w:lang w:val="en-US" w:eastAsia="zh-CN"/>
        </w:rPr>
        <w:t>. These patterns motivate a series of robustness checks to confirm that the documented relationships are not artifacts of data choices or specification design.</w:t>
      </w:r>
    </w:p>
    <w:p w14:paraId="4A0742F7" w14:textId="50686642" w:rsidR="004903F4" w:rsidRPr="00705903" w:rsidRDefault="004903F4" w:rsidP="0097761F">
      <w:pPr>
        <w:spacing w:after="160" w:line="259" w:lineRule="auto"/>
        <w:ind w:firstLine="0"/>
        <w:jc w:val="both"/>
        <w:rPr>
          <w:rStyle w:val="Strong"/>
          <w:b w:val="0"/>
          <w:bCs w:val="0"/>
          <w:lang w:val="en-US"/>
        </w:rPr>
      </w:pPr>
    </w:p>
    <w:p w14:paraId="34740E0A" w14:textId="77777777" w:rsidR="0097761F" w:rsidRPr="00705903" w:rsidRDefault="0097761F" w:rsidP="0097761F">
      <w:pPr>
        <w:spacing w:after="160" w:line="259" w:lineRule="auto"/>
        <w:ind w:firstLine="0"/>
        <w:jc w:val="both"/>
        <w:rPr>
          <w:rStyle w:val="Strong"/>
          <w:b w:val="0"/>
          <w:bCs w:val="0"/>
          <w:szCs w:val="24"/>
          <w:lang w:val="en-US"/>
        </w:rPr>
      </w:pPr>
    </w:p>
    <w:p w14:paraId="74DD7EFA" w14:textId="697ED370" w:rsidR="004903F4" w:rsidRPr="00705903" w:rsidRDefault="00E3452B" w:rsidP="0097761F">
      <w:pPr>
        <w:pStyle w:val="Heading1"/>
        <w:numPr>
          <w:ilvl w:val="0"/>
          <w:numId w:val="35"/>
        </w:numPr>
      </w:pPr>
      <w:r w:rsidRPr="00705903">
        <w:t>Robustness Checks for Concerns and Alternative Explanations</w:t>
      </w:r>
    </w:p>
    <w:p w14:paraId="077AF507" w14:textId="575804BB" w:rsidR="00513C01" w:rsidRPr="00705903" w:rsidRDefault="00513C01" w:rsidP="0097761F">
      <w:pPr>
        <w:pStyle w:val="Heading2"/>
      </w:pPr>
      <w:r w:rsidRPr="00705903">
        <w:t>4.1. Data Source Consistency: CNRDS vs. CSMAR Ratings</w:t>
      </w:r>
    </w:p>
    <w:p w14:paraId="3BCA5A5B" w14:textId="25399316" w:rsidR="00513C01" w:rsidRPr="00705903" w:rsidRDefault="005D0C1F" w:rsidP="0097761F">
      <w:pPr>
        <w:spacing w:line="360" w:lineRule="auto"/>
        <w:ind w:firstLine="720"/>
        <w:jc w:val="both"/>
        <w:rPr>
          <w:lang w:eastAsia="zh-CN"/>
        </w:rPr>
      </w:pPr>
      <w:r w:rsidRPr="00705903">
        <w:rPr>
          <w:lang w:eastAsia="zh-CN"/>
        </w:rPr>
        <w:t xml:space="preserve">A key concern is whether the observed negative ESG–return relationship is an artifact of a particular data provider. To address this, we reconstruct the ESG High–Low (H–L) portfolios using an alternative dataset from CSMAR, which sources its ESG ratings from </w:t>
      </w:r>
      <w:proofErr w:type="spellStart"/>
      <w:r w:rsidRPr="00705903">
        <w:rPr>
          <w:lang w:eastAsia="zh-CN"/>
        </w:rPr>
        <w:t>SynTao</w:t>
      </w:r>
      <w:proofErr w:type="spellEnd"/>
      <w:r w:rsidRPr="00705903">
        <w:rPr>
          <w:lang w:eastAsia="zh-CN"/>
        </w:rPr>
        <w:t xml:space="preserve"> Green Finance —one of China’s earliest and most established ESG data providers. </w:t>
      </w:r>
      <w:proofErr w:type="spellStart"/>
      <w:r w:rsidRPr="00705903">
        <w:rPr>
          <w:lang w:eastAsia="zh-CN"/>
        </w:rPr>
        <w:t>SynTao</w:t>
      </w:r>
      <w:proofErr w:type="spellEnd"/>
      <w:r w:rsidRPr="00705903">
        <w:rPr>
          <w:lang w:eastAsia="zh-CN"/>
        </w:rPr>
        <w:t xml:space="preserve"> launched its proprietary ESG rating system in 2015 and created China’s first comprehensive ESG database covering all A-share listed firms, Hong Kong–listed companies under the Stock Connect program, and major bond issuers. Its framework evaluates firms across 14 key ESG issues and nearly 200 indicators (based on around 700 underlying data points) tailored to 51 industry-specific models. Each company receives a composite ESG score (0–100) and a rating grade (A+ to D), derived from both ESG management performance and risk exposure. </w:t>
      </w:r>
    </w:p>
    <w:p w14:paraId="6440AA50" w14:textId="77777777" w:rsidR="002B0F4B" w:rsidRPr="00705903" w:rsidRDefault="002B0F4B" w:rsidP="0097761F">
      <w:pPr>
        <w:spacing w:line="360" w:lineRule="auto"/>
        <w:ind w:firstLine="720"/>
        <w:jc w:val="both"/>
        <w:rPr>
          <w:lang w:eastAsia="zh-CN"/>
        </w:rPr>
      </w:pPr>
      <w:r w:rsidRPr="00705903">
        <w:rPr>
          <w:lang w:eastAsia="zh-CN"/>
        </w:rPr>
        <w:t>Before presenting the empirical results, it is important to clarify the construction of the firm-year panel used throughout the analysis. All tests are performed on a dataset pre-merged from the CNRDS ESG Rating Database and CSMAR/Wind financial databases at the firm-year level. The merge is based on an exact match of stock code and fiscal year, meaning that a firm-year observation enters the sample only when a valid ESG rating from CNRDS can be paired with return and financial information from CSMAR/Wind in the same year. No imputation is applied; observations with missing data are removed via listwise deletion. For year-by-year cross-database comparisons (e.g., the correlation analysis in Appendix B), I further impose symmetric coverage, restricting the sample to firm-year observations for which both databases report ESG ratings. This ensures that all estimates—portfolio sorts, factor regressions, downside-risk metrics, and rating-divergence statistics—are based on fully comparable and jointly observed firm-year data.</w:t>
      </w:r>
    </w:p>
    <w:p w14:paraId="04840F84" w14:textId="0172DA63" w:rsidR="005D0C1F" w:rsidRPr="00705903" w:rsidRDefault="005D0C1F" w:rsidP="0097761F">
      <w:pPr>
        <w:spacing w:line="360" w:lineRule="auto"/>
        <w:ind w:firstLine="720"/>
        <w:jc w:val="both"/>
        <w:rPr>
          <w:lang w:val="en-US" w:eastAsia="zh-CN"/>
        </w:rPr>
      </w:pPr>
      <w:r w:rsidRPr="00705903">
        <w:rPr>
          <w:lang w:eastAsia="zh-CN"/>
        </w:rPr>
        <w:t>Using this CSMAR–</w:t>
      </w:r>
      <w:proofErr w:type="spellStart"/>
      <w:r w:rsidRPr="00705903">
        <w:rPr>
          <w:lang w:eastAsia="zh-CN"/>
        </w:rPr>
        <w:t>SynTao</w:t>
      </w:r>
      <w:proofErr w:type="spellEnd"/>
      <w:r w:rsidRPr="00705903">
        <w:rPr>
          <w:lang w:eastAsia="zh-CN"/>
        </w:rPr>
        <w:t xml:space="preserve"> dataset, we re‐estimate the ESG High–Low (H–L) portfolios for the overlapping years 2015–2020 and compare them with the baseline CNRDS sample. Despite methodological and coverage differences between the two databases, both systems yield qualitatively similar findings: ESG premiums remain weak or negative, with the governance (G) pillar consistently producing significant underperformance. The CNRDS-based results show a pronounced negative governance spread (−18.3%, t = −6.88, p &lt; 0.01), while CSMAR results display small and insignificant coefficients across most dimensions. </w:t>
      </w:r>
      <w:r w:rsidR="00323498" w:rsidRPr="00705903">
        <w:rPr>
          <w:lang w:val="en-US" w:eastAsia="zh-CN"/>
        </w:rPr>
        <w:t>Notably, the near-zero Spearman correlation (average: 0.08) between CNRDS and CSMAR ESG scores reveals significant inconsistency between the two rating systems, underscoring the impact of their divergent methodologies.</w:t>
      </w:r>
      <w:r w:rsidR="00485832" w:rsidRPr="00705903">
        <w:rPr>
          <w:lang w:val="en-US" w:eastAsia="zh-CN"/>
        </w:rPr>
        <w:t xml:space="preserve"> </w:t>
      </w:r>
      <w:r w:rsidR="003D2790" w:rsidRPr="00705903">
        <w:rPr>
          <w:lang w:eastAsia="zh-CN"/>
        </w:rPr>
        <w:t xml:space="preserve">The absence of cross-system agreement is further illustrated in Appendix Figure 24: both raw and percentile-normalized ESG scores produce a diffuse, non-monotonic scatter plot with near-zero slope, visually reinforcing the minimal correlations reported above. </w:t>
      </w:r>
      <w:r w:rsidR="00485832" w:rsidRPr="00705903">
        <w:rPr>
          <w:lang w:eastAsia="zh-CN"/>
        </w:rPr>
        <w:t>The stability of the estimated ESG premium across two fundamentally different rating architectures therefore provides strong evidence that our findings are robust to alternative data constructions and generalize beyond a single ESG vendor.</w:t>
      </w:r>
    </w:p>
    <w:p w14:paraId="3A66C58A" w14:textId="70F38231" w:rsidR="005D0C1F" w:rsidRPr="00705903" w:rsidRDefault="005D0C1F" w:rsidP="0097761F">
      <w:pPr>
        <w:spacing w:line="360" w:lineRule="auto"/>
        <w:ind w:firstLine="720"/>
        <w:jc w:val="both"/>
        <w:rPr>
          <w:lang w:eastAsia="zh-CN"/>
        </w:rPr>
      </w:pPr>
      <w:r w:rsidRPr="00705903">
        <w:rPr>
          <w:lang w:eastAsia="zh-CN"/>
        </w:rPr>
        <w:t>This cross-database comparison confirms that the inverse ESG–return association is not driven by measurement bias from a single data source. Instead, it reflects a structural feature of the Chinese equity market, where ESG attributes are conditionally priced and largely influenced by the orientation of the underlying rating methodology. The detailed regression outputs, mean return tables, and inter-database correlations are reported in Appendix B.</w:t>
      </w:r>
      <w:r w:rsidR="009A3234" w:rsidRPr="00705903">
        <w:rPr>
          <w:lang w:eastAsia="zh-CN"/>
        </w:rPr>
        <w:t xml:space="preserve"> These findings motivate a further assessment of whether the documented patterns persist under alternative portfolio groupings and outlier treatments.</w:t>
      </w:r>
    </w:p>
    <w:p w14:paraId="6EC93E35" w14:textId="77777777" w:rsidR="005D0C1F" w:rsidRPr="00705903" w:rsidRDefault="005D0C1F" w:rsidP="0097761F">
      <w:pPr>
        <w:spacing w:line="360" w:lineRule="auto"/>
        <w:ind w:firstLine="720"/>
        <w:jc w:val="both"/>
        <w:rPr>
          <w:lang w:val="en-US" w:eastAsia="zh-CN"/>
        </w:rPr>
      </w:pPr>
    </w:p>
    <w:p w14:paraId="5CF93497" w14:textId="77777777" w:rsidR="00513C01" w:rsidRPr="00705903" w:rsidRDefault="00513C01" w:rsidP="0097761F">
      <w:pPr>
        <w:pStyle w:val="Heading2"/>
      </w:pPr>
      <w:r w:rsidRPr="00705903">
        <w:t>4.2. Portfolio Construction and Sorting Granularity</w:t>
      </w:r>
    </w:p>
    <w:p w14:paraId="75580AB3" w14:textId="77777777" w:rsidR="00D164AF" w:rsidRPr="00705903" w:rsidRDefault="00D164AF" w:rsidP="0097761F">
      <w:pPr>
        <w:spacing w:line="360" w:lineRule="auto"/>
        <w:ind w:firstLine="720"/>
        <w:jc w:val="both"/>
        <w:rPr>
          <w:lang w:val="en-US" w:eastAsia="zh-CN"/>
        </w:rPr>
      </w:pPr>
      <w:r w:rsidRPr="00705903">
        <w:rPr>
          <w:lang w:val="en-US" w:eastAsia="zh-CN"/>
        </w:rPr>
        <w:t xml:space="preserve">Another potential concern is that the negative ESG premium might be an artifact of the portfolio grouping </w:t>
      </w:r>
      <w:proofErr w:type="gramStart"/>
      <w:r w:rsidRPr="00705903">
        <w:rPr>
          <w:lang w:val="en-US" w:eastAsia="zh-CN"/>
        </w:rPr>
        <w:t>scheme—</w:t>
      </w:r>
      <w:proofErr w:type="gramEnd"/>
      <w:r w:rsidRPr="00705903">
        <w:rPr>
          <w:lang w:val="en-US" w:eastAsia="zh-CN"/>
        </w:rPr>
        <w:t>e.g., whether portfolios are formed by deciles or quintiles, or whether extreme values distort the distribution of ESG scores and returns. To test this, we re‐estimate the ESG High–Low (H–L) spreads under alternative grouping granularity and outlier treatments.</w:t>
      </w:r>
    </w:p>
    <w:p w14:paraId="4D9F6C8A" w14:textId="77777777" w:rsidR="00D164AF" w:rsidRPr="00705903" w:rsidRDefault="00D164AF" w:rsidP="0097761F">
      <w:pPr>
        <w:spacing w:line="360" w:lineRule="auto"/>
        <w:ind w:firstLine="720"/>
        <w:jc w:val="both"/>
        <w:rPr>
          <w:lang w:val="en-US" w:eastAsia="zh-CN"/>
        </w:rPr>
      </w:pPr>
      <w:r w:rsidRPr="00705903">
        <w:rPr>
          <w:lang w:val="en-US" w:eastAsia="zh-CN"/>
        </w:rPr>
        <w:t xml:space="preserve">The results remain remarkably stable across specifications. Whether portfolios are formed using ten deciles or five quintiles, and whether ESG scores and returns are </w:t>
      </w:r>
      <w:proofErr w:type="spellStart"/>
      <w:r w:rsidRPr="00705903">
        <w:rPr>
          <w:lang w:val="en-US" w:eastAsia="zh-CN"/>
        </w:rPr>
        <w:t>winsorized</w:t>
      </w:r>
      <w:proofErr w:type="spellEnd"/>
      <w:r w:rsidRPr="00705903">
        <w:rPr>
          <w:lang w:val="en-US" w:eastAsia="zh-CN"/>
        </w:rPr>
        <w:t xml:space="preserve"> at the 1st–99th percentile, the direction and magnitude of the ESG premium persist. The overall ESG spread ranges from −2.8% to −3.2% per year (p &lt; 0.05), and the governance (G) pillar consistently drives the underperformance (−7% to −9%, p &lt; 0.01). Similarly, using both equal-weighted and value-weighted portfolio schemes produces nearly identical return spreads, further reinforcing the conclusion that ESG underperformance is independent of </w:t>
      </w:r>
      <w:proofErr w:type="gramStart"/>
      <w:r w:rsidRPr="00705903">
        <w:rPr>
          <w:lang w:val="en-US" w:eastAsia="zh-CN"/>
        </w:rPr>
        <w:t>weighting</w:t>
      </w:r>
      <w:proofErr w:type="gramEnd"/>
      <w:r w:rsidRPr="00705903">
        <w:rPr>
          <w:lang w:val="en-US" w:eastAsia="zh-CN"/>
        </w:rPr>
        <w:t xml:space="preserve"> design.</w:t>
      </w:r>
    </w:p>
    <w:p w14:paraId="7813B92E" w14:textId="7DF7AED0" w:rsidR="00D164AF" w:rsidRPr="00705903" w:rsidRDefault="00D164AF" w:rsidP="0097761F">
      <w:pPr>
        <w:spacing w:line="360" w:lineRule="auto"/>
        <w:ind w:firstLine="720"/>
        <w:jc w:val="both"/>
        <w:rPr>
          <w:lang w:val="en-US" w:eastAsia="zh-CN"/>
        </w:rPr>
      </w:pPr>
      <w:r w:rsidRPr="00705903">
        <w:rPr>
          <w:lang w:val="en-US" w:eastAsia="zh-CN"/>
        </w:rPr>
        <w:t xml:space="preserve">These findings demonstrate that the negative ESG–return relation is not a byproduct of portfolio design, sorting granularity, or data extremes. The effect is robust to alternative constructions, indicating structural persistence rather than statistical artifact. Full robustness tables, including decile–quintile comparisons and </w:t>
      </w:r>
      <w:proofErr w:type="spellStart"/>
      <w:r w:rsidRPr="00705903">
        <w:rPr>
          <w:lang w:val="en-US" w:eastAsia="zh-CN"/>
        </w:rPr>
        <w:t>winsorization</w:t>
      </w:r>
      <w:proofErr w:type="spellEnd"/>
      <w:r w:rsidRPr="00705903">
        <w:rPr>
          <w:lang w:val="en-US" w:eastAsia="zh-CN"/>
        </w:rPr>
        <w:t xml:space="preserve"> tests, are provided in Appendix C and Appendix E.</w:t>
      </w:r>
      <w:r w:rsidR="009A3234" w:rsidRPr="00705903">
        <w:rPr>
          <w:lang w:val="en-US" w:eastAsia="zh-CN"/>
        </w:rPr>
        <w:t xml:space="preserve"> </w:t>
      </w:r>
      <w:r w:rsidR="009A3234" w:rsidRPr="00705903">
        <w:rPr>
          <w:lang w:eastAsia="zh-CN"/>
        </w:rPr>
        <w:t>These portfolio-level robustness checks set the stage for examining whether the ESG premium itself varies across policy and macroeconomic regimes.</w:t>
      </w:r>
    </w:p>
    <w:p w14:paraId="6C2D2582" w14:textId="77777777" w:rsidR="00513C01" w:rsidRPr="00705903" w:rsidRDefault="00513C01" w:rsidP="0097761F">
      <w:pPr>
        <w:spacing w:line="360" w:lineRule="auto"/>
        <w:ind w:firstLine="0"/>
        <w:jc w:val="both"/>
        <w:rPr>
          <w:lang w:val="en-US" w:eastAsia="zh-CN"/>
        </w:rPr>
      </w:pPr>
    </w:p>
    <w:p w14:paraId="1B04DA99" w14:textId="77777777" w:rsidR="00513C01" w:rsidRPr="00705903" w:rsidRDefault="00513C01" w:rsidP="0097761F">
      <w:pPr>
        <w:pStyle w:val="Heading2"/>
      </w:pPr>
      <w:r w:rsidRPr="00705903">
        <w:t>4.3. Time-Varying and Policy-Dependent ESG Effects</w:t>
      </w:r>
    </w:p>
    <w:p w14:paraId="7527FC10" w14:textId="77777777" w:rsidR="00D164AF" w:rsidRPr="00705903" w:rsidRDefault="00D164AF" w:rsidP="0097761F">
      <w:pPr>
        <w:spacing w:line="360" w:lineRule="auto"/>
        <w:ind w:firstLine="720"/>
        <w:jc w:val="both"/>
        <w:rPr>
          <w:lang w:val="en-US" w:eastAsia="zh-CN"/>
        </w:rPr>
      </w:pPr>
      <w:r w:rsidRPr="00705903">
        <w:rPr>
          <w:lang w:val="en-US" w:eastAsia="zh-CN"/>
        </w:rPr>
        <w:t>A further concern is that the ESG premium may be time-specific, reflecting temporary policy or macro shocks rather than persistent pricing effects. To explore this, we segment the sample into three policy and crisis subperiods—pre-policy (2011–2016), policy-promotion (2017–2019), and COVID/dual-carbon (2020–2022)—and re‐estimate Fama–French five-factor regressions with Newey–West HAC corrections.</w:t>
      </w:r>
    </w:p>
    <w:p w14:paraId="19FDE67A" w14:textId="77777777" w:rsidR="00D164AF" w:rsidRPr="00705903" w:rsidRDefault="00D164AF" w:rsidP="0097761F">
      <w:pPr>
        <w:spacing w:line="360" w:lineRule="auto"/>
        <w:ind w:firstLine="720"/>
        <w:jc w:val="both"/>
        <w:rPr>
          <w:lang w:val="en-US" w:eastAsia="zh-CN"/>
        </w:rPr>
      </w:pPr>
      <w:r w:rsidRPr="00705903">
        <w:rPr>
          <w:lang w:val="en-US" w:eastAsia="zh-CN"/>
        </w:rPr>
        <w:t>The results show clear time variation: the ESG alpha is negative before 2017 (−0.46, t = −1.81), insignificant during the 2017–2019 green‐finance expansion, and negative again during the 2020–2022 COVID and dual‐carbon period (−0.66). These patterns indicate that ESG pricing in China is policy-contingent—investors reward ESG performance during periods of strong government advocacy but penalize it under regulatory tightening or macro stress.</w:t>
      </w:r>
    </w:p>
    <w:p w14:paraId="3C7FA91E" w14:textId="6E14F427" w:rsidR="00D164AF" w:rsidRPr="00705903" w:rsidRDefault="00D164AF" w:rsidP="0097761F">
      <w:pPr>
        <w:spacing w:line="360" w:lineRule="auto"/>
        <w:ind w:firstLine="720"/>
        <w:jc w:val="both"/>
        <w:rPr>
          <w:lang w:val="en-US" w:eastAsia="zh-CN"/>
        </w:rPr>
      </w:pPr>
      <w:r w:rsidRPr="00705903">
        <w:rPr>
          <w:lang w:val="en-US" w:eastAsia="zh-CN"/>
        </w:rPr>
        <w:t xml:space="preserve">This dynamic behavior aligns with difference-in-differences logic, where ESG shocks (e.g., policy events or ESG rating initiations) generate short-lived abnormal returns that dissipate once the policy cycle stabilizes. An additional event-window analysis around the 2016 release of </w:t>
      </w:r>
      <w:r w:rsidRPr="00705903">
        <w:rPr>
          <w:i/>
          <w:iCs/>
          <w:lang w:val="en-US" w:eastAsia="zh-CN"/>
        </w:rPr>
        <w:t>Guidelines for Establishing the Green Financial System</w:t>
      </w:r>
      <w:r w:rsidRPr="00705903">
        <w:rPr>
          <w:lang w:val="en-US" w:eastAsia="zh-CN"/>
        </w:rPr>
        <w:t xml:space="preserve"> confirms this pattern, showing a short-term ESG return reversal within six months post-announcement. Thus, ESG valuation effects in China appear episodic and regime-dependent rather than structural or permanent. Full subsample regressions and event-window plots are presented in Appendix D.</w:t>
      </w:r>
      <w:r w:rsidR="009A3234" w:rsidRPr="00705903">
        <w:rPr>
          <w:lang w:val="en-US" w:eastAsia="zh-CN"/>
        </w:rPr>
        <w:t xml:space="preserve"> </w:t>
      </w:r>
      <w:r w:rsidR="009A3234" w:rsidRPr="00705903">
        <w:rPr>
          <w:lang w:eastAsia="zh-CN"/>
        </w:rPr>
        <w:t>These regime-dependent patterns motivate a closer examination of dynamic and endogeneity concerns, particularly whether ESG predicts returns or merely reflects prior performance.</w:t>
      </w:r>
    </w:p>
    <w:p w14:paraId="7FA888BE" w14:textId="77777777" w:rsidR="00513C01" w:rsidRPr="00705903" w:rsidRDefault="00513C01" w:rsidP="0097761F">
      <w:pPr>
        <w:spacing w:line="360" w:lineRule="auto"/>
        <w:ind w:firstLine="0"/>
        <w:jc w:val="both"/>
        <w:rPr>
          <w:lang w:val="en-US" w:eastAsia="zh-CN"/>
        </w:rPr>
      </w:pPr>
    </w:p>
    <w:p w14:paraId="7F92DA41" w14:textId="77777777" w:rsidR="00513C01" w:rsidRPr="00705903" w:rsidRDefault="00513C01" w:rsidP="0097761F">
      <w:pPr>
        <w:pStyle w:val="Heading2"/>
      </w:pPr>
      <w:r w:rsidRPr="00705903">
        <w:t>4.4. Dynamic and Endogeneity Concerns: Lagged ESG Specifications</w:t>
      </w:r>
    </w:p>
    <w:p w14:paraId="73D150F1" w14:textId="77777777" w:rsidR="00D164AF" w:rsidRPr="00705903" w:rsidRDefault="00D164AF" w:rsidP="0097761F">
      <w:pPr>
        <w:spacing w:line="360" w:lineRule="auto"/>
        <w:ind w:firstLine="720"/>
        <w:jc w:val="both"/>
        <w:rPr>
          <w:lang w:val="en-US" w:eastAsia="zh-CN"/>
        </w:rPr>
      </w:pPr>
      <w:r w:rsidRPr="00705903">
        <w:rPr>
          <w:lang w:val="en-US" w:eastAsia="zh-CN"/>
        </w:rPr>
        <w:t>One concern is reverse causality—that strong past returns could drive subsequent ESG improvements rather than vice versa. To test directionality, we estimate a lagged ESG specification where ESG scores from year t − 1 predict stock returns in year t.</w:t>
      </w:r>
    </w:p>
    <w:p w14:paraId="401B2E0E" w14:textId="77777777" w:rsidR="00D164AF" w:rsidRPr="00705903" w:rsidRDefault="00D164AF" w:rsidP="0097761F">
      <w:pPr>
        <w:spacing w:line="360" w:lineRule="auto"/>
        <w:ind w:firstLine="720"/>
        <w:jc w:val="both"/>
        <w:rPr>
          <w:lang w:val="en-US" w:eastAsia="zh-CN"/>
        </w:rPr>
      </w:pPr>
      <w:r w:rsidRPr="00705903">
        <w:rPr>
          <w:lang w:val="en-US" w:eastAsia="zh-CN"/>
        </w:rPr>
        <w:t>The OLS results show a consistently negative and highly significant coefficient on lagged ESG (−0.0010, p &lt; 0.001), confirming that firms with higher ESG scores in the previous period earn lower future returns. The same negative relation holds for the environmental (E) and social (S) dimensions, while the governance (G) coefficient turns weakly positive (p ≈ 0.03), suggesting a distinct market interpretation of governance quality.</w:t>
      </w:r>
    </w:p>
    <w:p w14:paraId="6DC29657" w14:textId="32E00A29" w:rsidR="00D164AF" w:rsidRPr="00705903" w:rsidRDefault="00D164AF" w:rsidP="0097761F">
      <w:pPr>
        <w:spacing w:line="360" w:lineRule="auto"/>
        <w:ind w:firstLine="720"/>
        <w:jc w:val="both"/>
        <w:rPr>
          <w:lang w:val="en-US" w:eastAsia="zh-CN"/>
        </w:rPr>
      </w:pPr>
      <w:r w:rsidRPr="00705903">
        <w:rPr>
          <w:lang w:val="en-US" w:eastAsia="zh-CN"/>
        </w:rPr>
        <w:t>To further validate this directionality, we also estimate models with firm fixed effects and clustered errors (shown in Appendix G), which confirm the persistence of the lagged ESG effect. These findings indicate that the inverse ESG–return relation is predictive rather than reactive, refuting the hypothesis of reverse causality and reinforcing that ESG overvaluation leads to lower subsequent performance. The complete regression estimates and diagnostics for lagged ESG specifications are summarized in Appendix F.</w:t>
      </w:r>
      <w:r w:rsidR="009A3234" w:rsidRPr="00705903">
        <w:rPr>
          <w:lang w:val="en-US" w:eastAsia="zh-CN"/>
        </w:rPr>
        <w:t xml:space="preserve"> </w:t>
      </w:r>
      <w:r w:rsidR="009A3234" w:rsidRPr="00705903">
        <w:rPr>
          <w:lang w:eastAsia="zh-CN"/>
        </w:rPr>
        <w:t>This predictive pattern naturally leads to a fixed-effects specification to rule out unobserved firm and time heterogeneity.</w:t>
      </w:r>
    </w:p>
    <w:p w14:paraId="1471C2B8" w14:textId="77777777" w:rsidR="00513C01" w:rsidRPr="00705903" w:rsidRDefault="00513C01" w:rsidP="0097761F">
      <w:pPr>
        <w:spacing w:line="360" w:lineRule="auto"/>
        <w:ind w:firstLine="0"/>
        <w:jc w:val="both"/>
        <w:rPr>
          <w:lang w:val="en-US" w:eastAsia="zh-CN"/>
        </w:rPr>
      </w:pPr>
    </w:p>
    <w:p w14:paraId="6B47C437" w14:textId="77777777" w:rsidR="00513C01" w:rsidRPr="00705903" w:rsidRDefault="00513C01" w:rsidP="0097761F">
      <w:pPr>
        <w:pStyle w:val="Heading2"/>
      </w:pPr>
      <w:r w:rsidRPr="00705903">
        <w:t>4.5. Controlling for Unobserved Heterogeneity: Firm and Year Fixed Effects</w:t>
      </w:r>
    </w:p>
    <w:p w14:paraId="45AC6DDD" w14:textId="77777777" w:rsidR="00D164AF" w:rsidRPr="00705903" w:rsidRDefault="00D164AF" w:rsidP="0097761F">
      <w:pPr>
        <w:spacing w:line="360" w:lineRule="auto"/>
        <w:ind w:firstLine="720"/>
        <w:jc w:val="both"/>
        <w:rPr>
          <w:lang w:val="en-US" w:eastAsia="zh-CN"/>
        </w:rPr>
      </w:pPr>
      <w:r w:rsidRPr="00705903">
        <w:rPr>
          <w:lang w:val="en-US" w:eastAsia="zh-CN"/>
        </w:rPr>
        <w:t>Finally, to ensure that the results are not driven by unobserved firm‐ or time‐specific effects, we estimate a two-way fixed-effects panel regression controlling for both entity and year dummies. The coefficient on lagged ESG remains significantly negative (−0.0021, p &lt; 0.001), even after controlling for firm‐specific characteristics, macro trends, and clustered standard errors at the firm level.</w:t>
      </w:r>
    </w:p>
    <w:p w14:paraId="1EEBDD77" w14:textId="599BD66D" w:rsidR="00D164AF" w:rsidRPr="00705903" w:rsidRDefault="00D164AF" w:rsidP="0097761F">
      <w:pPr>
        <w:spacing w:line="360" w:lineRule="auto"/>
        <w:ind w:firstLine="720"/>
        <w:jc w:val="both"/>
        <w:rPr>
          <w:lang w:val="en-US" w:eastAsia="zh-CN"/>
        </w:rPr>
      </w:pPr>
      <w:r w:rsidRPr="00705903">
        <w:rPr>
          <w:lang w:val="en-US" w:eastAsia="zh-CN"/>
        </w:rPr>
        <w:t>This result confirms that the negative ESG–return relation is not explained by persistent differences in firm size, industry, or time‐specific macro conditions. The robustness of the coefficient under fixed‐effects estimation provides strong evidence that the observed relationship is intrinsic to ESG valuation dynamics rather than a spurious correlation. Detailed panel estimation outputs, including within–between variance decomposition and Hausman tests, are reported in Appendix G.</w:t>
      </w:r>
    </w:p>
    <w:p w14:paraId="37B9163B" w14:textId="11EFF3DC" w:rsidR="008672F1" w:rsidRPr="00705903" w:rsidRDefault="00D164AF" w:rsidP="0097761F">
      <w:pPr>
        <w:spacing w:line="360" w:lineRule="auto"/>
        <w:jc w:val="both"/>
        <w:rPr>
          <w:lang w:val="en-US" w:eastAsia="zh-CN"/>
        </w:rPr>
      </w:pPr>
      <w:r w:rsidRPr="00705903">
        <w:rPr>
          <w:lang w:eastAsia="zh-CN"/>
        </w:rPr>
        <w:t xml:space="preserve">Across all robustness dimensions—data source, portfolio design, temporal segmentation, lagged predictive tests, and fixed-effects controls—the results consistently support the main finding: higher ESG performance in China’s A-share market is associated with lower subsequent returns. From a market-structure perspective, these robustness tests collectively imply that ESG in China functions more as a </w:t>
      </w:r>
      <w:r w:rsidRPr="00705903">
        <w:rPr>
          <w:i/>
          <w:iCs/>
          <w:lang w:eastAsia="zh-CN"/>
        </w:rPr>
        <w:t>policy signal</w:t>
      </w:r>
      <w:r w:rsidRPr="00705903">
        <w:rPr>
          <w:lang w:eastAsia="zh-CN"/>
        </w:rPr>
        <w:t xml:space="preserve"> than as a </w:t>
      </w:r>
      <w:r w:rsidRPr="00705903">
        <w:rPr>
          <w:i/>
          <w:iCs/>
          <w:lang w:eastAsia="zh-CN"/>
        </w:rPr>
        <w:t>priced risk factor</w:t>
      </w:r>
      <w:r w:rsidRPr="00705903">
        <w:rPr>
          <w:lang w:eastAsia="zh-CN"/>
        </w:rPr>
        <w:t>. Unlike developed markets where ESG contributes to long-term alpha generation, the Chinese market exhibits cyclical and sentiment-driven ESG pricing patterns shaped by regulatory orientation and investor expectations.</w:t>
      </w:r>
    </w:p>
    <w:p w14:paraId="4C7073D3" w14:textId="634B58FE" w:rsidR="007A3436" w:rsidRPr="00705903" w:rsidRDefault="007A3436" w:rsidP="0097761F">
      <w:pPr>
        <w:spacing w:after="160" w:line="259" w:lineRule="auto"/>
        <w:ind w:firstLine="0"/>
        <w:jc w:val="both"/>
        <w:rPr>
          <w:lang w:val="en-US" w:eastAsia="zh-CN"/>
        </w:rPr>
      </w:pPr>
    </w:p>
    <w:p w14:paraId="49E79CC9" w14:textId="77777777" w:rsidR="0097761F" w:rsidRPr="00705903" w:rsidRDefault="0097761F" w:rsidP="0097761F">
      <w:pPr>
        <w:spacing w:after="160" w:line="259" w:lineRule="auto"/>
        <w:ind w:firstLine="0"/>
        <w:jc w:val="both"/>
        <w:rPr>
          <w:lang w:val="en-US" w:eastAsia="zh-CN"/>
        </w:rPr>
      </w:pPr>
    </w:p>
    <w:p w14:paraId="6BF7C30B" w14:textId="677F1208" w:rsidR="007A3436" w:rsidRPr="00705903" w:rsidRDefault="007A3436" w:rsidP="0097761F">
      <w:pPr>
        <w:pStyle w:val="Heading1"/>
        <w:numPr>
          <w:ilvl w:val="0"/>
          <w:numId w:val="35"/>
        </w:numPr>
      </w:pPr>
      <w:r w:rsidRPr="00705903">
        <w:t>Conclusion</w:t>
      </w:r>
    </w:p>
    <w:p w14:paraId="58A27A92" w14:textId="10E3A5F5" w:rsidR="00CC44DF" w:rsidRPr="00705903" w:rsidRDefault="00CC44DF" w:rsidP="0097761F">
      <w:pPr>
        <w:spacing w:line="360" w:lineRule="auto"/>
        <w:jc w:val="both"/>
        <w:rPr>
          <w:lang w:val="en-US" w:eastAsia="zh-CN"/>
        </w:rPr>
      </w:pPr>
      <w:r w:rsidRPr="00705903">
        <w:rPr>
          <w:lang w:val="en-US" w:eastAsia="zh-CN"/>
        </w:rPr>
        <w:t>This study revisits the central question raised in the introduction—whether ESG generates excess returns or primarily mitigates downside risk—and provides consistent evidence that, in China’s A-share market, ESG functions predominantly as a defensive, low-volatility characteristic rather than a return-enhancing factor. Across portfolio analyses and multi-factor regressions, firms with stronger ESG performance systematically earn lower subsequent stock returns, even after controlling for established risk factors. This inverse ESG–return relation is driven mainly by the Social (S) and Governance (G) pillars, aligning with the institutional framework outlined earlier, in which investors pay valuation premiums for firms perceived as socially responsible or well governed.</w:t>
      </w:r>
    </w:p>
    <w:p w14:paraId="3375BE19" w14:textId="103848BD" w:rsidR="00CC44DF" w:rsidRPr="00705903" w:rsidRDefault="00CC44DF" w:rsidP="0097761F">
      <w:pPr>
        <w:spacing w:line="360" w:lineRule="auto"/>
        <w:jc w:val="both"/>
        <w:rPr>
          <w:lang w:val="en-US" w:eastAsia="zh-CN"/>
        </w:rPr>
      </w:pPr>
      <w:r w:rsidRPr="00705903">
        <w:rPr>
          <w:lang w:val="en-US" w:eastAsia="zh-CN"/>
        </w:rPr>
        <w:t>The results further reinforce the introduction’s theoretical argument that ESG in China behaves as a state-contingent beta, whose pricing power depends critically on regulatory stance and policy intensity. Dynamic analyses demonstrate that ESG attributes are intermittently rewarded during periods of strong policy advocacy—such as the 2015 Green Finance Guidelines and the 2020 Dual-Carbon initiative—but penalized or ignored during macro tightening or policy retrenchment. Governance-heavy firms, in particular, exhibit pronounced sensitivity to policy cycles, consistent with the introduction’s discussion of governance as the most transparent, regulator-monitored, and information-rich ESG dimension in China’s transitional market system.</w:t>
      </w:r>
    </w:p>
    <w:p w14:paraId="79AE4160" w14:textId="5A4B29A4" w:rsidR="00CC44DF" w:rsidRPr="00705903" w:rsidRDefault="00CC44DF" w:rsidP="0097761F">
      <w:pPr>
        <w:spacing w:line="360" w:lineRule="auto"/>
        <w:jc w:val="both"/>
        <w:rPr>
          <w:lang w:val="en-US" w:eastAsia="zh-CN"/>
        </w:rPr>
      </w:pPr>
      <w:r w:rsidRPr="00705903">
        <w:rPr>
          <w:lang w:val="en-US" w:eastAsia="zh-CN"/>
        </w:rPr>
        <w:t>Event-level evidence further illustrates ESG’s conditional pricing nature. ESG rating initiations generate significant short-term abnormal returns due to enhanced disclosure credibility and heightened investor attention, whereas rating upgrades and downgrades have muted effects, suggesting that informational value is front-loaded at the point of initial coverage. The COVID-19 shock provides an additional validation of the state-dependent framework: ESG and Social factors temporarily delivered positive alphas as crisis-resilience indicators, while governance-intensive firms exhibited fragility due to leverage exposure and operational rigidity. Similarly, the Environmental pillar’s performance closely mirrors policy cycles, turning positive during subsidy expansions and negative following policy withdrawals.</w:t>
      </w:r>
    </w:p>
    <w:p w14:paraId="30B43158" w14:textId="10894E26" w:rsidR="00CC44DF" w:rsidRPr="00705903" w:rsidRDefault="00CC44DF" w:rsidP="0097761F">
      <w:pPr>
        <w:spacing w:line="360" w:lineRule="auto"/>
        <w:jc w:val="both"/>
        <w:rPr>
          <w:lang w:val="en-US" w:eastAsia="zh-CN"/>
        </w:rPr>
      </w:pPr>
      <w:r w:rsidRPr="00705903">
        <w:rPr>
          <w:lang w:val="en-US" w:eastAsia="zh-CN"/>
        </w:rPr>
        <w:t>Risk diagnostics reveal that high-ESG portfolios consistently exhibit lower volatility, smaller drawdowns, and reduced tail risk relative to market benchmarks, confirming the hypothesis that ESG serves as a stabilizing characteristic in China’s policy-driven market. However, these risk benefits do not translate into superior risk-adjusted returns. Instead, ESG exposure functions as a low-return, low-risk defensive strategy—consistent with the idea that high-ESG firms receive valuation premiums and therefore deliver lower realized returns.</w:t>
      </w:r>
    </w:p>
    <w:p w14:paraId="25C3F331" w14:textId="7E87CBE9" w:rsidR="00CC44DF" w:rsidRPr="00705903" w:rsidRDefault="00CC44DF" w:rsidP="0097761F">
      <w:pPr>
        <w:spacing w:line="360" w:lineRule="auto"/>
        <w:jc w:val="both"/>
        <w:rPr>
          <w:lang w:val="en-US" w:eastAsia="zh-CN"/>
        </w:rPr>
      </w:pPr>
      <w:r w:rsidRPr="00705903">
        <w:rPr>
          <w:lang w:val="en-US" w:eastAsia="zh-CN"/>
        </w:rPr>
        <w:t>A series of robustness checks—covering alternative ESG data sources (CNRDS vs. CSMAR–</w:t>
      </w:r>
      <w:proofErr w:type="spellStart"/>
      <w:r w:rsidRPr="00705903">
        <w:rPr>
          <w:lang w:val="en-US" w:eastAsia="zh-CN"/>
        </w:rPr>
        <w:t>SynTao</w:t>
      </w:r>
      <w:proofErr w:type="spellEnd"/>
      <w:r w:rsidRPr="00705903">
        <w:rPr>
          <w:lang w:val="en-US" w:eastAsia="zh-CN"/>
        </w:rPr>
        <w:t xml:space="preserve">), alternative portfolio sorting methods (decile vs. quintile, value- vs. equal-weighted), </w:t>
      </w:r>
      <w:proofErr w:type="spellStart"/>
      <w:r w:rsidRPr="00705903">
        <w:rPr>
          <w:lang w:val="en-US" w:eastAsia="zh-CN"/>
        </w:rPr>
        <w:t>winsorization</w:t>
      </w:r>
      <w:proofErr w:type="spellEnd"/>
      <w:r w:rsidRPr="00705903">
        <w:rPr>
          <w:lang w:val="en-US" w:eastAsia="zh-CN"/>
        </w:rPr>
        <w:t xml:space="preserve"> thresholds, lagged predictive regressions, temporal subsamples, and two-way fixed-effects specifications—confirms the consistency and persistence of these findings. The negative ESG premium remains intact across all specifications, ruling out explanations based on data artifacts, measurement errors, or reverse causality.</w:t>
      </w:r>
    </w:p>
    <w:p w14:paraId="0CA93848" w14:textId="3AA6AE1E" w:rsidR="00CC44DF" w:rsidRPr="00705903" w:rsidRDefault="00CC44DF" w:rsidP="0097761F">
      <w:pPr>
        <w:spacing w:line="360" w:lineRule="auto"/>
        <w:jc w:val="both"/>
        <w:rPr>
          <w:lang w:val="en-US" w:eastAsia="zh-CN"/>
        </w:rPr>
      </w:pPr>
      <w:r w:rsidRPr="00705903">
        <w:rPr>
          <w:lang w:val="en-US" w:eastAsia="zh-CN"/>
        </w:rPr>
        <w:t>Taken together, the empirical results validate the four hypotheses outlined in the introduction. ESG performance is negatively related to future returns (H1), with the Governance pillar exhibiting the strongest predictive power (H2). ESG return differentials are state-contingent and intensify during periods of regulatory tightening (H3). High-ESG firms exhibit lower downside risk, particularly during policy- or market-stress episodes (H4). These findings also support the introduction’s broader conceptual argument that ESG pricing in China is shaped not by autonomous market forces but by regulatory orientation, institutional incentives, and episodic investor sentiment.</w:t>
      </w:r>
    </w:p>
    <w:p w14:paraId="1BC5259C" w14:textId="52E0E67D" w:rsidR="00CC44DF" w:rsidRPr="00705903" w:rsidRDefault="00CC44DF" w:rsidP="0097761F">
      <w:pPr>
        <w:spacing w:line="360" w:lineRule="auto"/>
        <w:jc w:val="both"/>
        <w:rPr>
          <w:lang w:val="en-US" w:eastAsia="zh-CN"/>
        </w:rPr>
      </w:pPr>
      <w:r w:rsidRPr="00705903">
        <w:rPr>
          <w:lang w:val="en-US" w:eastAsia="zh-CN"/>
        </w:rPr>
        <w:t>Finally, the study delivers the three core contributions articulated in the introduction. First, it provides the most comprehensive long-span evidence on ESG pricing in an emerging market using CNRDS ratings. Second, it bridges the ESG-return and ESG-risk literatures by demonstrating that ESG’s financial value in China lies in downside protection rather than premium generation. Third, it documents the policy-dependent nature of ESG development in transitional economies, offering practical implications for regulators and investors regarding disclosure standardization, the stability of ESG-driven capital allocation, and the evolution of sustainable finance in China’s regulatory environment.</w:t>
      </w:r>
    </w:p>
    <w:p w14:paraId="0BC3F097" w14:textId="77777777" w:rsidR="0057191B" w:rsidRPr="00705903" w:rsidRDefault="0057191B" w:rsidP="0097761F">
      <w:pPr>
        <w:spacing w:line="360" w:lineRule="auto"/>
        <w:ind w:firstLine="0"/>
        <w:jc w:val="both"/>
        <w:rPr>
          <w:b/>
          <w:bCs/>
          <w:sz w:val="28"/>
          <w:szCs w:val="28"/>
          <w:lang w:val="en-US" w:eastAsia="zh-CN"/>
        </w:rPr>
      </w:pPr>
      <w:r w:rsidRPr="00705903">
        <w:br w:type="page"/>
      </w:r>
    </w:p>
    <w:p w14:paraId="75AEB952" w14:textId="7164A6B1" w:rsidR="0057723D" w:rsidRPr="00705903" w:rsidRDefault="00D41A58" w:rsidP="0097761F">
      <w:pPr>
        <w:pStyle w:val="Heading1"/>
      </w:pPr>
      <w:r w:rsidRPr="00705903">
        <w:t>Reference</w:t>
      </w:r>
    </w:p>
    <w:p w14:paraId="6DF28496" w14:textId="0EA12064" w:rsidR="003B5188" w:rsidRPr="00705903" w:rsidRDefault="003B5188" w:rsidP="0097761F">
      <w:pPr>
        <w:spacing w:line="360" w:lineRule="auto"/>
        <w:ind w:firstLine="0"/>
        <w:jc w:val="both"/>
        <w:rPr>
          <w:szCs w:val="24"/>
          <w:lang w:eastAsia="zh-CN"/>
        </w:rPr>
      </w:pPr>
      <w:r w:rsidRPr="00705903">
        <w:rPr>
          <w:szCs w:val="24"/>
          <w:lang w:eastAsia="zh-CN"/>
        </w:rPr>
        <w:t xml:space="preserve">Albuquerque, R., Koskinen, Y., Yang, S., &amp; Zhang, C. (2020). </w:t>
      </w:r>
      <w:r w:rsidRPr="00705903">
        <w:rPr>
          <w:i/>
          <w:iCs/>
          <w:szCs w:val="24"/>
          <w:lang w:eastAsia="zh-CN"/>
        </w:rPr>
        <w:t>Love in the time of COVID-19: The resiliency of environmental and social stocks.</w:t>
      </w:r>
      <w:r w:rsidRPr="00705903">
        <w:rPr>
          <w:szCs w:val="24"/>
          <w:lang w:eastAsia="zh-CN"/>
        </w:rPr>
        <w:t xml:space="preserve"> Review of Corporate Finance Studies, 9(3), 593–621. </w:t>
      </w:r>
      <w:hyperlink r:id="rId8" w:tgtFrame="_new" w:history="1">
        <w:r w:rsidRPr="00705903">
          <w:rPr>
            <w:rStyle w:val="Hyperlink"/>
            <w:szCs w:val="24"/>
            <w:lang w:eastAsia="zh-CN"/>
          </w:rPr>
          <w:t>https://doi.org/10.1093/rcfs/cfaa011</w:t>
        </w:r>
      </w:hyperlink>
    </w:p>
    <w:p w14:paraId="52A9F3F9"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Albuquerque, R., &amp; Shen, T. (2020). </w:t>
      </w:r>
      <w:r w:rsidRPr="00705903">
        <w:rPr>
          <w:i/>
          <w:iCs/>
          <w:szCs w:val="24"/>
          <w:lang w:val="en-US" w:eastAsia="zh-CN"/>
        </w:rPr>
        <w:t>ESG investing in emerging markets: The role of institutional context and information efficiency.</w:t>
      </w:r>
      <w:r w:rsidRPr="00705903">
        <w:rPr>
          <w:szCs w:val="24"/>
          <w:lang w:val="en-US" w:eastAsia="zh-CN"/>
        </w:rPr>
        <w:t xml:space="preserve"> Working Paper, University of Rochester.</w:t>
      </w:r>
    </w:p>
    <w:p w14:paraId="5D017664"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Ang, A., Chen, J., &amp; Xing, Y. (2006). </w:t>
      </w:r>
      <w:r w:rsidRPr="00705903">
        <w:rPr>
          <w:i/>
          <w:iCs/>
          <w:szCs w:val="24"/>
          <w:lang w:val="en-US" w:eastAsia="zh-CN"/>
        </w:rPr>
        <w:t>Downside risk.</w:t>
      </w:r>
      <w:r w:rsidRPr="00705903">
        <w:rPr>
          <w:szCs w:val="24"/>
          <w:lang w:val="en-US" w:eastAsia="zh-CN"/>
        </w:rPr>
        <w:t xml:space="preserve"> Review of Financial Studies, 19(4), 1191–1239.</w:t>
      </w:r>
    </w:p>
    <w:p w14:paraId="1C27B97D"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Beijing News. (2020, March 31). </w:t>
      </w:r>
      <w:r w:rsidRPr="00705903">
        <w:rPr>
          <w:i/>
          <w:iCs/>
          <w:szCs w:val="24"/>
          <w:lang w:val="en-US" w:eastAsia="zh-CN"/>
        </w:rPr>
        <w:t>State Council’s new environmental strategy: Transition toward low-carbon economy.</w:t>
      </w:r>
      <w:r w:rsidRPr="00705903">
        <w:rPr>
          <w:szCs w:val="24"/>
          <w:lang w:val="en-US" w:eastAsia="zh-CN"/>
        </w:rPr>
        <w:t xml:space="preserve"> Retrieved from </w:t>
      </w:r>
      <w:hyperlink r:id="rId9" w:tgtFrame="_new" w:history="1">
        <w:r w:rsidRPr="00705903">
          <w:rPr>
            <w:rStyle w:val="Hyperlink"/>
            <w:szCs w:val="24"/>
            <w:lang w:val="en-US" w:eastAsia="zh-CN"/>
          </w:rPr>
          <w:t>https://www.bjnews.com.cn</w:t>
        </w:r>
      </w:hyperlink>
    </w:p>
    <w:p w14:paraId="1BBDC17E"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Blitz, D., van der </w:t>
      </w:r>
      <w:proofErr w:type="spellStart"/>
      <w:r w:rsidRPr="00705903">
        <w:rPr>
          <w:szCs w:val="24"/>
          <w:lang w:val="en-US" w:eastAsia="zh-CN"/>
        </w:rPr>
        <w:t>Grient</w:t>
      </w:r>
      <w:proofErr w:type="spellEnd"/>
      <w:r w:rsidRPr="00705903">
        <w:rPr>
          <w:szCs w:val="24"/>
          <w:lang w:val="en-US" w:eastAsia="zh-CN"/>
        </w:rPr>
        <w:t xml:space="preserve">, B., &amp; van Vliet, P. (2021). </w:t>
      </w:r>
      <w:r w:rsidRPr="00705903">
        <w:rPr>
          <w:i/>
          <w:iCs/>
          <w:szCs w:val="24"/>
          <w:lang w:val="en-US" w:eastAsia="zh-CN"/>
        </w:rPr>
        <w:t>ESG investing: What’s in it for the investor?</w:t>
      </w:r>
      <w:r w:rsidRPr="00705903">
        <w:rPr>
          <w:szCs w:val="24"/>
          <w:lang w:val="en-US" w:eastAsia="zh-CN"/>
        </w:rPr>
        <w:t xml:space="preserve"> Journal of Portfolio Management, 47(6), 86–101.</w:t>
      </w:r>
    </w:p>
    <w:p w14:paraId="59B4B5B2"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Bolton, P., &amp; </w:t>
      </w:r>
      <w:proofErr w:type="spellStart"/>
      <w:r w:rsidRPr="00705903">
        <w:rPr>
          <w:szCs w:val="24"/>
          <w:lang w:val="en-US" w:eastAsia="zh-CN"/>
        </w:rPr>
        <w:t>Kacperczyk</w:t>
      </w:r>
      <w:proofErr w:type="spellEnd"/>
      <w:r w:rsidRPr="00705903">
        <w:rPr>
          <w:szCs w:val="24"/>
          <w:lang w:val="en-US" w:eastAsia="zh-CN"/>
        </w:rPr>
        <w:t xml:space="preserve">, M. (2021). </w:t>
      </w:r>
      <w:r w:rsidRPr="00705903">
        <w:rPr>
          <w:i/>
          <w:iCs/>
          <w:szCs w:val="24"/>
          <w:lang w:val="en-US" w:eastAsia="zh-CN"/>
        </w:rPr>
        <w:t>Do investors care about carbon risk?</w:t>
      </w:r>
      <w:r w:rsidRPr="00705903">
        <w:rPr>
          <w:szCs w:val="24"/>
          <w:lang w:val="en-US" w:eastAsia="zh-CN"/>
        </w:rPr>
        <w:t xml:space="preserve"> Journal of Financial Economics, 142(2), 517–549.</w:t>
      </w:r>
    </w:p>
    <w:p w14:paraId="04AB4CFA"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Broadstock, D. C., Chan, K., Cheng, L. T. W., &amp; Wang, X. (2021). </w:t>
      </w:r>
      <w:r w:rsidRPr="00705903">
        <w:rPr>
          <w:i/>
          <w:iCs/>
          <w:szCs w:val="24"/>
          <w:lang w:val="en-US" w:eastAsia="zh-CN"/>
        </w:rPr>
        <w:t>Do ESG ratings affect stock returns in China? Evidence from the Chinese A-share market.</w:t>
      </w:r>
      <w:r w:rsidRPr="00705903">
        <w:rPr>
          <w:szCs w:val="24"/>
          <w:lang w:val="en-US" w:eastAsia="zh-CN"/>
        </w:rPr>
        <w:t xml:space="preserve"> International Review of Financial Analysis, 77, 101845.</w:t>
      </w:r>
    </w:p>
    <w:p w14:paraId="3AB4C818"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Broadstock, D. C., Chan, K., Cheng, L. T. W., &amp; Wang, X. (2021). </w:t>
      </w:r>
      <w:r w:rsidRPr="00705903">
        <w:rPr>
          <w:i/>
          <w:iCs/>
          <w:szCs w:val="24"/>
          <w:lang w:val="en-US" w:eastAsia="zh-CN"/>
        </w:rPr>
        <w:t>The role of ESG performance during times of financial crisis: Evidence from COVID-19 in China.</w:t>
      </w:r>
      <w:r w:rsidRPr="00705903">
        <w:rPr>
          <w:szCs w:val="24"/>
          <w:lang w:val="en-US" w:eastAsia="zh-CN"/>
        </w:rPr>
        <w:t xml:space="preserve"> Finance Research Letters, 38, 101716.</w:t>
      </w:r>
    </w:p>
    <w:p w14:paraId="446D202D"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Broadstock, D. C., &amp; Zhang, D. (2023). </w:t>
      </w:r>
      <w:r w:rsidRPr="00705903">
        <w:rPr>
          <w:i/>
          <w:iCs/>
          <w:szCs w:val="24"/>
          <w:lang w:val="en-US" w:eastAsia="zh-CN"/>
        </w:rPr>
        <w:t>ESG and sustainable finance in China: Progress, policy, and prospects.</w:t>
      </w:r>
      <w:r w:rsidRPr="00705903">
        <w:rPr>
          <w:szCs w:val="24"/>
          <w:lang w:val="en-US" w:eastAsia="zh-CN"/>
        </w:rPr>
        <w:t xml:space="preserve"> China Economic Review, 79, 102025. </w:t>
      </w:r>
      <w:hyperlink r:id="rId10" w:tgtFrame="_new" w:history="1">
        <w:r w:rsidRPr="00705903">
          <w:rPr>
            <w:rStyle w:val="Hyperlink"/>
            <w:szCs w:val="24"/>
            <w:lang w:val="en-US" w:eastAsia="zh-CN"/>
          </w:rPr>
          <w:t>https://doi.org/10.1016/j.chieco.2023.102025</w:t>
        </w:r>
      </w:hyperlink>
    </w:p>
    <w:p w14:paraId="1F354214" w14:textId="518A59C3" w:rsidR="003B5188" w:rsidRPr="00705903" w:rsidRDefault="003B5188" w:rsidP="0097761F">
      <w:pPr>
        <w:spacing w:line="360" w:lineRule="auto"/>
        <w:ind w:firstLine="0"/>
        <w:jc w:val="both"/>
        <w:rPr>
          <w:szCs w:val="24"/>
          <w:lang w:eastAsia="zh-CN"/>
        </w:rPr>
      </w:pPr>
      <w:proofErr w:type="spellStart"/>
      <w:r w:rsidRPr="00705903">
        <w:rPr>
          <w:szCs w:val="24"/>
          <w:lang w:eastAsia="zh-CN"/>
        </w:rPr>
        <w:t>Brunnermeier</w:t>
      </w:r>
      <w:proofErr w:type="spellEnd"/>
      <w:r w:rsidRPr="00705903">
        <w:rPr>
          <w:szCs w:val="24"/>
          <w:lang w:eastAsia="zh-CN"/>
        </w:rPr>
        <w:t xml:space="preserve">, M. K., &amp; Koby, Y. (2018). </w:t>
      </w:r>
      <w:r w:rsidRPr="00705903">
        <w:rPr>
          <w:i/>
          <w:iCs/>
          <w:szCs w:val="24"/>
          <w:lang w:eastAsia="zh-CN"/>
        </w:rPr>
        <w:t>The reversal interest rate.</w:t>
      </w:r>
      <w:r w:rsidRPr="00705903">
        <w:rPr>
          <w:szCs w:val="24"/>
          <w:lang w:eastAsia="zh-CN"/>
        </w:rPr>
        <w:t xml:space="preserve"> American Economic Review, 108(12), 31–72.</w:t>
      </w:r>
    </w:p>
    <w:p w14:paraId="52BC4FCC"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Campbell, J. Y., Lo, A. W., &amp; </w:t>
      </w:r>
      <w:proofErr w:type="spellStart"/>
      <w:r w:rsidRPr="00705903">
        <w:rPr>
          <w:szCs w:val="24"/>
          <w:lang w:val="en-US" w:eastAsia="zh-CN"/>
        </w:rPr>
        <w:t>MacKinlay</w:t>
      </w:r>
      <w:proofErr w:type="spellEnd"/>
      <w:r w:rsidRPr="00705903">
        <w:rPr>
          <w:szCs w:val="24"/>
          <w:lang w:val="en-US" w:eastAsia="zh-CN"/>
        </w:rPr>
        <w:t xml:space="preserve">, A. C. (1997). </w:t>
      </w:r>
      <w:r w:rsidRPr="00705903">
        <w:rPr>
          <w:i/>
          <w:iCs/>
          <w:szCs w:val="24"/>
          <w:lang w:val="en-US" w:eastAsia="zh-CN"/>
        </w:rPr>
        <w:t>The econometrics of financial markets.</w:t>
      </w:r>
      <w:r w:rsidRPr="00705903">
        <w:rPr>
          <w:szCs w:val="24"/>
          <w:lang w:val="en-US" w:eastAsia="zh-CN"/>
        </w:rPr>
        <w:t xml:space="preserve"> Princeton University Press.</w:t>
      </w:r>
    </w:p>
    <w:p w14:paraId="1D4E1775"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Chen, J., Hong, H., &amp; Stein, J. C. (2001). </w:t>
      </w:r>
      <w:r w:rsidRPr="00705903">
        <w:rPr>
          <w:i/>
          <w:iCs/>
          <w:szCs w:val="24"/>
          <w:lang w:val="en-US" w:eastAsia="zh-CN"/>
        </w:rPr>
        <w:t>Forecasting crashes: Trading volume, past returns, and conditional skewness in stock prices.</w:t>
      </w:r>
      <w:r w:rsidRPr="00705903">
        <w:rPr>
          <w:szCs w:val="24"/>
          <w:lang w:val="en-US" w:eastAsia="zh-CN"/>
        </w:rPr>
        <w:t xml:space="preserve"> Journal of Financial Economics, 61(3), 345–381.</w:t>
      </w:r>
    </w:p>
    <w:p w14:paraId="57E6AEE1"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Chen, Z., He, Z., &amp; Liu, C. (2022). </w:t>
      </w:r>
      <w:r w:rsidRPr="00705903">
        <w:rPr>
          <w:i/>
          <w:iCs/>
          <w:szCs w:val="24"/>
          <w:lang w:val="en-US" w:eastAsia="zh-CN"/>
        </w:rPr>
        <w:t>The financing of local government debt in China: Stimulus loan wanes and shadow banking waxes.</w:t>
      </w:r>
      <w:r w:rsidRPr="00705903">
        <w:rPr>
          <w:szCs w:val="24"/>
          <w:lang w:val="en-US" w:eastAsia="zh-CN"/>
        </w:rPr>
        <w:t xml:space="preserve"> Journal of Financial Economics, 145(1), 100–124.</w:t>
      </w:r>
    </w:p>
    <w:p w14:paraId="47CFE39A"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China Securities Regulatory Commission (CSRC). (2008). </w:t>
      </w:r>
      <w:r w:rsidRPr="00705903">
        <w:rPr>
          <w:i/>
          <w:iCs/>
          <w:szCs w:val="24"/>
          <w:lang w:val="en-US" w:eastAsia="zh-CN"/>
        </w:rPr>
        <w:t>Guidelines on Corporate Social Responsibility Disclosure.</w:t>
      </w:r>
      <w:r w:rsidRPr="00705903">
        <w:rPr>
          <w:szCs w:val="24"/>
          <w:lang w:val="en-US" w:eastAsia="zh-CN"/>
        </w:rPr>
        <w:t xml:space="preserve"> Beijing: China Securities Regulatory Commission.</w:t>
      </w:r>
    </w:p>
    <w:p w14:paraId="0D5B5A13"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China Securities Regulatory Commission (CSRC). (2020). </w:t>
      </w:r>
      <w:r w:rsidRPr="00705903">
        <w:rPr>
          <w:i/>
          <w:iCs/>
          <w:szCs w:val="24"/>
          <w:lang w:val="en-US" w:eastAsia="zh-CN"/>
        </w:rPr>
        <w:t>Revised rules on ESG information disclosure for listed companies.</w:t>
      </w:r>
      <w:r w:rsidRPr="00705903">
        <w:rPr>
          <w:szCs w:val="24"/>
          <w:lang w:val="en-US" w:eastAsia="zh-CN"/>
        </w:rPr>
        <w:t xml:space="preserve"> Beijing: CSRC.</w:t>
      </w:r>
    </w:p>
    <w:p w14:paraId="049B3730"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CNRDS. (2024). </w:t>
      </w:r>
      <w:r w:rsidRPr="00705903">
        <w:rPr>
          <w:i/>
          <w:iCs/>
          <w:szCs w:val="24"/>
          <w:lang w:val="en-US" w:eastAsia="zh-CN"/>
        </w:rPr>
        <w:t>CNRDS ESG Database Documentation.</w:t>
      </w:r>
      <w:r w:rsidRPr="00705903">
        <w:rPr>
          <w:szCs w:val="24"/>
          <w:lang w:val="en-US" w:eastAsia="zh-CN"/>
        </w:rPr>
        <w:t xml:space="preserve"> Beijing: China Securities Regulatory Commission Database.</w:t>
      </w:r>
    </w:p>
    <w:p w14:paraId="51A0ED53"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CNRDS Research Institute. (2025). </w:t>
      </w:r>
      <w:r w:rsidRPr="00705903">
        <w:rPr>
          <w:i/>
          <w:iCs/>
          <w:szCs w:val="24"/>
          <w:lang w:val="en-US" w:eastAsia="zh-CN"/>
        </w:rPr>
        <w:t>CNRDS ESG Database User Guide and Methodological Note (2025 Update).</w:t>
      </w:r>
      <w:r w:rsidRPr="00705903">
        <w:rPr>
          <w:szCs w:val="24"/>
          <w:lang w:val="en-US" w:eastAsia="zh-CN"/>
        </w:rPr>
        <w:t xml:space="preserve"> Beijing: China National Research Data Service Platform.</w:t>
      </w:r>
    </w:p>
    <w:p w14:paraId="25BD6E88"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Constitutional Amendment of the People’s Republic of China. (2018, March 11). </w:t>
      </w:r>
      <w:r w:rsidRPr="00705903">
        <w:rPr>
          <w:i/>
          <w:iCs/>
          <w:szCs w:val="24"/>
          <w:lang w:val="en-US" w:eastAsia="zh-CN"/>
        </w:rPr>
        <w:t>Adopted at the First Session of the 13th National People’s Congress.</w:t>
      </w:r>
      <w:r w:rsidRPr="00705903">
        <w:rPr>
          <w:szCs w:val="24"/>
          <w:lang w:val="en-US" w:eastAsia="zh-CN"/>
        </w:rPr>
        <w:t xml:space="preserve"> Beijing: NPC.</w:t>
      </w:r>
    </w:p>
    <w:p w14:paraId="6F462807"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Core, J. E., Guay, W. R., &amp; Rusticus, T. O. (2006). </w:t>
      </w:r>
      <w:r w:rsidRPr="00705903">
        <w:rPr>
          <w:i/>
          <w:iCs/>
          <w:szCs w:val="24"/>
          <w:lang w:val="en-US" w:eastAsia="zh-CN"/>
        </w:rPr>
        <w:t>Does weak governance cause weak stock returns? An examination of firm operating performance and investors’ expectations.</w:t>
      </w:r>
      <w:r w:rsidRPr="00705903">
        <w:rPr>
          <w:szCs w:val="24"/>
          <w:lang w:val="en-US" w:eastAsia="zh-CN"/>
        </w:rPr>
        <w:t xml:space="preserve"> Journal of Finance, 61(2), 655–687.</w:t>
      </w:r>
    </w:p>
    <w:p w14:paraId="42C3EEFA" w14:textId="77777777" w:rsidR="003B5188" w:rsidRPr="00705903" w:rsidRDefault="003B5188" w:rsidP="0097761F">
      <w:pPr>
        <w:spacing w:line="360" w:lineRule="auto"/>
        <w:ind w:firstLine="0"/>
        <w:jc w:val="both"/>
        <w:rPr>
          <w:szCs w:val="24"/>
          <w:lang w:val="en-US" w:eastAsia="zh-CN"/>
        </w:rPr>
      </w:pPr>
      <w:proofErr w:type="spellStart"/>
      <w:r w:rsidRPr="00705903">
        <w:rPr>
          <w:szCs w:val="24"/>
          <w:lang w:val="en-US" w:eastAsia="zh-CN"/>
        </w:rPr>
        <w:t>Derwall</w:t>
      </w:r>
      <w:proofErr w:type="spellEnd"/>
      <w:r w:rsidRPr="00705903">
        <w:rPr>
          <w:szCs w:val="24"/>
          <w:lang w:val="en-US" w:eastAsia="zh-CN"/>
        </w:rPr>
        <w:t xml:space="preserve">, J., </w:t>
      </w:r>
      <w:proofErr w:type="spellStart"/>
      <w:r w:rsidRPr="00705903">
        <w:rPr>
          <w:szCs w:val="24"/>
          <w:lang w:val="en-US" w:eastAsia="zh-CN"/>
        </w:rPr>
        <w:t>Guenster</w:t>
      </w:r>
      <w:proofErr w:type="spellEnd"/>
      <w:r w:rsidRPr="00705903">
        <w:rPr>
          <w:szCs w:val="24"/>
          <w:lang w:val="en-US" w:eastAsia="zh-CN"/>
        </w:rPr>
        <w:t xml:space="preserve">, N., Bauer, R., &amp; </w:t>
      </w:r>
      <w:proofErr w:type="spellStart"/>
      <w:r w:rsidRPr="00705903">
        <w:rPr>
          <w:szCs w:val="24"/>
          <w:lang w:val="en-US" w:eastAsia="zh-CN"/>
        </w:rPr>
        <w:t>Koedijk</w:t>
      </w:r>
      <w:proofErr w:type="spellEnd"/>
      <w:r w:rsidRPr="00705903">
        <w:rPr>
          <w:szCs w:val="24"/>
          <w:lang w:val="en-US" w:eastAsia="zh-CN"/>
        </w:rPr>
        <w:t xml:space="preserve">, K. (2005). </w:t>
      </w:r>
      <w:r w:rsidRPr="00705903">
        <w:rPr>
          <w:i/>
          <w:iCs/>
          <w:szCs w:val="24"/>
          <w:lang w:val="en-US" w:eastAsia="zh-CN"/>
        </w:rPr>
        <w:t>The eco-efficiency premium puzzle.</w:t>
      </w:r>
      <w:r w:rsidRPr="00705903">
        <w:rPr>
          <w:szCs w:val="24"/>
          <w:lang w:val="en-US" w:eastAsia="zh-CN"/>
        </w:rPr>
        <w:t xml:space="preserve"> Financial Analysts Journal, 61(2), 51–63.</w:t>
      </w:r>
    </w:p>
    <w:p w14:paraId="71B3B5CC"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Ding, W., Li, Z., &amp; Wu, Z. (2022). </w:t>
      </w:r>
      <w:r w:rsidRPr="00705903">
        <w:rPr>
          <w:i/>
          <w:iCs/>
          <w:szCs w:val="24"/>
          <w:lang w:val="en-US" w:eastAsia="zh-CN"/>
        </w:rPr>
        <w:t>ESG and corporate bond spreads: Evidence from China’s green finance reform.</w:t>
      </w:r>
      <w:r w:rsidRPr="00705903">
        <w:rPr>
          <w:szCs w:val="24"/>
          <w:lang w:val="en-US" w:eastAsia="zh-CN"/>
        </w:rPr>
        <w:t xml:space="preserve"> Journal of Banking &amp; Finance, 140, 106440.</w:t>
      </w:r>
    </w:p>
    <w:p w14:paraId="1652502B"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Fama, E. F. (1998). </w:t>
      </w:r>
      <w:r w:rsidRPr="00705903">
        <w:rPr>
          <w:i/>
          <w:iCs/>
          <w:szCs w:val="24"/>
          <w:lang w:val="en-US" w:eastAsia="zh-CN"/>
        </w:rPr>
        <w:t>Market efficiency, long-term returns, and behavioral finance.</w:t>
      </w:r>
      <w:r w:rsidRPr="00705903">
        <w:rPr>
          <w:szCs w:val="24"/>
          <w:lang w:val="en-US" w:eastAsia="zh-CN"/>
        </w:rPr>
        <w:t xml:space="preserve"> Journal of Financial Economics, 49(3), 283–306.</w:t>
      </w:r>
    </w:p>
    <w:p w14:paraId="6EDA3B3D"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Fama, E. F., &amp; French, K. R. (1993). </w:t>
      </w:r>
      <w:r w:rsidRPr="00705903">
        <w:rPr>
          <w:i/>
          <w:iCs/>
          <w:szCs w:val="24"/>
          <w:lang w:val="en-US" w:eastAsia="zh-CN"/>
        </w:rPr>
        <w:t>Common risk factors in the returns on stocks and bonds.</w:t>
      </w:r>
      <w:r w:rsidRPr="00705903">
        <w:rPr>
          <w:szCs w:val="24"/>
          <w:lang w:val="en-US" w:eastAsia="zh-CN"/>
        </w:rPr>
        <w:t xml:space="preserve"> Journal of Financial Economics, 33(1), 3–56.</w:t>
      </w:r>
    </w:p>
    <w:p w14:paraId="451F8726"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Fama, E. F., &amp; French, K. R. (2015). </w:t>
      </w:r>
      <w:r w:rsidRPr="00705903">
        <w:rPr>
          <w:i/>
          <w:iCs/>
          <w:szCs w:val="24"/>
          <w:lang w:val="en-US" w:eastAsia="zh-CN"/>
        </w:rPr>
        <w:t>A five-factor asset pricing model.</w:t>
      </w:r>
      <w:r w:rsidRPr="00705903">
        <w:rPr>
          <w:szCs w:val="24"/>
          <w:lang w:val="en-US" w:eastAsia="zh-CN"/>
        </w:rPr>
        <w:t xml:space="preserve"> Journal of Financial Economics, 116(1), 1–22.</w:t>
      </w:r>
    </w:p>
    <w:p w14:paraId="65909D89"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Friede, G., Busch, T., &amp; Bassen, A. (2015). </w:t>
      </w:r>
      <w:r w:rsidRPr="00705903">
        <w:rPr>
          <w:i/>
          <w:iCs/>
          <w:szCs w:val="24"/>
          <w:lang w:val="en-US" w:eastAsia="zh-CN"/>
        </w:rPr>
        <w:t>ESG and financial performance: Aggregated evidence from more than 2000 empirical studies.</w:t>
      </w:r>
      <w:r w:rsidRPr="00705903">
        <w:rPr>
          <w:szCs w:val="24"/>
          <w:lang w:val="en-US" w:eastAsia="zh-CN"/>
        </w:rPr>
        <w:t xml:space="preserve"> Journal of Sustainable Finance &amp; Investment, 5(4), 210–233.</w:t>
      </w:r>
    </w:p>
    <w:p w14:paraId="77F87DB6"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Gibson, R., Krueger, P., &amp; Schmidt, P. S. (2023). </w:t>
      </w:r>
      <w:r w:rsidRPr="00705903">
        <w:rPr>
          <w:i/>
          <w:iCs/>
          <w:szCs w:val="24"/>
          <w:lang w:val="en-US" w:eastAsia="zh-CN"/>
        </w:rPr>
        <w:t>ESG rating disagreement and stock returns around the world.</w:t>
      </w:r>
      <w:r w:rsidRPr="00705903">
        <w:rPr>
          <w:szCs w:val="24"/>
          <w:lang w:val="en-US" w:eastAsia="zh-CN"/>
        </w:rPr>
        <w:t xml:space="preserve"> Review of Finance, 27(1), 1–42.</w:t>
      </w:r>
    </w:p>
    <w:p w14:paraId="12FBB35E"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Gillan, S. L., Koch, A., &amp; Starks, L. T. (2021). </w:t>
      </w:r>
      <w:r w:rsidRPr="00705903">
        <w:rPr>
          <w:i/>
          <w:iCs/>
          <w:szCs w:val="24"/>
          <w:lang w:val="en-US" w:eastAsia="zh-CN"/>
        </w:rPr>
        <w:t>Firms and social responsibility: A review of ESG and CSR research in corporate finance.</w:t>
      </w:r>
      <w:r w:rsidRPr="00705903">
        <w:rPr>
          <w:szCs w:val="24"/>
          <w:lang w:val="en-US" w:eastAsia="zh-CN"/>
        </w:rPr>
        <w:t xml:space="preserve"> Journal of Corporate Finance, 66, 101889.</w:t>
      </w:r>
    </w:p>
    <w:p w14:paraId="5D1CE78D"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Gompers, P. A., Ishii, J. L., &amp; Metrick, A. (2003). </w:t>
      </w:r>
      <w:r w:rsidRPr="00705903">
        <w:rPr>
          <w:i/>
          <w:iCs/>
          <w:szCs w:val="24"/>
          <w:lang w:val="en-US" w:eastAsia="zh-CN"/>
        </w:rPr>
        <w:t>Corporate governance and equity prices.</w:t>
      </w:r>
      <w:r w:rsidRPr="00705903">
        <w:rPr>
          <w:szCs w:val="24"/>
          <w:lang w:val="en-US" w:eastAsia="zh-CN"/>
        </w:rPr>
        <w:t xml:space="preserve"> Quarterly Journal of Economics, 118(1), 107–155.</w:t>
      </w:r>
    </w:p>
    <w:p w14:paraId="38EBF439"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Global Reporting Initiative. (2016). </w:t>
      </w:r>
      <w:r w:rsidRPr="00705903">
        <w:rPr>
          <w:i/>
          <w:iCs/>
          <w:szCs w:val="24"/>
          <w:lang w:val="en-US" w:eastAsia="zh-CN"/>
        </w:rPr>
        <w:t>GRI Standards.</w:t>
      </w:r>
      <w:r w:rsidRPr="00705903">
        <w:rPr>
          <w:szCs w:val="24"/>
          <w:lang w:val="en-US" w:eastAsia="zh-CN"/>
        </w:rPr>
        <w:t xml:space="preserve"> Amsterdam: GRI Secretariat.</w:t>
      </w:r>
    </w:p>
    <w:p w14:paraId="4F050D0B"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Hoepner, A. G. F., Oikonomou, I., Sautner, Z., Starks, L. T., &amp; Zhou, X. (2019). </w:t>
      </w:r>
      <w:r w:rsidRPr="00705903">
        <w:rPr>
          <w:i/>
          <w:iCs/>
          <w:szCs w:val="24"/>
          <w:lang w:val="en-US" w:eastAsia="zh-CN"/>
        </w:rPr>
        <w:t>ESG shareholder engagement and downside risk.</w:t>
      </w:r>
      <w:r w:rsidRPr="00705903">
        <w:rPr>
          <w:szCs w:val="24"/>
          <w:lang w:val="en-US" w:eastAsia="zh-CN"/>
        </w:rPr>
        <w:t xml:space="preserve"> Review of Financial Studies, 32(6), 2790–2835.</w:t>
      </w:r>
    </w:p>
    <w:p w14:paraId="0FD22CC6"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Hong, H., &amp; </w:t>
      </w:r>
      <w:proofErr w:type="spellStart"/>
      <w:r w:rsidRPr="00705903">
        <w:rPr>
          <w:szCs w:val="24"/>
          <w:lang w:val="en-US" w:eastAsia="zh-CN"/>
        </w:rPr>
        <w:t>Kacperczyk</w:t>
      </w:r>
      <w:proofErr w:type="spellEnd"/>
      <w:r w:rsidRPr="00705903">
        <w:rPr>
          <w:szCs w:val="24"/>
          <w:lang w:val="en-US" w:eastAsia="zh-CN"/>
        </w:rPr>
        <w:t xml:space="preserve">, M. (2009). </w:t>
      </w:r>
      <w:r w:rsidRPr="00705903">
        <w:rPr>
          <w:i/>
          <w:iCs/>
          <w:szCs w:val="24"/>
          <w:lang w:val="en-US" w:eastAsia="zh-CN"/>
        </w:rPr>
        <w:t>The price of sin: The effects of social norms on markets.</w:t>
      </w:r>
      <w:r w:rsidRPr="00705903">
        <w:rPr>
          <w:szCs w:val="24"/>
          <w:lang w:val="en-US" w:eastAsia="zh-CN"/>
        </w:rPr>
        <w:t xml:space="preserve"> Journal of Financial Economics, 93(1), 15–36.</w:t>
      </w:r>
    </w:p>
    <w:p w14:paraId="0D0C703D"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ISO. (2010). </w:t>
      </w:r>
      <w:r w:rsidRPr="00705903">
        <w:rPr>
          <w:i/>
          <w:iCs/>
          <w:szCs w:val="24"/>
          <w:lang w:val="en-US" w:eastAsia="zh-CN"/>
        </w:rPr>
        <w:t>ISO 26000: Guidance on social responsibility.</w:t>
      </w:r>
      <w:r w:rsidRPr="00705903">
        <w:rPr>
          <w:szCs w:val="24"/>
          <w:lang w:val="en-US" w:eastAsia="zh-CN"/>
        </w:rPr>
        <w:t xml:space="preserve"> Geneva: International Organization for Standardization.</w:t>
      </w:r>
    </w:p>
    <w:p w14:paraId="313A9280" w14:textId="77777777" w:rsidR="003B5188" w:rsidRPr="00705903" w:rsidRDefault="003B5188" w:rsidP="0097761F">
      <w:pPr>
        <w:spacing w:line="360" w:lineRule="auto"/>
        <w:ind w:firstLine="0"/>
        <w:jc w:val="both"/>
        <w:rPr>
          <w:szCs w:val="24"/>
          <w:lang w:val="en-US" w:eastAsia="zh-CN"/>
        </w:rPr>
      </w:pPr>
      <w:proofErr w:type="spellStart"/>
      <w:r w:rsidRPr="00705903">
        <w:rPr>
          <w:szCs w:val="24"/>
          <w:lang w:val="en-US" w:eastAsia="zh-CN"/>
        </w:rPr>
        <w:t>Jorion</w:t>
      </w:r>
      <w:proofErr w:type="spellEnd"/>
      <w:r w:rsidRPr="00705903">
        <w:rPr>
          <w:szCs w:val="24"/>
          <w:lang w:val="en-US" w:eastAsia="zh-CN"/>
        </w:rPr>
        <w:t xml:space="preserve">, P. (2006). </w:t>
      </w:r>
      <w:r w:rsidRPr="00705903">
        <w:rPr>
          <w:i/>
          <w:iCs/>
          <w:szCs w:val="24"/>
          <w:lang w:val="en-US" w:eastAsia="zh-CN"/>
        </w:rPr>
        <w:t>Value at risk: The new benchmark for managing financial risk</w:t>
      </w:r>
      <w:r w:rsidRPr="00705903">
        <w:rPr>
          <w:szCs w:val="24"/>
          <w:lang w:val="en-US" w:eastAsia="zh-CN"/>
        </w:rPr>
        <w:t xml:space="preserve"> (3rd ed.). New York: McGraw-Hill.</w:t>
      </w:r>
    </w:p>
    <w:p w14:paraId="2F131723"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Kempf, A., &amp; Osthoff, P. (2007). </w:t>
      </w:r>
      <w:r w:rsidRPr="00705903">
        <w:rPr>
          <w:i/>
          <w:iCs/>
          <w:szCs w:val="24"/>
          <w:lang w:val="en-US" w:eastAsia="zh-CN"/>
        </w:rPr>
        <w:t>The effect of socially responsible investing on portfolio performance.</w:t>
      </w:r>
      <w:r w:rsidRPr="00705903">
        <w:rPr>
          <w:szCs w:val="24"/>
          <w:lang w:val="en-US" w:eastAsia="zh-CN"/>
        </w:rPr>
        <w:t xml:space="preserve"> European Financial Management, 13(5), 908–922.</w:t>
      </w:r>
    </w:p>
    <w:p w14:paraId="0A6B5D01"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Khan, M., Serafeim, G., &amp; Yoon, A. (2016). </w:t>
      </w:r>
      <w:r w:rsidRPr="00705903">
        <w:rPr>
          <w:i/>
          <w:iCs/>
          <w:szCs w:val="24"/>
          <w:lang w:val="en-US" w:eastAsia="zh-CN"/>
        </w:rPr>
        <w:t>Corporate sustainability: First evidence on materiality.</w:t>
      </w:r>
      <w:r w:rsidRPr="00705903">
        <w:rPr>
          <w:szCs w:val="24"/>
          <w:lang w:val="en-US" w:eastAsia="zh-CN"/>
        </w:rPr>
        <w:t xml:space="preserve"> The Accounting Review, 91(6), 1697–1724.</w:t>
      </w:r>
    </w:p>
    <w:p w14:paraId="53DBA72F"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Kim, J.-B., Li, Y., &amp; Zhang, L. (2011). </w:t>
      </w:r>
      <w:r w:rsidRPr="00705903">
        <w:rPr>
          <w:i/>
          <w:iCs/>
          <w:szCs w:val="24"/>
          <w:lang w:val="en-US" w:eastAsia="zh-CN"/>
        </w:rPr>
        <w:t>Corporate tax avoidance and stock price crash risk: Firm-level analysis.</w:t>
      </w:r>
      <w:r w:rsidRPr="00705903">
        <w:rPr>
          <w:szCs w:val="24"/>
          <w:lang w:val="en-US" w:eastAsia="zh-CN"/>
        </w:rPr>
        <w:t xml:space="preserve"> Journal of Financial Economics, 100(3), 639–662.</w:t>
      </w:r>
    </w:p>
    <w:p w14:paraId="2CA99C47"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Kiyotaki, N., &amp; Moore, J. (1997). </w:t>
      </w:r>
      <w:r w:rsidRPr="00705903">
        <w:rPr>
          <w:i/>
          <w:iCs/>
          <w:szCs w:val="24"/>
          <w:lang w:val="en-US" w:eastAsia="zh-CN"/>
        </w:rPr>
        <w:t>Credit cycles.</w:t>
      </w:r>
      <w:r w:rsidRPr="00705903">
        <w:rPr>
          <w:szCs w:val="24"/>
          <w:lang w:val="en-US" w:eastAsia="zh-CN"/>
        </w:rPr>
        <w:t xml:space="preserve"> Journal of Political Economy, 105(2), 211–248.</w:t>
      </w:r>
    </w:p>
    <w:p w14:paraId="78F38969" w14:textId="0F42F2CA" w:rsidR="003B5188" w:rsidRPr="00705903" w:rsidRDefault="003B5188" w:rsidP="0097761F">
      <w:pPr>
        <w:spacing w:line="360" w:lineRule="auto"/>
        <w:ind w:firstLine="0"/>
        <w:jc w:val="both"/>
        <w:rPr>
          <w:szCs w:val="24"/>
          <w:lang w:val="en-US" w:eastAsia="zh-CN"/>
        </w:rPr>
      </w:pPr>
      <w:r w:rsidRPr="00705903">
        <w:rPr>
          <w:szCs w:val="24"/>
          <w:lang w:val="en-US" w:eastAsia="zh-CN"/>
        </w:rPr>
        <w:t>Krueger, P., Sautner, Z., &amp; Starks, L. T. (2023). The importance of climate risks for institutional investors. Review of Financial Studies, 36(1), 68–113.</w:t>
      </w:r>
    </w:p>
    <w:p w14:paraId="2F6CCC15" w14:textId="1668EFD3" w:rsidR="003B5188" w:rsidRPr="00705903" w:rsidRDefault="003B5188" w:rsidP="0097761F">
      <w:pPr>
        <w:spacing w:line="360" w:lineRule="auto"/>
        <w:ind w:firstLine="0"/>
        <w:jc w:val="both"/>
        <w:rPr>
          <w:szCs w:val="24"/>
          <w:lang w:val="en-US" w:eastAsia="zh-CN"/>
        </w:rPr>
      </w:pPr>
      <w:r w:rsidRPr="00705903">
        <w:rPr>
          <w:szCs w:val="24"/>
          <w:lang w:val="en-US" w:eastAsia="zh-CN"/>
        </w:rPr>
        <w:t>Krüger, P. (2015). Corporate goodness and shareholder wealth. Journal of Financial Economics, 115(2), 304–329.</w:t>
      </w:r>
    </w:p>
    <w:p w14:paraId="1101D117" w14:textId="52C52D38" w:rsidR="003B5188" w:rsidRPr="00705903" w:rsidRDefault="003B5188" w:rsidP="0097761F">
      <w:pPr>
        <w:spacing w:line="360" w:lineRule="auto"/>
        <w:ind w:firstLine="0"/>
        <w:jc w:val="both"/>
        <w:rPr>
          <w:szCs w:val="24"/>
          <w:lang w:val="en-US" w:eastAsia="zh-CN"/>
        </w:rPr>
      </w:pPr>
      <w:r w:rsidRPr="00705903">
        <w:rPr>
          <w:szCs w:val="24"/>
          <w:lang w:val="en-US" w:eastAsia="zh-CN"/>
        </w:rPr>
        <w:t>Li, J., Liao, L., &amp; Shen, H. (2021). Pandemic shocks and firm resilience: Evidence from China. China Economic Review, 67, 101607.</w:t>
      </w:r>
    </w:p>
    <w:p w14:paraId="77E5F42B" w14:textId="0A3430DB" w:rsidR="003B5188" w:rsidRPr="00705903" w:rsidRDefault="003B5188" w:rsidP="0097761F">
      <w:pPr>
        <w:spacing w:line="360" w:lineRule="auto"/>
        <w:ind w:firstLine="0"/>
        <w:jc w:val="both"/>
        <w:rPr>
          <w:szCs w:val="24"/>
          <w:lang w:val="en-US" w:eastAsia="zh-CN"/>
        </w:rPr>
      </w:pPr>
      <w:r w:rsidRPr="00705903">
        <w:rPr>
          <w:szCs w:val="24"/>
          <w:lang w:val="en-US" w:eastAsia="zh-CN"/>
        </w:rPr>
        <w:t>Li, S., Sun, Q., &amp; Wang, C. (2023). ESG rating revisions and stock market reactions in China. Finance Research Letters, 54, 103526.</w:t>
      </w:r>
    </w:p>
    <w:p w14:paraId="44B3BF70" w14:textId="2358369F" w:rsidR="003B5188" w:rsidRPr="00705903" w:rsidRDefault="003B5188" w:rsidP="0097761F">
      <w:pPr>
        <w:spacing w:line="360" w:lineRule="auto"/>
        <w:ind w:firstLine="0"/>
        <w:jc w:val="both"/>
        <w:rPr>
          <w:szCs w:val="24"/>
          <w:lang w:val="en-US" w:eastAsia="zh-CN"/>
        </w:rPr>
      </w:pPr>
      <w:r w:rsidRPr="00705903">
        <w:rPr>
          <w:szCs w:val="24"/>
          <w:lang w:val="en-US" w:eastAsia="zh-CN"/>
        </w:rPr>
        <w:t>Lins, K. V., Servaes, H., &amp; Tamayo, A. (2017). Social capital, trust, and firm performance: The value of corporate social responsibility during the financial crisis. Journal of Finance, 72(4), 1785–1824.</w:t>
      </w:r>
    </w:p>
    <w:p w14:paraId="0373626E" w14:textId="525F0BE5" w:rsidR="003B5188" w:rsidRPr="00705903" w:rsidRDefault="003B5188" w:rsidP="0097761F">
      <w:pPr>
        <w:spacing w:line="360" w:lineRule="auto"/>
        <w:ind w:firstLine="0"/>
        <w:jc w:val="both"/>
        <w:rPr>
          <w:szCs w:val="24"/>
          <w:lang w:val="en-US" w:eastAsia="zh-CN"/>
        </w:rPr>
      </w:pPr>
      <w:r w:rsidRPr="00705903">
        <w:rPr>
          <w:szCs w:val="24"/>
          <w:lang w:val="en-US" w:eastAsia="zh-CN"/>
        </w:rPr>
        <w:t>Luo, L., Tang, Q., &amp; Lan, Y. C. (2013). Comparing environmental disclosure quality of Chinese firms: Evidence from different industries and ownership structures. Journal of Accounting and Public Policy, 32(6), 471–488.</w:t>
      </w:r>
    </w:p>
    <w:p w14:paraId="4E7DEA05" w14:textId="7B8FAFFA" w:rsidR="003B5188" w:rsidRPr="00705903" w:rsidRDefault="003B5188" w:rsidP="0097761F">
      <w:pPr>
        <w:spacing w:line="360" w:lineRule="auto"/>
        <w:ind w:firstLine="0"/>
        <w:jc w:val="both"/>
        <w:rPr>
          <w:szCs w:val="24"/>
          <w:lang w:val="en-US" w:eastAsia="zh-CN"/>
        </w:rPr>
      </w:pPr>
      <w:r w:rsidRPr="00705903">
        <w:rPr>
          <w:szCs w:val="24"/>
          <w:lang w:val="en-US" w:eastAsia="zh-CN"/>
        </w:rPr>
        <w:t>Lyon, J. D., Barber, B. M., &amp; Tsai, C.-L. (1999). Improved methods for tests of long-run abnormal stock returns. Journal of Finance, 54(1), 165–201.</w:t>
      </w:r>
    </w:p>
    <w:p w14:paraId="21F23C1E" w14:textId="19AC218C" w:rsidR="003B5188" w:rsidRPr="00705903" w:rsidRDefault="003B5188" w:rsidP="0097761F">
      <w:pPr>
        <w:spacing w:line="360" w:lineRule="auto"/>
        <w:ind w:firstLine="0"/>
        <w:jc w:val="both"/>
        <w:rPr>
          <w:szCs w:val="24"/>
          <w:lang w:val="en-US" w:eastAsia="zh-CN"/>
        </w:rPr>
      </w:pPr>
      <w:r w:rsidRPr="00705903">
        <w:rPr>
          <w:szCs w:val="24"/>
          <w:lang w:val="en-US" w:eastAsia="zh-CN"/>
        </w:rPr>
        <w:t>Ministry of Finance of China. (2017, December). New Energy Vehicle Subsidy Policy Adjustment Notice. Beijing: MOF.</w:t>
      </w:r>
    </w:p>
    <w:p w14:paraId="41712175" w14:textId="6E2B997C" w:rsidR="003B5188" w:rsidRPr="00705903" w:rsidRDefault="003B5188" w:rsidP="0097761F">
      <w:pPr>
        <w:spacing w:line="360" w:lineRule="auto"/>
        <w:ind w:firstLine="0"/>
        <w:jc w:val="both"/>
        <w:rPr>
          <w:szCs w:val="24"/>
          <w:lang w:val="en-US" w:eastAsia="zh-CN"/>
        </w:rPr>
      </w:pPr>
      <w:r w:rsidRPr="00705903">
        <w:rPr>
          <w:szCs w:val="24"/>
          <w:lang w:val="en-US" w:eastAsia="zh-CN"/>
        </w:rPr>
        <w:t>Mitchell, M. L., &amp; Stafford, E. (2000). Managerial decisions and long-term stock price performance. Journal of Business, 73(3), 287–329.</w:t>
      </w:r>
    </w:p>
    <w:p w14:paraId="7EB9FACF" w14:textId="052B6E1A" w:rsidR="003B5188" w:rsidRPr="00705903" w:rsidRDefault="003B5188" w:rsidP="0097761F">
      <w:pPr>
        <w:spacing w:line="360" w:lineRule="auto"/>
        <w:ind w:firstLine="0"/>
        <w:jc w:val="both"/>
        <w:rPr>
          <w:szCs w:val="24"/>
          <w:lang w:val="en-US" w:eastAsia="zh-CN"/>
        </w:rPr>
      </w:pPr>
      <w:r w:rsidRPr="00705903">
        <w:rPr>
          <w:szCs w:val="24"/>
          <w:lang w:val="en-US" w:eastAsia="zh-CN"/>
        </w:rPr>
        <w:t>National Health Commission of the People’s Republic of China. (2020–2022). Official epidemic prevention and mobility policy bulletins. Beijing: NHC.</w:t>
      </w:r>
    </w:p>
    <w:p w14:paraId="556CA7CE" w14:textId="0038268C"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Newey, W. K., &amp; West, K. D. (1987). A simple, positive semi-definite, heteroskedasticity and autocorrelation consistent covariance matrix. </w:t>
      </w:r>
      <w:proofErr w:type="spellStart"/>
      <w:r w:rsidRPr="00705903">
        <w:rPr>
          <w:szCs w:val="24"/>
          <w:lang w:val="en-US" w:eastAsia="zh-CN"/>
        </w:rPr>
        <w:t>Econometrica</w:t>
      </w:r>
      <w:proofErr w:type="spellEnd"/>
      <w:r w:rsidRPr="00705903">
        <w:rPr>
          <w:szCs w:val="24"/>
          <w:lang w:val="en-US" w:eastAsia="zh-CN"/>
        </w:rPr>
        <w:t>, 55(3), 703–708.</w:t>
      </w:r>
    </w:p>
    <w:p w14:paraId="59042041" w14:textId="599690A6" w:rsidR="003B5188" w:rsidRPr="00705903" w:rsidRDefault="003B5188" w:rsidP="0097761F">
      <w:pPr>
        <w:spacing w:line="360" w:lineRule="auto"/>
        <w:ind w:firstLine="0"/>
        <w:jc w:val="both"/>
        <w:rPr>
          <w:szCs w:val="24"/>
          <w:lang w:val="en-US" w:eastAsia="zh-CN"/>
        </w:rPr>
      </w:pPr>
      <w:r w:rsidRPr="00705903">
        <w:rPr>
          <w:szCs w:val="24"/>
          <w:lang w:val="en-US" w:eastAsia="zh-CN"/>
        </w:rPr>
        <w:t>Pastor, L., Stambaugh, R. F., &amp; Taylor, L. A. (2022). Sustainable investing in equilibrium. Journal of Financial Economics, 145(2), 518–553.</w:t>
      </w:r>
    </w:p>
    <w:p w14:paraId="046CA04F" w14:textId="714A9BA7" w:rsidR="00AF4522" w:rsidRPr="00705903" w:rsidRDefault="00AF4522" w:rsidP="0097761F">
      <w:pPr>
        <w:spacing w:line="360" w:lineRule="auto"/>
        <w:ind w:firstLine="0"/>
        <w:jc w:val="both"/>
        <w:rPr>
          <w:szCs w:val="24"/>
          <w:lang w:val="en-US" w:eastAsia="zh-CN"/>
        </w:rPr>
      </w:pPr>
      <w:r w:rsidRPr="00705903">
        <w:rPr>
          <w:szCs w:val="24"/>
          <w:lang w:eastAsia="zh-CN"/>
        </w:rPr>
        <w:t xml:space="preserve">Pedersen, L. H., Fitzgibbons, S., &amp; Pomorski, L. (2021). Responsible investing: The ESG-efficient frontier. </w:t>
      </w:r>
      <w:r w:rsidRPr="00705903">
        <w:rPr>
          <w:i/>
          <w:iCs/>
          <w:szCs w:val="24"/>
          <w:lang w:eastAsia="zh-CN"/>
        </w:rPr>
        <w:t>Journal of Financial Economics, 142</w:t>
      </w:r>
      <w:r w:rsidRPr="00705903">
        <w:rPr>
          <w:szCs w:val="24"/>
          <w:lang w:eastAsia="zh-CN"/>
        </w:rPr>
        <w:t>(2), 524–548.</w:t>
      </w:r>
    </w:p>
    <w:p w14:paraId="1C0D5527" w14:textId="7A9293E0"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People’s Bank of China. (2015). Guidelines for establishing </w:t>
      </w:r>
      <w:proofErr w:type="gramStart"/>
      <w:r w:rsidRPr="00705903">
        <w:rPr>
          <w:szCs w:val="24"/>
          <w:lang w:val="en-US" w:eastAsia="zh-CN"/>
        </w:rPr>
        <w:t>the</w:t>
      </w:r>
      <w:proofErr w:type="gramEnd"/>
      <w:r w:rsidRPr="00705903">
        <w:rPr>
          <w:szCs w:val="24"/>
          <w:lang w:val="en-US" w:eastAsia="zh-CN"/>
        </w:rPr>
        <w:t xml:space="preserve"> green financial system. Beijing: People’s Bank of China.</w:t>
      </w:r>
    </w:p>
    <w:p w14:paraId="492E41DA" w14:textId="14A69DA0"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People’s Bank of China. (n.d.). Monthly Treasury Bill Yield Data. Retrieved from </w:t>
      </w:r>
      <w:hyperlink r:id="rId11" w:history="1">
        <w:r w:rsidRPr="00705903">
          <w:rPr>
            <w:rStyle w:val="Hyperlink"/>
            <w:szCs w:val="24"/>
            <w:lang w:val="en-US" w:eastAsia="zh-CN"/>
          </w:rPr>
          <w:t>https://www.pbc.gov.cn</w:t>
        </w:r>
      </w:hyperlink>
    </w:p>
    <w:p w14:paraId="5DA862B3"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Pedersen, L. H., Fitzgibbons, S., &amp; Pomorski, L. (2021). </w:t>
      </w:r>
      <w:r w:rsidRPr="00705903">
        <w:rPr>
          <w:i/>
          <w:iCs/>
          <w:szCs w:val="24"/>
          <w:lang w:val="en-US" w:eastAsia="zh-CN"/>
        </w:rPr>
        <w:t>Responsible investing: The ESG-efficient frontier.</w:t>
      </w:r>
      <w:r w:rsidRPr="00705903">
        <w:rPr>
          <w:szCs w:val="24"/>
          <w:lang w:val="en-US" w:eastAsia="zh-CN"/>
        </w:rPr>
        <w:t xml:space="preserve"> Journal of Financial Economics, 142(2), 572–597.</w:t>
      </w:r>
    </w:p>
    <w:p w14:paraId="1FDF67FD"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Report to the 19th National Congress of the CPC. (2017, October 18). </w:t>
      </w:r>
      <w:r w:rsidRPr="00705903">
        <w:rPr>
          <w:i/>
          <w:iCs/>
          <w:szCs w:val="24"/>
          <w:lang w:val="en-US" w:eastAsia="zh-CN"/>
        </w:rPr>
        <w:t>Secure a decisive victory in building a moderately prosperous society.</w:t>
      </w:r>
      <w:r w:rsidRPr="00705903">
        <w:rPr>
          <w:szCs w:val="24"/>
          <w:lang w:val="en-US" w:eastAsia="zh-CN"/>
        </w:rPr>
        <w:t xml:space="preserve"> Beijing: Xinhua News Agency.</w:t>
      </w:r>
    </w:p>
    <w:p w14:paraId="58A50B28"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SASAC. (2021). </w:t>
      </w:r>
      <w:r w:rsidRPr="00705903">
        <w:rPr>
          <w:i/>
          <w:iCs/>
          <w:szCs w:val="24"/>
          <w:lang w:val="en-US" w:eastAsia="zh-CN"/>
        </w:rPr>
        <w:t>Corporate governance guidelines for state-owned enterprises.</w:t>
      </w:r>
      <w:r w:rsidRPr="00705903">
        <w:rPr>
          <w:szCs w:val="24"/>
          <w:lang w:val="en-US" w:eastAsia="zh-CN"/>
        </w:rPr>
        <w:t xml:space="preserve"> Beijing: State Council of China.</w:t>
      </w:r>
    </w:p>
    <w:p w14:paraId="4EA9EADA"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SASB (Sustainability Accounting Standards Board). (2018). </w:t>
      </w:r>
      <w:r w:rsidRPr="00705903">
        <w:rPr>
          <w:i/>
          <w:iCs/>
          <w:szCs w:val="24"/>
          <w:lang w:val="en-US" w:eastAsia="zh-CN"/>
        </w:rPr>
        <w:t>SASB Implementation Guide.</w:t>
      </w:r>
      <w:r w:rsidRPr="00705903">
        <w:rPr>
          <w:szCs w:val="24"/>
          <w:lang w:val="en-US" w:eastAsia="zh-CN"/>
        </w:rPr>
        <w:t xml:space="preserve"> San Francisco: SASB Foundation.</w:t>
      </w:r>
    </w:p>
    <w:p w14:paraId="67A3878F" w14:textId="77777777" w:rsidR="003B5188" w:rsidRPr="00705903" w:rsidRDefault="003B5188" w:rsidP="0097761F">
      <w:pPr>
        <w:spacing w:line="360" w:lineRule="auto"/>
        <w:ind w:firstLine="0"/>
        <w:jc w:val="both"/>
        <w:rPr>
          <w:szCs w:val="24"/>
          <w:lang w:val="en-US" w:eastAsia="zh-CN"/>
        </w:rPr>
      </w:pPr>
      <w:r w:rsidRPr="00705903">
        <w:rPr>
          <w:szCs w:val="24"/>
          <w:lang w:val="en-US" w:eastAsia="zh-CN"/>
        </w:rPr>
        <w:t xml:space="preserve">Sina Finance. (2023, May 12). </w:t>
      </w:r>
      <w:r w:rsidRPr="00705903">
        <w:rPr>
          <w:i/>
          <w:iCs/>
          <w:szCs w:val="24"/>
          <w:lang w:val="en-US" w:eastAsia="zh-CN"/>
        </w:rPr>
        <w:t>Chronology of China’s green development agenda.</w:t>
      </w:r>
      <w:r w:rsidRPr="00705903">
        <w:rPr>
          <w:szCs w:val="24"/>
          <w:lang w:val="en-US" w:eastAsia="zh-CN"/>
        </w:rPr>
        <w:t xml:space="preserve"> Retrieved from </w:t>
      </w:r>
      <w:hyperlink r:id="rId12" w:tgtFrame="_new" w:history="1">
        <w:r w:rsidRPr="00705903">
          <w:rPr>
            <w:rStyle w:val="Hyperlink"/>
            <w:szCs w:val="24"/>
            <w:lang w:val="en-US" w:eastAsia="zh-CN"/>
          </w:rPr>
          <w:t>https://finance.sina.com.cn</w:t>
        </w:r>
      </w:hyperlink>
    </w:p>
    <w:p w14:paraId="38264022" w14:textId="0D7EEEA9" w:rsidR="003B5188" w:rsidRPr="00705903" w:rsidRDefault="003B5188" w:rsidP="0097761F">
      <w:pPr>
        <w:spacing w:line="360" w:lineRule="auto"/>
        <w:ind w:firstLine="0"/>
        <w:jc w:val="both"/>
        <w:rPr>
          <w:szCs w:val="24"/>
          <w:lang w:val="en-US" w:eastAsia="zh-CN"/>
        </w:rPr>
      </w:pPr>
      <w:r w:rsidRPr="00705903">
        <w:rPr>
          <w:szCs w:val="24"/>
          <w:lang w:val="en-US" w:eastAsia="zh-CN"/>
        </w:rPr>
        <w:t>Sortino, F., &amp; Price, L. (1994). Performance measurement in a downside risk framework. Journal of Investing, 3(3), 59–64.</w:t>
      </w:r>
    </w:p>
    <w:p w14:paraId="2C4C24CE" w14:textId="4DF36538" w:rsidR="003B5188" w:rsidRPr="00705903" w:rsidRDefault="003B5188" w:rsidP="0097761F">
      <w:pPr>
        <w:spacing w:line="360" w:lineRule="auto"/>
        <w:ind w:firstLine="0"/>
        <w:jc w:val="both"/>
        <w:rPr>
          <w:szCs w:val="24"/>
          <w:lang w:val="en-US" w:eastAsia="zh-CN"/>
        </w:rPr>
      </w:pPr>
      <w:r w:rsidRPr="00705903">
        <w:rPr>
          <w:szCs w:val="24"/>
          <w:lang w:val="en-US" w:eastAsia="zh-CN"/>
        </w:rPr>
        <w:t>State Council Executive Meeting. (2020, March 31). Decisions on promoting energy transition and low-carbon development. Beijing: State Council.</w:t>
      </w:r>
    </w:p>
    <w:p w14:paraId="4E288363" w14:textId="32ED200D" w:rsidR="003B5188" w:rsidRPr="00705903" w:rsidRDefault="003B5188" w:rsidP="0097761F">
      <w:pPr>
        <w:spacing w:line="360" w:lineRule="auto"/>
        <w:ind w:firstLine="0"/>
        <w:jc w:val="both"/>
        <w:rPr>
          <w:szCs w:val="24"/>
          <w:lang w:val="en-US" w:eastAsia="zh-CN"/>
        </w:rPr>
      </w:pPr>
      <w:r w:rsidRPr="00705903">
        <w:rPr>
          <w:szCs w:val="24"/>
          <w:lang w:val="en-US" w:eastAsia="zh-CN"/>
        </w:rPr>
        <w:t>State Council of the People’s Republic of China. (2020). Carbon Neutrality and Green Development Plan. Beijing: State Council.</w:t>
      </w:r>
    </w:p>
    <w:p w14:paraId="1358714B" w14:textId="04078B99" w:rsidR="003B5188" w:rsidRPr="00705903" w:rsidRDefault="003B5188" w:rsidP="0097761F">
      <w:pPr>
        <w:spacing w:line="360" w:lineRule="auto"/>
        <w:ind w:firstLine="0"/>
        <w:jc w:val="both"/>
        <w:rPr>
          <w:szCs w:val="24"/>
          <w:lang w:val="en-US" w:eastAsia="zh-CN"/>
        </w:rPr>
      </w:pPr>
      <w:r w:rsidRPr="00705903">
        <w:rPr>
          <w:szCs w:val="24"/>
          <w:lang w:val="en-US" w:eastAsia="zh-CN"/>
        </w:rPr>
        <w:t>State-owned Assets Supervision and Administration Commission (SASAC). (2015). Notice on strengthening the corporate social responsibility of central enterprises. Beijing: SASAC of the State Council.</w:t>
      </w:r>
    </w:p>
    <w:p w14:paraId="4E4F68BD" w14:textId="308329F3" w:rsidR="003B5188" w:rsidRPr="00705903" w:rsidRDefault="003B5188" w:rsidP="0097761F">
      <w:pPr>
        <w:spacing w:line="360" w:lineRule="auto"/>
        <w:ind w:firstLine="0"/>
        <w:jc w:val="both"/>
        <w:rPr>
          <w:szCs w:val="24"/>
          <w:lang w:val="en-US" w:eastAsia="zh-CN"/>
        </w:rPr>
      </w:pPr>
      <w:r w:rsidRPr="00705903">
        <w:rPr>
          <w:szCs w:val="24"/>
          <w:lang w:val="en-US" w:eastAsia="zh-CN"/>
        </w:rPr>
        <w:t>Wind Information Co., Ltd. (2025). Wind ESG Database Documentation (Update February 2025). Shanghai: Wind Financial Terminal.</w:t>
      </w:r>
    </w:p>
    <w:p w14:paraId="4BFF6A2D" w14:textId="4B7C8BAF" w:rsidR="003B5188" w:rsidRPr="00705903" w:rsidRDefault="003B5188" w:rsidP="0097761F">
      <w:pPr>
        <w:spacing w:line="360" w:lineRule="auto"/>
        <w:ind w:firstLine="0"/>
        <w:jc w:val="both"/>
        <w:rPr>
          <w:szCs w:val="24"/>
          <w:lang w:val="en-US" w:eastAsia="zh-CN"/>
        </w:rPr>
      </w:pPr>
      <w:r w:rsidRPr="00705903">
        <w:rPr>
          <w:szCs w:val="24"/>
          <w:lang w:val="en-US" w:eastAsia="zh-CN"/>
        </w:rPr>
        <w:t>Whelan, T., Atz, U., Van Holt, T., &amp; Clark, C. (2021). ESG and financial performance: Uncovering the relationship by aggregating evidence from 1,000+ studies (2015–2020). NYU Stern Center for Sustainable Business Report.</w:t>
      </w:r>
    </w:p>
    <w:p w14:paraId="73C737A0" w14:textId="5F6E599F" w:rsidR="00036775" w:rsidRPr="00705903" w:rsidRDefault="003B5188" w:rsidP="0097761F">
      <w:pPr>
        <w:spacing w:line="360" w:lineRule="auto"/>
        <w:ind w:firstLine="0"/>
        <w:jc w:val="both"/>
        <w:rPr>
          <w:szCs w:val="24"/>
          <w:lang w:val="en-US" w:eastAsia="zh-CN"/>
        </w:rPr>
      </w:pPr>
      <w:r w:rsidRPr="00705903">
        <w:rPr>
          <w:szCs w:val="24"/>
          <w:lang w:val="en-US" w:eastAsia="zh-CN"/>
        </w:rPr>
        <w:t>Xi, J. (2020, September 22). Statement by H.E. Xi Jinping, President of the People’s Republic of China, at the General Debate of the 75th Session of the United Nations General Assembly. United Nations.</w:t>
      </w:r>
    </w:p>
    <w:p w14:paraId="4F722A66" w14:textId="77777777" w:rsidR="00036775" w:rsidRPr="00705903" w:rsidRDefault="00036775" w:rsidP="0097761F">
      <w:pPr>
        <w:pStyle w:val="Heading1"/>
        <w:sectPr w:rsidR="00036775" w:rsidRPr="00705903" w:rsidSect="006268E7">
          <w:footerReference w:type="default" r:id="rId13"/>
          <w:pgSz w:w="12240" w:h="15840"/>
          <w:pgMar w:top="1440" w:right="1440" w:bottom="1440" w:left="1440" w:header="720" w:footer="720" w:gutter="0"/>
          <w:cols w:space="720"/>
          <w:docGrid w:linePitch="360"/>
        </w:sectPr>
      </w:pPr>
    </w:p>
    <w:p w14:paraId="3B616BD3" w14:textId="739AFF35" w:rsidR="00AB238E" w:rsidRPr="00705903" w:rsidRDefault="00036775" w:rsidP="0097761F">
      <w:pPr>
        <w:pStyle w:val="Heading1"/>
      </w:pPr>
      <w:r w:rsidRPr="00705903">
        <w:t xml:space="preserve">Appendix A. </w:t>
      </w:r>
      <w:r w:rsidR="00012F84" w:rsidRPr="00705903">
        <w:t>Extended Summary of Hypotheses, Empirical Design, and Main Findings</w:t>
      </w:r>
    </w:p>
    <w:p w14:paraId="10933736" w14:textId="77777777" w:rsidR="00036775" w:rsidRPr="00705903" w:rsidRDefault="00036775" w:rsidP="0097761F">
      <w:pPr>
        <w:spacing w:line="360" w:lineRule="auto"/>
        <w:ind w:firstLine="0"/>
        <w:jc w:val="both"/>
        <w:rPr>
          <w:szCs w:val="24"/>
          <w:lang w:val="en-US" w:eastAsia="zh-CN"/>
        </w:rPr>
      </w:pPr>
      <w:bookmarkStart w:id="2" w:name="OLE_LINK17"/>
    </w:p>
    <w:p w14:paraId="0426F362" w14:textId="40BF12E1" w:rsidR="00036775" w:rsidRPr="00705903" w:rsidRDefault="00012F84" w:rsidP="0097761F">
      <w:pPr>
        <w:spacing w:line="240" w:lineRule="auto"/>
        <w:ind w:firstLine="0"/>
        <w:jc w:val="both"/>
        <w:rPr>
          <w:sz w:val="20"/>
          <w:szCs w:val="20"/>
          <w:lang w:eastAsia="zh-CN"/>
        </w:rPr>
      </w:pPr>
      <w:r w:rsidRPr="00705903">
        <w:rPr>
          <w:sz w:val="20"/>
          <w:szCs w:val="20"/>
          <w:lang w:eastAsia="zh-CN"/>
        </w:rPr>
        <w:t>Appendix A provides an extended overview of the hypotheses, empirical design, and main findings. This expanded table complements Table A. in the main text by reporting the full set of data sources, variable definitions, empirical tests, and detailed evidence underlying each hypothesis. It offers a comprehensive mapping between the study’s theoretical predictions and the complete empirical implementation.</w:t>
      </w:r>
    </w:p>
    <w:p w14:paraId="5BC8083B" w14:textId="77777777" w:rsidR="00012F84" w:rsidRPr="00705903" w:rsidRDefault="00012F84" w:rsidP="0097761F">
      <w:pPr>
        <w:spacing w:line="240" w:lineRule="auto"/>
        <w:ind w:firstLine="0"/>
        <w:jc w:val="both"/>
        <w:rPr>
          <w:sz w:val="20"/>
          <w:szCs w:val="20"/>
          <w:lang w:val="en-US" w:eastAsia="zh-CN"/>
        </w:rPr>
      </w:pPr>
    </w:p>
    <w:tbl>
      <w:tblPr>
        <w:tblStyle w:val="PlainTable2"/>
        <w:tblW w:w="12955" w:type="dxa"/>
        <w:tblLook w:val="04A0" w:firstRow="1" w:lastRow="0" w:firstColumn="1" w:lastColumn="0" w:noHBand="0" w:noVBand="1"/>
      </w:tblPr>
      <w:tblGrid>
        <w:gridCol w:w="1238"/>
        <w:gridCol w:w="2929"/>
        <w:gridCol w:w="2929"/>
        <w:gridCol w:w="2930"/>
        <w:gridCol w:w="2929"/>
      </w:tblGrid>
      <w:tr w:rsidR="00036775" w:rsidRPr="00705903" w14:paraId="24F628ED" w14:textId="77777777" w:rsidTr="00036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dxa"/>
          </w:tcPr>
          <w:p w14:paraId="3F4587ED" w14:textId="77777777" w:rsidR="00036775" w:rsidRPr="00705903" w:rsidRDefault="00036775" w:rsidP="0097761F">
            <w:pPr>
              <w:spacing w:line="240" w:lineRule="auto"/>
              <w:ind w:firstLine="0"/>
              <w:jc w:val="both"/>
              <w:rPr>
                <w:sz w:val="20"/>
                <w:szCs w:val="20"/>
                <w:lang w:val="en-US" w:eastAsia="zh-CN"/>
              </w:rPr>
            </w:pPr>
            <w:r w:rsidRPr="00705903">
              <w:rPr>
                <w:sz w:val="20"/>
                <w:szCs w:val="20"/>
                <w:lang w:val="en-US" w:eastAsia="zh-CN"/>
              </w:rPr>
              <w:t>Hypothesis</w:t>
            </w:r>
          </w:p>
        </w:tc>
        <w:tc>
          <w:tcPr>
            <w:tcW w:w="2932" w:type="dxa"/>
          </w:tcPr>
          <w:p w14:paraId="697C6557" w14:textId="77777777" w:rsidR="00036775" w:rsidRPr="00705903" w:rsidRDefault="00036775" w:rsidP="0097761F">
            <w:pPr>
              <w:spacing w:line="240" w:lineRule="auto"/>
              <w:ind w:firstLine="0"/>
              <w:jc w:val="both"/>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Data &amp; Variables</w:t>
            </w:r>
          </w:p>
        </w:tc>
        <w:tc>
          <w:tcPr>
            <w:tcW w:w="2932" w:type="dxa"/>
          </w:tcPr>
          <w:p w14:paraId="64489711" w14:textId="77777777" w:rsidR="00036775" w:rsidRPr="00705903" w:rsidRDefault="00036775" w:rsidP="0097761F">
            <w:pPr>
              <w:spacing w:line="240" w:lineRule="auto"/>
              <w:ind w:firstLine="0"/>
              <w:jc w:val="both"/>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Empirical Tests</w:t>
            </w:r>
          </w:p>
        </w:tc>
        <w:tc>
          <w:tcPr>
            <w:tcW w:w="2932" w:type="dxa"/>
          </w:tcPr>
          <w:p w14:paraId="4FD8468F" w14:textId="77777777" w:rsidR="00036775" w:rsidRPr="00705903" w:rsidRDefault="00036775" w:rsidP="0097761F">
            <w:pPr>
              <w:spacing w:line="240" w:lineRule="auto"/>
              <w:ind w:firstLine="0"/>
              <w:jc w:val="both"/>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Main Findings (Evidence)</w:t>
            </w:r>
          </w:p>
        </w:tc>
        <w:tc>
          <w:tcPr>
            <w:tcW w:w="2932" w:type="dxa"/>
          </w:tcPr>
          <w:p w14:paraId="3717BE8E" w14:textId="77777777" w:rsidR="00036775" w:rsidRPr="00705903" w:rsidRDefault="00036775" w:rsidP="0097761F">
            <w:pPr>
              <w:spacing w:line="240" w:lineRule="auto"/>
              <w:ind w:firstLine="0"/>
              <w:jc w:val="both"/>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Interpretation</w:t>
            </w:r>
          </w:p>
        </w:tc>
      </w:tr>
      <w:tr w:rsidR="00036775" w:rsidRPr="00705903" w14:paraId="60C28AB7" w14:textId="77777777" w:rsidTr="00036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dxa"/>
          </w:tcPr>
          <w:p w14:paraId="128CCFB0" w14:textId="77777777" w:rsidR="00036775" w:rsidRPr="00705903" w:rsidRDefault="00036775" w:rsidP="0097761F">
            <w:pPr>
              <w:spacing w:line="240" w:lineRule="auto"/>
              <w:ind w:firstLine="0"/>
              <w:jc w:val="both"/>
              <w:rPr>
                <w:b w:val="0"/>
                <w:bCs w:val="0"/>
                <w:i/>
                <w:iCs/>
                <w:sz w:val="20"/>
                <w:szCs w:val="20"/>
                <w:lang w:val="en-US" w:eastAsia="zh-CN"/>
              </w:rPr>
            </w:pPr>
            <w:r w:rsidRPr="00705903">
              <w:rPr>
                <w:b w:val="0"/>
                <w:bCs w:val="0"/>
                <w:i/>
                <w:iCs/>
                <w:sz w:val="20"/>
                <w:szCs w:val="20"/>
                <w:lang w:val="en-US" w:eastAsia="zh-CN"/>
              </w:rPr>
              <w:t>H1. ESG performance is negatively related to subsequent stock returns.</w:t>
            </w:r>
          </w:p>
        </w:tc>
        <w:tc>
          <w:tcPr>
            <w:tcW w:w="2932" w:type="dxa"/>
          </w:tcPr>
          <w:p w14:paraId="3F084045" w14:textId="77777777" w:rsidR="00036775" w:rsidRPr="00705903" w:rsidRDefault="00036775" w:rsidP="0097761F">
            <w:pPr>
              <w:pStyle w:val="ListParagraph"/>
              <w:numPr>
                <w:ilvl w:val="0"/>
                <w:numId w:val="18"/>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CNRDS ESG ratings for all A-share firms (2007–2022), overall ESG scores and E/S/G sub-scores  </w:t>
            </w:r>
          </w:p>
          <w:p w14:paraId="3A966CC9" w14:textId="77777777" w:rsidR="00036775" w:rsidRPr="00705903" w:rsidRDefault="00036775" w:rsidP="0097761F">
            <w:pPr>
              <w:pStyle w:val="ListParagraph"/>
              <w:numPr>
                <w:ilvl w:val="0"/>
                <w:numId w:val="18"/>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Daily and monthly stock returns from Wind  </w:t>
            </w:r>
          </w:p>
          <w:p w14:paraId="37D82D11" w14:textId="77777777" w:rsidR="00036775" w:rsidRPr="00705903" w:rsidRDefault="00036775" w:rsidP="0097761F">
            <w:pPr>
              <w:pStyle w:val="ListParagraph"/>
              <w:numPr>
                <w:ilvl w:val="0"/>
                <w:numId w:val="18"/>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Fama–French five-factor factors (MKT, SMB, HML, RMW, CMA)</w:t>
            </w:r>
          </w:p>
        </w:tc>
        <w:tc>
          <w:tcPr>
            <w:tcW w:w="2932" w:type="dxa"/>
          </w:tcPr>
          <w:p w14:paraId="7B45BB0A" w14:textId="77777777" w:rsidR="00036775" w:rsidRPr="00705903" w:rsidRDefault="00036775" w:rsidP="0097761F">
            <w:pPr>
              <w:pStyle w:val="ListParagraph"/>
              <w:numPr>
                <w:ilvl w:val="0"/>
                <w:numId w:val="18"/>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Decile and quintile high–low (H–L) portfolios sorted on ESG  </w:t>
            </w:r>
          </w:p>
          <w:p w14:paraId="3D2574FB" w14:textId="77777777" w:rsidR="00036775" w:rsidRPr="00705903" w:rsidRDefault="00036775" w:rsidP="0097761F">
            <w:pPr>
              <w:pStyle w:val="ListParagraph"/>
              <w:numPr>
                <w:ilvl w:val="0"/>
                <w:numId w:val="18"/>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Time-series factor regressions of ESG H–L returns on Fama–French factors  </w:t>
            </w:r>
          </w:p>
          <w:p w14:paraId="61058EE2" w14:textId="77777777" w:rsidR="00036775" w:rsidRPr="00705903" w:rsidRDefault="00036775" w:rsidP="0097761F">
            <w:pPr>
              <w:pStyle w:val="ListParagraph"/>
              <w:numPr>
                <w:ilvl w:val="0"/>
                <w:numId w:val="18"/>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Lagged ESG regressions: year t–1 ESG scores predicting returns in year t</w:t>
            </w:r>
          </w:p>
        </w:tc>
        <w:tc>
          <w:tcPr>
            <w:tcW w:w="2932" w:type="dxa"/>
          </w:tcPr>
          <w:p w14:paraId="2D475BCE" w14:textId="77777777" w:rsidR="00036775" w:rsidRPr="00705903" w:rsidRDefault="00036775" w:rsidP="0097761F">
            <w:pPr>
              <w:pStyle w:val="ListParagraph"/>
              <w:numPr>
                <w:ilvl w:val="0"/>
                <w:numId w:val="18"/>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High–low ESG portfolios deliver significantly negative average returns and Sharpe ratios over 2007–2022. </w:t>
            </w:r>
          </w:p>
          <w:p w14:paraId="2599B04D" w14:textId="77777777" w:rsidR="00036775" w:rsidRPr="00705903" w:rsidRDefault="00036775" w:rsidP="0097761F">
            <w:pPr>
              <w:pStyle w:val="ListParagraph"/>
              <w:numPr>
                <w:ilvl w:val="0"/>
                <w:numId w:val="18"/>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Fama–French regressions show no positive alpha for ESG-related factors; H–L returns are largely explained by standard risk factors. </w:t>
            </w:r>
          </w:p>
          <w:p w14:paraId="140D31DF" w14:textId="77777777" w:rsidR="00036775" w:rsidRPr="00705903" w:rsidRDefault="00036775" w:rsidP="0097761F">
            <w:pPr>
              <w:pStyle w:val="ListParagraph"/>
              <w:numPr>
                <w:ilvl w:val="0"/>
                <w:numId w:val="18"/>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Lagged ESG scores are significantly negatively related to subsequent returns (ESG, E, S), confirming a predictive inverse ESG–return relation.</w:t>
            </w:r>
          </w:p>
        </w:tc>
        <w:tc>
          <w:tcPr>
            <w:tcW w:w="2932" w:type="dxa"/>
          </w:tcPr>
          <w:p w14:paraId="593EFED1" w14:textId="77777777" w:rsidR="00036775" w:rsidRPr="00705903" w:rsidRDefault="00036775" w:rsidP="0097761F">
            <w:pPr>
              <w:spacing w:line="240"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ESG functions as a valuation premium rather than a source of alpha: investors are willing to accept lower future returns for firms with higher ESG scores. ESG characteristics are priced ex ante into higher valuations, leading to lower realized returns ex post.</w:t>
            </w:r>
          </w:p>
        </w:tc>
      </w:tr>
      <w:tr w:rsidR="00036775" w:rsidRPr="00705903" w14:paraId="5220446C" w14:textId="77777777" w:rsidTr="00036775">
        <w:tc>
          <w:tcPr>
            <w:cnfStyle w:val="001000000000" w:firstRow="0" w:lastRow="0" w:firstColumn="1" w:lastColumn="0" w:oddVBand="0" w:evenVBand="0" w:oddHBand="0" w:evenHBand="0" w:firstRowFirstColumn="0" w:firstRowLastColumn="0" w:lastRowFirstColumn="0" w:lastRowLastColumn="0"/>
            <w:tcW w:w="1227" w:type="dxa"/>
          </w:tcPr>
          <w:p w14:paraId="225072D0" w14:textId="77777777" w:rsidR="00036775" w:rsidRPr="00705903" w:rsidRDefault="00036775" w:rsidP="0097761F">
            <w:pPr>
              <w:spacing w:line="240" w:lineRule="auto"/>
              <w:ind w:firstLine="0"/>
              <w:jc w:val="both"/>
              <w:rPr>
                <w:b w:val="0"/>
                <w:bCs w:val="0"/>
                <w:i/>
                <w:iCs/>
                <w:sz w:val="20"/>
                <w:szCs w:val="20"/>
                <w:lang w:val="en-US" w:eastAsia="zh-CN"/>
              </w:rPr>
            </w:pPr>
            <w:r w:rsidRPr="00705903">
              <w:rPr>
                <w:b w:val="0"/>
                <w:bCs w:val="0"/>
                <w:i/>
                <w:iCs/>
                <w:sz w:val="20"/>
                <w:szCs w:val="20"/>
                <w:lang w:val="en-US" w:eastAsia="zh-CN"/>
              </w:rPr>
              <w:t>H2. The governance (G) pillar exhibits the strongest and most distinctive return behavior among the ESG dimensions.</w:t>
            </w:r>
          </w:p>
        </w:tc>
        <w:tc>
          <w:tcPr>
            <w:tcW w:w="2932" w:type="dxa"/>
          </w:tcPr>
          <w:p w14:paraId="0351515C" w14:textId="77777777" w:rsidR="00036775" w:rsidRPr="00705903" w:rsidRDefault="00036775" w:rsidP="0097761F">
            <w:pPr>
              <w:pStyle w:val="ListParagraph"/>
              <w:numPr>
                <w:ilvl w:val="0"/>
                <w:numId w:val="18"/>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CNRDS E, S, and G sub-scores for all A-share firms  </w:t>
            </w:r>
          </w:p>
          <w:p w14:paraId="61AAE7F3" w14:textId="77777777" w:rsidR="00036775" w:rsidRPr="00705903" w:rsidRDefault="00036775" w:rsidP="0097761F">
            <w:pPr>
              <w:pStyle w:val="ListParagraph"/>
              <w:numPr>
                <w:ilvl w:val="0"/>
                <w:numId w:val="18"/>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Monthly portfolio returns for E-, S-, and G-sorted portfolios  </w:t>
            </w:r>
          </w:p>
          <w:p w14:paraId="74913197" w14:textId="77777777" w:rsidR="00036775" w:rsidRPr="00705903" w:rsidRDefault="00036775" w:rsidP="0097761F">
            <w:pPr>
              <w:pStyle w:val="ListParagraph"/>
              <w:numPr>
                <w:ilvl w:val="0"/>
                <w:numId w:val="18"/>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Factor loadings and correlation with Fama–French factors </w:t>
            </w:r>
          </w:p>
        </w:tc>
        <w:tc>
          <w:tcPr>
            <w:tcW w:w="2932" w:type="dxa"/>
          </w:tcPr>
          <w:p w14:paraId="0128564F" w14:textId="77777777" w:rsidR="00036775" w:rsidRPr="00705903" w:rsidRDefault="00036775" w:rsidP="0097761F">
            <w:pPr>
              <w:pStyle w:val="ListParagraph"/>
              <w:numPr>
                <w:ilvl w:val="0"/>
                <w:numId w:val="18"/>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Separate high–low (H–L) portfolios for E, S, and G  </w:t>
            </w:r>
          </w:p>
          <w:p w14:paraId="0383D045" w14:textId="77777777" w:rsidR="00036775" w:rsidRPr="00705903" w:rsidRDefault="00036775" w:rsidP="0097761F">
            <w:pPr>
              <w:pStyle w:val="ListParagraph"/>
              <w:numPr>
                <w:ilvl w:val="0"/>
                <w:numId w:val="18"/>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Comparison of mean returns, cumulative returns, volatility, Sharpe ratios, and turnover across E/S/G portfolios  </w:t>
            </w:r>
          </w:p>
          <w:p w14:paraId="72D9AA0D" w14:textId="77777777" w:rsidR="00036775" w:rsidRPr="00705903" w:rsidRDefault="00036775" w:rsidP="0097761F">
            <w:pPr>
              <w:pStyle w:val="ListParagraph"/>
              <w:numPr>
                <w:ilvl w:val="0"/>
                <w:numId w:val="18"/>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Fama–French factor regressions for E, S, and G H–L portfolios  </w:t>
            </w:r>
          </w:p>
          <w:p w14:paraId="235DA8E5" w14:textId="77777777" w:rsidR="00036775" w:rsidRPr="00705903" w:rsidRDefault="00036775" w:rsidP="0097761F">
            <w:pPr>
              <w:pStyle w:val="ListParagraph"/>
              <w:numPr>
                <w:ilvl w:val="0"/>
                <w:numId w:val="18"/>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Correlation analysis between ESG factors and standard risk factors</w:t>
            </w:r>
          </w:p>
        </w:tc>
        <w:tc>
          <w:tcPr>
            <w:tcW w:w="2932" w:type="dxa"/>
          </w:tcPr>
          <w:p w14:paraId="5B2530A2" w14:textId="77777777" w:rsidR="00036775" w:rsidRPr="00705903" w:rsidRDefault="00036775" w:rsidP="0097761F">
            <w:pPr>
              <w:pStyle w:val="ListParagraph"/>
              <w:numPr>
                <w:ilvl w:val="0"/>
                <w:numId w:val="18"/>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Governance (G) H–L portfolios generate the largest (most negative) cumulative returns and highest volatility, indicating strong and highly sensitive pricing.  </w:t>
            </w:r>
          </w:p>
          <w:p w14:paraId="3CC78FB8" w14:textId="77777777" w:rsidR="00036775" w:rsidRPr="00705903" w:rsidRDefault="00036775" w:rsidP="0097761F">
            <w:pPr>
              <w:pStyle w:val="ListParagraph"/>
              <w:numPr>
                <w:ilvl w:val="0"/>
                <w:numId w:val="18"/>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G-based strategies require the highest turnover, implying unstable rankings and fast-changing market perceptions.  </w:t>
            </w:r>
          </w:p>
          <w:p w14:paraId="4EE149A7" w14:textId="77777777" w:rsidR="00036775" w:rsidRPr="00705903" w:rsidRDefault="00036775" w:rsidP="0097761F">
            <w:pPr>
              <w:pStyle w:val="ListParagraph"/>
              <w:numPr>
                <w:ilvl w:val="0"/>
                <w:numId w:val="18"/>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G factors show the strongest loadings and highest R² with profitability and value factors, and the most pronounced link to firm fundamentals.  </w:t>
            </w:r>
          </w:p>
        </w:tc>
        <w:tc>
          <w:tcPr>
            <w:tcW w:w="2932" w:type="dxa"/>
          </w:tcPr>
          <w:p w14:paraId="33D37445" w14:textId="77777777" w:rsidR="00036775" w:rsidRPr="00705903" w:rsidRDefault="00036775" w:rsidP="0097761F">
            <w:pPr>
              <w:spacing w:line="240"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Governance acts as the primary channel through which ESG-related information is priced. In China’s policy-driven market, governance scores are closely tied to regulatory oversight, ownership structure, and control quality, making the G pillar the most salient and policy-sensitive driver of ESG-related return patterns.</w:t>
            </w:r>
          </w:p>
        </w:tc>
      </w:tr>
      <w:tr w:rsidR="00036775" w:rsidRPr="00705903" w14:paraId="0D3CDADD" w14:textId="77777777" w:rsidTr="00036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dxa"/>
          </w:tcPr>
          <w:p w14:paraId="3AEDB668" w14:textId="77777777" w:rsidR="00036775" w:rsidRPr="00705903" w:rsidRDefault="00036775" w:rsidP="0097761F">
            <w:pPr>
              <w:spacing w:line="240" w:lineRule="auto"/>
              <w:ind w:firstLine="0"/>
              <w:jc w:val="both"/>
              <w:rPr>
                <w:b w:val="0"/>
                <w:bCs w:val="0"/>
                <w:i/>
                <w:iCs/>
                <w:sz w:val="20"/>
                <w:szCs w:val="20"/>
                <w:lang w:val="en-US" w:eastAsia="zh-CN"/>
              </w:rPr>
            </w:pPr>
            <w:r w:rsidRPr="00705903">
              <w:rPr>
                <w:b w:val="0"/>
                <w:bCs w:val="0"/>
                <w:i/>
                <w:iCs/>
                <w:sz w:val="20"/>
                <w:szCs w:val="20"/>
                <w:lang w:val="en-US" w:eastAsia="zh-CN"/>
              </w:rPr>
              <w:t>H3. ESG return differentials are state-contingent and amplify during periods of regulatory tightening or intense policy focus.</w:t>
            </w:r>
          </w:p>
        </w:tc>
        <w:tc>
          <w:tcPr>
            <w:tcW w:w="2932" w:type="dxa"/>
          </w:tcPr>
          <w:p w14:paraId="4C7B7F15" w14:textId="77777777" w:rsidR="00036775" w:rsidRPr="00705903" w:rsidRDefault="00036775" w:rsidP="0097761F">
            <w:pPr>
              <w:pStyle w:val="ListParagraph"/>
              <w:numPr>
                <w:ilvl w:val="0"/>
                <w:numId w:val="19"/>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ESG H–L portfolio returns by subperiod  </w:t>
            </w:r>
          </w:p>
          <w:p w14:paraId="38C73786" w14:textId="77777777" w:rsidR="00036775" w:rsidRPr="00705903" w:rsidRDefault="00036775" w:rsidP="0097761F">
            <w:pPr>
              <w:pStyle w:val="ListParagraph"/>
              <w:numPr>
                <w:ilvl w:val="0"/>
                <w:numId w:val="19"/>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Policy timeline for major green finance and ESG disclosure reforms  </w:t>
            </w:r>
          </w:p>
          <w:p w14:paraId="4DA9E2ED" w14:textId="77777777" w:rsidR="00036775" w:rsidRPr="00705903" w:rsidRDefault="00036775" w:rsidP="0097761F">
            <w:pPr>
              <w:pStyle w:val="ListParagraph"/>
              <w:numPr>
                <w:ilvl w:val="0"/>
                <w:numId w:val="19"/>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Event windows around key regulatory announcements  </w:t>
            </w:r>
          </w:p>
        </w:tc>
        <w:tc>
          <w:tcPr>
            <w:tcW w:w="2932" w:type="dxa"/>
          </w:tcPr>
          <w:p w14:paraId="0973705F" w14:textId="77777777" w:rsidR="00036775" w:rsidRPr="00705903" w:rsidRDefault="00036775" w:rsidP="0097761F">
            <w:pPr>
              <w:pStyle w:val="ListParagraph"/>
              <w:numPr>
                <w:ilvl w:val="0"/>
                <w:numId w:val="19"/>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Dynamic ESG performance framework: Fama–French regressions re-estimated across policy subperiods (e.g., pre-2015, 2015–2019 green finance expansion, post-2020 dual-carbon period)  </w:t>
            </w:r>
          </w:p>
          <w:p w14:paraId="2CAAB0EC" w14:textId="77777777" w:rsidR="00036775" w:rsidRPr="00705903" w:rsidRDefault="00036775" w:rsidP="0097761F">
            <w:pPr>
              <w:pStyle w:val="ListParagraph"/>
              <w:numPr>
                <w:ilvl w:val="0"/>
                <w:numId w:val="19"/>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Subsample comparison of ESG/E/S/G alphas and Sharpe ratios  </w:t>
            </w:r>
          </w:p>
          <w:p w14:paraId="2B52215B" w14:textId="77777777" w:rsidR="00036775" w:rsidRPr="00705903" w:rsidRDefault="00036775" w:rsidP="0097761F">
            <w:pPr>
              <w:pStyle w:val="ListParagraph"/>
              <w:numPr>
                <w:ilvl w:val="0"/>
                <w:numId w:val="19"/>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Event-study </w:t>
            </w:r>
            <w:proofErr w:type="gramStart"/>
            <w:r w:rsidRPr="00705903">
              <w:rPr>
                <w:sz w:val="20"/>
                <w:szCs w:val="20"/>
                <w:lang w:val="en-US" w:eastAsia="zh-CN"/>
              </w:rPr>
              <w:t>analyses</w:t>
            </w:r>
            <w:proofErr w:type="gramEnd"/>
            <w:r w:rsidRPr="00705903">
              <w:rPr>
                <w:sz w:val="20"/>
                <w:szCs w:val="20"/>
                <w:lang w:val="en-US" w:eastAsia="zh-CN"/>
              </w:rPr>
              <w:t xml:space="preserve"> around major ESG policy shocks</w:t>
            </w:r>
          </w:p>
        </w:tc>
        <w:tc>
          <w:tcPr>
            <w:tcW w:w="2932" w:type="dxa"/>
          </w:tcPr>
          <w:p w14:paraId="08D66ED0" w14:textId="77777777" w:rsidR="00036775" w:rsidRPr="00705903" w:rsidRDefault="00036775" w:rsidP="0097761F">
            <w:pPr>
              <w:pStyle w:val="ListParagraph"/>
              <w:numPr>
                <w:ilvl w:val="0"/>
                <w:numId w:val="19"/>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ESG and E-factor returns decline in early years, recover during green finance expansion, and weaken again after 2021, closely mirroring China’s policy cycles.  </w:t>
            </w:r>
          </w:p>
          <w:p w14:paraId="2565D15E" w14:textId="77777777" w:rsidR="00036775" w:rsidRPr="00705903" w:rsidRDefault="00036775" w:rsidP="0097761F">
            <w:pPr>
              <w:pStyle w:val="ListParagraph"/>
              <w:numPr>
                <w:ilvl w:val="0"/>
                <w:numId w:val="19"/>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ESG-related alphas and Sharpe ratios fluctuate across policy regimes rather than remaining stable over time.  </w:t>
            </w:r>
          </w:p>
          <w:p w14:paraId="4E1DD8A4" w14:textId="77777777" w:rsidR="00036775" w:rsidRPr="00705903" w:rsidRDefault="00036775" w:rsidP="0097761F">
            <w:pPr>
              <w:pStyle w:val="ListParagraph"/>
              <w:numPr>
                <w:ilvl w:val="0"/>
                <w:numId w:val="19"/>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Event-window analyses show short-lived abnormal returns around major policy announcements and ESG rating initiations, which dissipate as the policy cycle matures.</w:t>
            </w:r>
          </w:p>
        </w:tc>
        <w:tc>
          <w:tcPr>
            <w:tcW w:w="2932" w:type="dxa"/>
          </w:tcPr>
          <w:p w14:paraId="6A0CEF15" w14:textId="77777777" w:rsidR="00036775" w:rsidRPr="00705903" w:rsidRDefault="00036775" w:rsidP="0097761F">
            <w:pPr>
              <w:spacing w:line="240"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ESG is priced in a regime-dependent, episodic manner. Policy stance and regulatory intensity act as state variables that shift the ESG beta, so that ESG premia strengthen under strong policy advocacy or institutional change and weaken during macro tightening or policy retrenchment. ESG valuation in China is therefore policy-mediated rather than purely market-driven.</w:t>
            </w:r>
          </w:p>
        </w:tc>
      </w:tr>
      <w:tr w:rsidR="00036775" w:rsidRPr="00705903" w14:paraId="41CE7C44" w14:textId="77777777" w:rsidTr="00036775">
        <w:tc>
          <w:tcPr>
            <w:cnfStyle w:val="001000000000" w:firstRow="0" w:lastRow="0" w:firstColumn="1" w:lastColumn="0" w:oddVBand="0" w:evenVBand="0" w:oddHBand="0" w:evenHBand="0" w:firstRowFirstColumn="0" w:firstRowLastColumn="0" w:lastRowFirstColumn="0" w:lastRowLastColumn="0"/>
            <w:tcW w:w="1227" w:type="dxa"/>
          </w:tcPr>
          <w:p w14:paraId="72A508C7" w14:textId="77777777" w:rsidR="00036775" w:rsidRPr="00705903" w:rsidRDefault="00036775" w:rsidP="0097761F">
            <w:pPr>
              <w:spacing w:line="240" w:lineRule="auto"/>
              <w:ind w:firstLine="0"/>
              <w:jc w:val="both"/>
              <w:rPr>
                <w:b w:val="0"/>
                <w:bCs w:val="0"/>
                <w:i/>
                <w:iCs/>
                <w:sz w:val="20"/>
                <w:szCs w:val="20"/>
                <w:lang w:val="en-US" w:eastAsia="zh-CN"/>
              </w:rPr>
            </w:pPr>
            <w:r w:rsidRPr="00705903">
              <w:rPr>
                <w:b w:val="0"/>
                <w:bCs w:val="0"/>
                <w:i/>
                <w:iCs/>
                <w:sz w:val="20"/>
                <w:szCs w:val="20"/>
                <w:lang w:val="en-US" w:eastAsia="zh-CN"/>
              </w:rPr>
              <w:t>H4. High-ESG firms exhibit lower downside risk, particularly during market stress or policy tightening episodes.</w:t>
            </w:r>
          </w:p>
        </w:tc>
        <w:tc>
          <w:tcPr>
            <w:tcW w:w="2932" w:type="dxa"/>
          </w:tcPr>
          <w:p w14:paraId="404EB8D9" w14:textId="77777777" w:rsidR="00036775" w:rsidRPr="00705903" w:rsidRDefault="00036775" w:rsidP="0097761F">
            <w:pPr>
              <w:pStyle w:val="ListParagraph"/>
              <w:numPr>
                <w:ilvl w:val="0"/>
                <w:numId w:val="20"/>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Monthly ESG H–L portfolio returns and major Chinese equity indices (CSI 300, SSE Composite, SZSE Component)  </w:t>
            </w:r>
          </w:p>
          <w:p w14:paraId="27162EBB" w14:textId="77777777" w:rsidR="00036775" w:rsidRPr="00705903" w:rsidRDefault="00036775" w:rsidP="0097761F">
            <w:pPr>
              <w:pStyle w:val="ListParagraph"/>
              <w:numPr>
                <w:ilvl w:val="0"/>
                <w:numId w:val="20"/>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ESG H–L downside-risk measures (volatility, lower semi-deviation, Value-at-Risk, crash betas)</w:t>
            </w:r>
          </w:p>
        </w:tc>
        <w:tc>
          <w:tcPr>
            <w:tcW w:w="2932" w:type="dxa"/>
          </w:tcPr>
          <w:p w14:paraId="190B83DE" w14:textId="77777777" w:rsidR="00036775" w:rsidRPr="00705903" w:rsidRDefault="00036775" w:rsidP="0097761F">
            <w:pPr>
              <w:pStyle w:val="ListParagraph"/>
              <w:numPr>
                <w:ilvl w:val="0"/>
                <w:numId w:val="20"/>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Comparison of realized volatility and downside deviation between ESG H–L factor and market indices  </w:t>
            </w:r>
          </w:p>
          <w:p w14:paraId="69CE9D82" w14:textId="77777777" w:rsidR="00036775" w:rsidRPr="00705903" w:rsidRDefault="00036775" w:rsidP="0097761F">
            <w:pPr>
              <w:pStyle w:val="ListParagraph"/>
              <w:numPr>
                <w:ilvl w:val="0"/>
                <w:numId w:val="20"/>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Sortino ratios for ESG and E/S/G portfolios  </w:t>
            </w:r>
          </w:p>
          <w:p w14:paraId="367D7778" w14:textId="77777777" w:rsidR="00036775" w:rsidRPr="00705903" w:rsidRDefault="00036775" w:rsidP="0097761F">
            <w:pPr>
              <w:pStyle w:val="ListParagraph"/>
              <w:numPr>
                <w:ilvl w:val="0"/>
                <w:numId w:val="20"/>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Value-at-Risk (</w:t>
            </w:r>
            <w:proofErr w:type="spellStart"/>
            <w:r w:rsidRPr="00705903">
              <w:rPr>
                <w:sz w:val="20"/>
                <w:szCs w:val="20"/>
                <w:lang w:val="en-US" w:eastAsia="zh-CN"/>
              </w:rPr>
              <w:t>VaR</w:t>
            </w:r>
            <w:proofErr w:type="spellEnd"/>
            <w:r w:rsidRPr="00705903">
              <w:rPr>
                <w:sz w:val="20"/>
                <w:szCs w:val="20"/>
                <w:lang w:val="en-US" w:eastAsia="zh-CN"/>
              </w:rPr>
              <w:t xml:space="preserve">) estimates at the 5% level  </w:t>
            </w:r>
          </w:p>
          <w:p w14:paraId="065CF803" w14:textId="77777777" w:rsidR="00036775" w:rsidRPr="00705903" w:rsidRDefault="00036775" w:rsidP="0097761F">
            <w:pPr>
              <w:pStyle w:val="ListParagraph"/>
              <w:numPr>
                <w:ilvl w:val="0"/>
                <w:numId w:val="20"/>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Crash-sensitivity regressions: ESG portfolio returns on market returns during large drawdowns</w:t>
            </w:r>
          </w:p>
        </w:tc>
        <w:tc>
          <w:tcPr>
            <w:tcW w:w="2932" w:type="dxa"/>
          </w:tcPr>
          <w:p w14:paraId="37A32E28" w14:textId="77777777" w:rsidR="00036775" w:rsidRPr="00705903" w:rsidRDefault="00036775" w:rsidP="0097761F">
            <w:pPr>
              <w:pStyle w:val="ListParagraph"/>
              <w:numPr>
                <w:ilvl w:val="0"/>
                <w:numId w:val="20"/>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The ESG H–L factor shows consistently lower volatility and smaller </w:t>
            </w:r>
            <w:proofErr w:type="spellStart"/>
            <w:r w:rsidRPr="00705903">
              <w:rPr>
                <w:sz w:val="20"/>
                <w:szCs w:val="20"/>
                <w:lang w:val="en-US" w:eastAsia="zh-CN"/>
              </w:rPr>
              <w:t>VaR</w:t>
            </w:r>
            <w:proofErr w:type="spellEnd"/>
            <w:r w:rsidRPr="00705903">
              <w:rPr>
                <w:sz w:val="20"/>
                <w:szCs w:val="20"/>
                <w:lang w:val="en-US" w:eastAsia="zh-CN"/>
              </w:rPr>
              <w:t xml:space="preserve"> than market benchmarks, indicating greater stability.  </w:t>
            </w:r>
          </w:p>
          <w:p w14:paraId="0A2E8EAC" w14:textId="77777777" w:rsidR="00036775" w:rsidRPr="00705903" w:rsidRDefault="00036775" w:rsidP="0097761F">
            <w:pPr>
              <w:pStyle w:val="ListParagraph"/>
              <w:numPr>
                <w:ilvl w:val="0"/>
                <w:numId w:val="20"/>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Despite lower volatility, ESG and pillar portfolios do not deliver higher risk-adjusted returns; Sortino ratios are slightly negative.  </w:t>
            </w:r>
          </w:p>
          <w:p w14:paraId="372423AB" w14:textId="77777777" w:rsidR="00036775" w:rsidRPr="00705903" w:rsidRDefault="00036775" w:rsidP="0097761F">
            <w:pPr>
              <w:pStyle w:val="ListParagraph"/>
              <w:numPr>
                <w:ilvl w:val="0"/>
                <w:numId w:val="20"/>
              </w:num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Crash-beta regressions indicate that ESG exposures are largely insensitive to extreme market </w:t>
            </w:r>
            <w:proofErr w:type="gramStart"/>
            <w:r w:rsidRPr="00705903">
              <w:rPr>
                <w:sz w:val="20"/>
                <w:szCs w:val="20"/>
                <w:lang w:val="en-US" w:eastAsia="zh-CN"/>
              </w:rPr>
              <w:t>sell-offs</w:t>
            </w:r>
            <w:proofErr w:type="gramEnd"/>
            <w:r w:rsidRPr="00705903">
              <w:rPr>
                <w:sz w:val="20"/>
                <w:szCs w:val="20"/>
                <w:lang w:val="en-US" w:eastAsia="zh-CN"/>
              </w:rPr>
              <w:t>, with muted or insignificant crash betas relative to indices.</w:t>
            </w:r>
          </w:p>
        </w:tc>
        <w:tc>
          <w:tcPr>
            <w:tcW w:w="2932" w:type="dxa"/>
          </w:tcPr>
          <w:p w14:paraId="00792008" w14:textId="77777777" w:rsidR="00036775" w:rsidRPr="00705903" w:rsidRDefault="00036775" w:rsidP="0097761F">
            <w:pPr>
              <w:spacing w:line="240"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ESG acts as a defensive, risk-mitigating characteristic rather than a source of excess performance. High-ESG firms provide downside protection and lower exposure to tail risk, particularly during periods of turbulence or policy tightening, but do not generate superior risk-adjusted returns.</w:t>
            </w:r>
          </w:p>
        </w:tc>
      </w:tr>
      <w:bookmarkEnd w:id="2"/>
    </w:tbl>
    <w:p w14:paraId="431B69DC" w14:textId="77777777" w:rsidR="00036775" w:rsidRPr="00705903" w:rsidRDefault="00036775" w:rsidP="0097761F">
      <w:pPr>
        <w:spacing w:line="360" w:lineRule="auto"/>
        <w:ind w:firstLine="0"/>
        <w:jc w:val="both"/>
        <w:rPr>
          <w:szCs w:val="24"/>
          <w:lang w:val="en-US" w:eastAsia="zh-CN"/>
        </w:rPr>
        <w:sectPr w:rsidR="00036775" w:rsidRPr="00705903" w:rsidSect="00036775">
          <w:pgSz w:w="15840" w:h="12240" w:orient="landscape"/>
          <w:pgMar w:top="1440" w:right="1440" w:bottom="1440" w:left="1440" w:header="720" w:footer="720" w:gutter="0"/>
          <w:cols w:space="720"/>
          <w:docGrid w:linePitch="360"/>
        </w:sectPr>
      </w:pPr>
    </w:p>
    <w:p w14:paraId="4A147C50" w14:textId="0D48F63E" w:rsidR="00AB238E" w:rsidRPr="00705903" w:rsidRDefault="00AB238E" w:rsidP="0097761F">
      <w:pPr>
        <w:spacing w:line="360" w:lineRule="auto"/>
        <w:ind w:firstLine="0"/>
        <w:jc w:val="both"/>
        <w:rPr>
          <w:szCs w:val="24"/>
          <w:lang w:val="en-US" w:eastAsia="zh-CN"/>
        </w:rPr>
      </w:pPr>
    </w:p>
    <w:p w14:paraId="46B6A018" w14:textId="77777777" w:rsidR="00AB238E" w:rsidRPr="00705903" w:rsidRDefault="00AB238E" w:rsidP="0097761F">
      <w:pPr>
        <w:pStyle w:val="Heading1"/>
      </w:pPr>
      <w:r w:rsidRPr="00705903">
        <w:t>Appendix B: Robustness Test of ESG High–Low Portfolio Returns: CNRDS vs. CSMAR (2015–2020)</w:t>
      </w:r>
    </w:p>
    <w:p w14:paraId="67288C56" w14:textId="77777777" w:rsidR="00AB238E" w:rsidRPr="00705903" w:rsidRDefault="00AB238E" w:rsidP="0097761F">
      <w:pPr>
        <w:spacing w:line="276" w:lineRule="auto"/>
        <w:ind w:firstLine="0"/>
        <w:jc w:val="both"/>
        <w:rPr>
          <w:lang w:val="en-US" w:eastAsia="zh-CN"/>
        </w:rPr>
      </w:pPr>
    </w:p>
    <w:p w14:paraId="199CB45C"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This section tests whether the ESG factor’s pricing performance is sensitive to the choice of data source. We reconstruct the ESG high–low (H–L) portfolios using CSMAR’s ESG ratings and compare them with the baseline CNRDS-based results for the overlapping period 2015–2020. If ESG returns reflect genuine pricing information rather than data-source artifacts, the α estimates should be directionally consistent across databases. For both datasets, firms are sorted annually into decile portfolios based on overall ESG and each sub-pillar (E, S, and G) scores. The monthly returns of the top (high-ESG) and bottom (low-ESG) deciles are differenced to form the H–L factor portfolios. We then compute mean annualized H–L returns, standard deviations, cumulative returns, and t-statistics to assess significance and directional robustness.</w:t>
      </w:r>
    </w:p>
    <w:p w14:paraId="2BBFDD3A" w14:textId="77777777" w:rsidR="00AB238E" w:rsidRPr="00705903" w:rsidRDefault="00AB238E" w:rsidP="0097761F">
      <w:pPr>
        <w:spacing w:line="276" w:lineRule="auto"/>
        <w:ind w:firstLine="0"/>
        <w:jc w:val="both"/>
        <w:rPr>
          <w:sz w:val="20"/>
          <w:szCs w:val="20"/>
          <w:lang w:val="en-US" w:eastAsia="zh-CN"/>
        </w:rPr>
      </w:pPr>
    </w:p>
    <w:p w14:paraId="381CEF9C" w14:textId="1D4C9979" w:rsidR="003E6DA3" w:rsidRPr="00705903" w:rsidRDefault="00AB238E" w:rsidP="0097761F">
      <w:pPr>
        <w:spacing w:line="276" w:lineRule="auto"/>
        <w:ind w:firstLine="0"/>
        <w:jc w:val="both"/>
        <w:rPr>
          <w:sz w:val="20"/>
          <w:szCs w:val="20"/>
          <w:lang w:val="en-US" w:eastAsia="zh-CN"/>
        </w:rPr>
      </w:pPr>
      <w:r w:rsidRPr="00705903">
        <w:rPr>
          <w:sz w:val="20"/>
          <w:szCs w:val="20"/>
          <w:lang w:val="en-US" w:eastAsia="zh-CN"/>
        </w:rPr>
        <w:t xml:space="preserve">Appendix B compares the ESG premium across two widely used Chinese ESG data sources—CNRDS and CSMAR—over the common coverage period 2015–2020. Despite methodological differences between the databases, both sets of results reveal non-positive or insignificant ESG premiums, indicating that the pricing of ESG characteristics in China is weak and unstable. The CNRDS-based portfolios exhibit consistently negative H–L returns, especially for the Governance pillar (−18.3%), with strong statistical significance (t = −6.88, p &lt; 0.01). This pattern implies that firms with higher governance scores tend to underperform lower-rated peers, consistent with a sentiment-driven reversal or investor preference for flexibility over formal control. In contrast, the CSMAR-based portfolios yield small, mostly insignificant alphas, with the Environmental and Social pillars turning mildly positive. This divergence likely reflects coverage and methodological differences. CNRDS ratings emphasize policy compliance and disclosure completeness, whereas CSMAR ratings are more market-oriented, </w:t>
      </w:r>
      <w:proofErr w:type="gramStart"/>
      <w:r w:rsidRPr="00705903">
        <w:rPr>
          <w:sz w:val="20"/>
          <w:szCs w:val="20"/>
          <w:lang w:val="en-US" w:eastAsia="zh-CN"/>
        </w:rPr>
        <w:t>weighting</w:t>
      </w:r>
      <w:proofErr w:type="gramEnd"/>
      <w:r w:rsidRPr="00705903">
        <w:rPr>
          <w:sz w:val="20"/>
          <w:szCs w:val="20"/>
          <w:lang w:val="en-US" w:eastAsia="zh-CN"/>
        </w:rPr>
        <w:t xml:space="preserve"> profitability and efficiency.</w:t>
      </w:r>
      <w:r w:rsidR="003E6DA3" w:rsidRPr="00705903">
        <w:rPr>
          <w:sz w:val="20"/>
          <w:szCs w:val="20"/>
          <w:lang w:val="en-US" w:eastAsia="zh-CN"/>
        </w:rPr>
        <w:t xml:space="preserve"> Panel C reports the cross-database correlations between CSMAR and CNRDS ESG ratings for the overlapping sample (2015–2020). Overall, the two systems exhibit extremely weak association. The average Spearman rank correlation is only 0.082, and the average Pearson correlation is 0.050, indicating near-zero alignment in both the ordinal (rank-based) and cardinal (level-based) dimensions. </w:t>
      </w:r>
      <w:r w:rsidR="003E6DA3" w:rsidRPr="00705903">
        <w:rPr>
          <w:sz w:val="20"/>
          <w:szCs w:val="20"/>
          <w:lang w:eastAsia="zh-CN"/>
        </w:rPr>
        <w:t xml:space="preserve">The Environmental pillar shows the highest cross-system similarity (Spearman ρ = 0.176), yet still far below conventional thresholds for moderate agreement (ρ = 0.50). The Social pillar displays a slightly negative correlation (Spearman ρ = –0.033), suggesting that firms rated socially strong by one system are, if anything, viewed less </w:t>
      </w:r>
      <w:proofErr w:type="spellStart"/>
      <w:r w:rsidR="003E6DA3" w:rsidRPr="00705903">
        <w:rPr>
          <w:sz w:val="20"/>
          <w:szCs w:val="20"/>
          <w:lang w:eastAsia="zh-CN"/>
        </w:rPr>
        <w:t>favorably</w:t>
      </w:r>
      <w:proofErr w:type="spellEnd"/>
      <w:r w:rsidR="003E6DA3" w:rsidRPr="00705903">
        <w:rPr>
          <w:sz w:val="20"/>
          <w:szCs w:val="20"/>
          <w:lang w:eastAsia="zh-CN"/>
        </w:rPr>
        <w:t xml:space="preserve"> by the other. Governance correlations remain weak (ρ ≈ 0.12), reinforcing that even the most “institutionally standardized” pillar is not consistently measured across providers.</w:t>
      </w:r>
    </w:p>
    <w:p w14:paraId="596210AF" w14:textId="77777777" w:rsidR="00485832" w:rsidRPr="00705903" w:rsidRDefault="00485832" w:rsidP="0097761F">
      <w:pPr>
        <w:spacing w:line="276" w:lineRule="auto"/>
        <w:ind w:firstLine="0"/>
        <w:jc w:val="both"/>
        <w:rPr>
          <w:sz w:val="20"/>
          <w:szCs w:val="20"/>
          <w:lang w:eastAsia="zh-CN"/>
        </w:rPr>
      </w:pPr>
    </w:p>
    <w:p w14:paraId="3E8A49EC" w14:textId="145203B3" w:rsidR="003E6DA3" w:rsidRPr="00705903" w:rsidRDefault="00485832" w:rsidP="0097761F">
      <w:pPr>
        <w:spacing w:line="276" w:lineRule="auto"/>
        <w:ind w:firstLine="0"/>
        <w:jc w:val="both"/>
        <w:rPr>
          <w:sz w:val="20"/>
          <w:szCs w:val="20"/>
          <w:lang w:val="en-US" w:eastAsia="zh-CN"/>
        </w:rPr>
      </w:pPr>
      <w:r w:rsidRPr="00705903">
        <w:rPr>
          <w:sz w:val="20"/>
          <w:szCs w:val="20"/>
          <w:lang w:val="en-US" w:eastAsia="zh-CN"/>
        </w:rPr>
        <w:t>Taken together, the findings demonstrate that the negative ESG premium is robust across rating providers, although its magnitude depends on each system’s underlying orientation. The results support the interpretation that ESG’s pricing in China is conditional and source-dependent, rather than universally priced in the cross-section of stock returns. Importantly, the consistency of the directional evidence across databases indicates that the main conclusions of the paper are not driven by any single ESG provider, thereby reinforcing the external validity of the empirical results.</w:t>
      </w:r>
    </w:p>
    <w:p w14:paraId="666E3B63" w14:textId="77777777" w:rsidR="00AB238E" w:rsidRPr="00705903" w:rsidRDefault="00AB238E" w:rsidP="0097761F">
      <w:pPr>
        <w:spacing w:line="276" w:lineRule="auto"/>
        <w:ind w:firstLine="0"/>
        <w:jc w:val="both"/>
        <w:rPr>
          <w:sz w:val="18"/>
          <w:szCs w:val="18"/>
          <w:lang w:val="en-US" w:eastAsia="zh-CN"/>
        </w:rPr>
      </w:pPr>
    </w:p>
    <w:p w14:paraId="2DE94385" w14:textId="77777777" w:rsidR="00AB238E" w:rsidRPr="00705903" w:rsidRDefault="00AB238E" w:rsidP="0097761F">
      <w:pPr>
        <w:spacing w:line="276" w:lineRule="auto"/>
        <w:ind w:firstLine="0"/>
        <w:jc w:val="both"/>
        <w:rPr>
          <w:sz w:val="18"/>
          <w:szCs w:val="18"/>
          <w:lang w:val="en-US" w:eastAsia="zh-CN"/>
        </w:rPr>
      </w:pPr>
      <w:r w:rsidRPr="00705903">
        <w:rPr>
          <w:sz w:val="18"/>
          <w:szCs w:val="18"/>
          <w:lang w:val="en-US" w:eastAsia="zh-CN"/>
        </w:rPr>
        <w:t>Panel A. CSMAR ESG Ratings</w:t>
      </w:r>
    </w:p>
    <w:tbl>
      <w:tblPr>
        <w:tblStyle w:val="PlainTable2"/>
        <w:tblW w:w="0" w:type="auto"/>
        <w:tblLook w:val="04A0" w:firstRow="1" w:lastRow="0" w:firstColumn="1" w:lastColumn="0" w:noHBand="0" w:noVBand="1"/>
      </w:tblPr>
      <w:tblGrid>
        <w:gridCol w:w="1533"/>
        <w:gridCol w:w="2103"/>
        <w:gridCol w:w="813"/>
        <w:gridCol w:w="1742"/>
        <w:gridCol w:w="1430"/>
        <w:gridCol w:w="633"/>
        <w:gridCol w:w="1106"/>
      </w:tblGrid>
      <w:tr w:rsidR="00AB238E" w:rsidRPr="00705903" w14:paraId="4912CCEA"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01723" w14:textId="77777777" w:rsidR="00AB238E" w:rsidRPr="00705903" w:rsidRDefault="00AB238E" w:rsidP="0097761F">
            <w:pPr>
              <w:spacing w:line="276" w:lineRule="auto"/>
              <w:ind w:firstLine="0"/>
              <w:jc w:val="both"/>
              <w:rPr>
                <w:b w:val="0"/>
                <w:bCs w:val="0"/>
                <w:sz w:val="18"/>
                <w:szCs w:val="18"/>
                <w:lang w:val="en-US" w:eastAsia="zh-CN"/>
              </w:rPr>
            </w:pPr>
            <w:r w:rsidRPr="00705903">
              <w:rPr>
                <w:b w:val="0"/>
                <w:bCs w:val="0"/>
                <w:sz w:val="18"/>
                <w:szCs w:val="18"/>
                <w:lang w:val="en-US" w:eastAsia="zh-CN"/>
              </w:rPr>
              <w:t>Pillar</w:t>
            </w:r>
          </w:p>
        </w:tc>
        <w:tc>
          <w:tcPr>
            <w:tcW w:w="0" w:type="auto"/>
            <w:vAlign w:val="center"/>
            <w:hideMark/>
          </w:tcPr>
          <w:p w14:paraId="1214810B" w14:textId="77777777" w:rsidR="00AB238E" w:rsidRPr="00705903" w:rsidRDefault="00AB238E"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Mean Annual H–L Return (%)</w:t>
            </w:r>
          </w:p>
        </w:tc>
        <w:tc>
          <w:tcPr>
            <w:tcW w:w="0" w:type="auto"/>
            <w:vAlign w:val="center"/>
            <w:hideMark/>
          </w:tcPr>
          <w:p w14:paraId="37A748FB" w14:textId="77777777" w:rsidR="00AB238E" w:rsidRPr="00705903" w:rsidRDefault="00AB238E"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Std. Dev.</w:t>
            </w:r>
          </w:p>
        </w:tc>
        <w:tc>
          <w:tcPr>
            <w:tcW w:w="0" w:type="auto"/>
            <w:vAlign w:val="center"/>
            <w:hideMark/>
          </w:tcPr>
          <w:p w14:paraId="27A791B0" w14:textId="77777777" w:rsidR="00AB238E" w:rsidRPr="00705903" w:rsidRDefault="00AB238E"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Cumulative Return (%)</w:t>
            </w:r>
          </w:p>
        </w:tc>
        <w:tc>
          <w:tcPr>
            <w:tcW w:w="0" w:type="auto"/>
            <w:vAlign w:val="center"/>
            <w:hideMark/>
          </w:tcPr>
          <w:p w14:paraId="628CD1DF" w14:textId="77777777" w:rsidR="00AB238E" w:rsidRPr="00705903" w:rsidRDefault="00AB238E"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 of Positive Years</w:t>
            </w:r>
          </w:p>
        </w:tc>
        <w:tc>
          <w:tcPr>
            <w:tcW w:w="0" w:type="auto"/>
            <w:vAlign w:val="center"/>
            <w:hideMark/>
          </w:tcPr>
          <w:p w14:paraId="4F5C360C" w14:textId="77777777" w:rsidR="00AB238E" w:rsidRPr="00705903" w:rsidRDefault="00AB238E"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t-stat</w:t>
            </w:r>
          </w:p>
        </w:tc>
        <w:tc>
          <w:tcPr>
            <w:tcW w:w="0" w:type="auto"/>
            <w:vAlign w:val="center"/>
            <w:hideMark/>
          </w:tcPr>
          <w:p w14:paraId="1F9242A1" w14:textId="77777777" w:rsidR="00AB238E" w:rsidRPr="00705903" w:rsidRDefault="00AB238E"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Significance</w:t>
            </w:r>
          </w:p>
        </w:tc>
      </w:tr>
      <w:tr w:rsidR="00AB238E" w:rsidRPr="00705903" w14:paraId="37D7720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714C1036"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Overall ESG</w:t>
            </w:r>
          </w:p>
        </w:tc>
        <w:tc>
          <w:tcPr>
            <w:tcW w:w="0" w:type="auto"/>
            <w:tcBorders>
              <w:bottom w:val="nil"/>
            </w:tcBorders>
            <w:vAlign w:val="center"/>
            <w:hideMark/>
          </w:tcPr>
          <w:p w14:paraId="0E16D457"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0.02</w:t>
            </w:r>
          </w:p>
        </w:tc>
        <w:tc>
          <w:tcPr>
            <w:tcW w:w="0" w:type="auto"/>
            <w:tcBorders>
              <w:bottom w:val="nil"/>
            </w:tcBorders>
            <w:vAlign w:val="center"/>
            <w:hideMark/>
          </w:tcPr>
          <w:p w14:paraId="1CDCD6AA"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3.72</w:t>
            </w:r>
          </w:p>
        </w:tc>
        <w:tc>
          <w:tcPr>
            <w:tcW w:w="0" w:type="auto"/>
            <w:tcBorders>
              <w:bottom w:val="nil"/>
            </w:tcBorders>
            <w:vAlign w:val="center"/>
            <w:hideMark/>
          </w:tcPr>
          <w:p w14:paraId="5F23EF0E"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−0.22</w:t>
            </w:r>
          </w:p>
        </w:tc>
        <w:tc>
          <w:tcPr>
            <w:tcW w:w="0" w:type="auto"/>
            <w:tcBorders>
              <w:bottom w:val="nil"/>
            </w:tcBorders>
            <w:vAlign w:val="center"/>
            <w:hideMark/>
          </w:tcPr>
          <w:p w14:paraId="0096C7E1"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 / 6</w:t>
            </w:r>
          </w:p>
        </w:tc>
        <w:tc>
          <w:tcPr>
            <w:tcW w:w="0" w:type="auto"/>
            <w:tcBorders>
              <w:bottom w:val="nil"/>
            </w:tcBorders>
            <w:vAlign w:val="center"/>
            <w:hideMark/>
          </w:tcPr>
          <w:p w14:paraId="337EA368"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0.01</w:t>
            </w:r>
          </w:p>
        </w:tc>
        <w:tc>
          <w:tcPr>
            <w:tcW w:w="0" w:type="auto"/>
            <w:tcBorders>
              <w:bottom w:val="nil"/>
            </w:tcBorders>
            <w:vAlign w:val="center"/>
            <w:hideMark/>
          </w:tcPr>
          <w:p w14:paraId="1C4FAE1E"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proofErr w:type="spellStart"/>
            <w:r w:rsidRPr="00705903">
              <w:rPr>
                <w:sz w:val="18"/>
                <w:szCs w:val="18"/>
                <w:lang w:val="en-US" w:eastAsia="zh-CN"/>
              </w:rPr>
              <w:t>n.s</w:t>
            </w:r>
            <w:proofErr w:type="spellEnd"/>
            <w:r w:rsidRPr="00705903">
              <w:rPr>
                <w:sz w:val="18"/>
                <w:szCs w:val="18"/>
                <w:lang w:val="en-US" w:eastAsia="zh-CN"/>
              </w:rPr>
              <w:t>.</w:t>
            </w:r>
          </w:p>
        </w:tc>
      </w:tr>
      <w:tr w:rsidR="00AB238E" w:rsidRPr="00705903" w14:paraId="2E2021E6"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F3D5BED"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E (Environmental)</w:t>
            </w:r>
          </w:p>
        </w:tc>
        <w:tc>
          <w:tcPr>
            <w:tcW w:w="0" w:type="auto"/>
            <w:tcBorders>
              <w:top w:val="nil"/>
              <w:bottom w:val="nil"/>
            </w:tcBorders>
            <w:vAlign w:val="center"/>
            <w:hideMark/>
          </w:tcPr>
          <w:p w14:paraId="4FFC873C"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2.18</w:t>
            </w:r>
          </w:p>
        </w:tc>
        <w:tc>
          <w:tcPr>
            <w:tcW w:w="0" w:type="auto"/>
            <w:tcBorders>
              <w:top w:val="nil"/>
              <w:bottom w:val="nil"/>
            </w:tcBorders>
            <w:vAlign w:val="center"/>
            <w:hideMark/>
          </w:tcPr>
          <w:p w14:paraId="25DCF778"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3.88</w:t>
            </w:r>
          </w:p>
        </w:tc>
        <w:tc>
          <w:tcPr>
            <w:tcW w:w="0" w:type="auto"/>
            <w:tcBorders>
              <w:top w:val="nil"/>
              <w:bottom w:val="nil"/>
            </w:tcBorders>
            <w:vAlign w:val="center"/>
            <w:hideMark/>
          </w:tcPr>
          <w:p w14:paraId="290E74F0"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13.41</w:t>
            </w:r>
          </w:p>
        </w:tc>
        <w:tc>
          <w:tcPr>
            <w:tcW w:w="0" w:type="auto"/>
            <w:tcBorders>
              <w:top w:val="nil"/>
              <w:bottom w:val="nil"/>
            </w:tcBorders>
            <w:vAlign w:val="center"/>
            <w:hideMark/>
          </w:tcPr>
          <w:p w14:paraId="2AA8D376"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5 / 6</w:t>
            </w:r>
          </w:p>
        </w:tc>
        <w:tc>
          <w:tcPr>
            <w:tcW w:w="0" w:type="auto"/>
            <w:tcBorders>
              <w:top w:val="nil"/>
              <w:bottom w:val="nil"/>
            </w:tcBorders>
            <w:vAlign w:val="center"/>
            <w:hideMark/>
          </w:tcPr>
          <w:p w14:paraId="29C51928"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1.38</w:t>
            </w:r>
          </w:p>
        </w:tc>
        <w:tc>
          <w:tcPr>
            <w:tcW w:w="0" w:type="auto"/>
            <w:tcBorders>
              <w:top w:val="nil"/>
              <w:bottom w:val="nil"/>
            </w:tcBorders>
            <w:vAlign w:val="center"/>
            <w:hideMark/>
          </w:tcPr>
          <w:p w14:paraId="0962CB5B"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proofErr w:type="spellStart"/>
            <w:r w:rsidRPr="00705903">
              <w:rPr>
                <w:sz w:val="18"/>
                <w:szCs w:val="18"/>
                <w:lang w:val="en-US" w:eastAsia="zh-CN"/>
              </w:rPr>
              <w:t>n.s</w:t>
            </w:r>
            <w:proofErr w:type="spellEnd"/>
            <w:r w:rsidRPr="00705903">
              <w:rPr>
                <w:sz w:val="18"/>
                <w:szCs w:val="18"/>
                <w:lang w:val="en-US" w:eastAsia="zh-CN"/>
              </w:rPr>
              <w:t>.</w:t>
            </w:r>
          </w:p>
        </w:tc>
      </w:tr>
      <w:tr w:rsidR="00AB238E" w:rsidRPr="00705903" w14:paraId="49E5044D"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1C1451B"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S (Social)</w:t>
            </w:r>
          </w:p>
        </w:tc>
        <w:tc>
          <w:tcPr>
            <w:tcW w:w="0" w:type="auto"/>
            <w:tcBorders>
              <w:top w:val="nil"/>
              <w:bottom w:val="nil"/>
            </w:tcBorders>
            <w:vAlign w:val="center"/>
            <w:hideMark/>
          </w:tcPr>
          <w:p w14:paraId="0E84DA67"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1.22</w:t>
            </w:r>
          </w:p>
        </w:tc>
        <w:tc>
          <w:tcPr>
            <w:tcW w:w="0" w:type="auto"/>
            <w:tcBorders>
              <w:top w:val="nil"/>
              <w:bottom w:val="nil"/>
            </w:tcBorders>
            <w:vAlign w:val="center"/>
            <w:hideMark/>
          </w:tcPr>
          <w:p w14:paraId="19BB60BC"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3.51</w:t>
            </w:r>
          </w:p>
        </w:tc>
        <w:tc>
          <w:tcPr>
            <w:tcW w:w="0" w:type="auto"/>
            <w:tcBorders>
              <w:top w:val="nil"/>
              <w:bottom w:val="nil"/>
            </w:tcBorders>
            <w:vAlign w:val="center"/>
            <w:hideMark/>
          </w:tcPr>
          <w:p w14:paraId="447AD26E"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7.25</w:t>
            </w:r>
          </w:p>
        </w:tc>
        <w:tc>
          <w:tcPr>
            <w:tcW w:w="0" w:type="auto"/>
            <w:tcBorders>
              <w:top w:val="nil"/>
              <w:bottom w:val="nil"/>
            </w:tcBorders>
            <w:vAlign w:val="center"/>
            <w:hideMark/>
          </w:tcPr>
          <w:p w14:paraId="36E7A066"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 / 6</w:t>
            </w:r>
          </w:p>
        </w:tc>
        <w:tc>
          <w:tcPr>
            <w:tcW w:w="0" w:type="auto"/>
            <w:tcBorders>
              <w:top w:val="nil"/>
              <w:bottom w:val="nil"/>
            </w:tcBorders>
            <w:vAlign w:val="center"/>
            <w:hideMark/>
          </w:tcPr>
          <w:p w14:paraId="6F014C1B"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0.85</w:t>
            </w:r>
          </w:p>
        </w:tc>
        <w:tc>
          <w:tcPr>
            <w:tcW w:w="0" w:type="auto"/>
            <w:tcBorders>
              <w:top w:val="nil"/>
              <w:bottom w:val="nil"/>
            </w:tcBorders>
            <w:vAlign w:val="center"/>
            <w:hideMark/>
          </w:tcPr>
          <w:p w14:paraId="1FD1ACF5"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proofErr w:type="spellStart"/>
            <w:r w:rsidRPr="00705903">
              <w:rPr>
                <w:sz w:val="18"/>
                <w:szCs w:val="18"/>
                <w:lang w:val="en-US" w:eastAsia="zh-CN"/>
              </w:rPr>
              <w:t>n.s</w:t>
            </w:r>
            <w:proofErr w:type="spellEnd"/>
            <w:r w:rsidRPr="00705903">
              <w:rPr>
                <w:sz w:val="18"/>
                <w:szCs w:val="18"/>
                <w:lang w:val="en-US" w:eastAsia="zh-CN"/>
              </w:rPr>
              <w:t>.</w:t>
            </w:r>
          </w:p>
        </w:tc>
      </w:tr>
      <w:tr w:rsidR="00AB238E" w:rsidRPr="00705903" w14:paraId="2CED10AB"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71E2DAE2"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G (Governance)</w:t>
            </w:r>
          </w:p>
        </w:tc>
        <w:tc>
          <w:tcPr>
            <w:tcW w:w="0" w:type="auto"/>
            <w:tcBorders>
              <w:top w:val="nil"/>
            </w:tcBorders>
            <w:vAlign w:val="center"/>
            <w:hideMark/>
          </w:tcPr>
          <w:p w14:paraId="26F3F2EF"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−1.86</w:t>
            </w:r>
          </w:p>
        </w:tc>
        <w:tc>
          <w:tcPr>
            <w:tcW w:w="0" w:type="auto"/>
            <w:tcBorders>
              <w:top w:val="nil"/>
            </w:tcBorders>
            <w:vAlign w:val="center"/>
            <w:hideMark/>
          </w:tcPr>
          <w:p w14:paraId="77BB84C6"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6.08</w:t>
            </w:r>
          </w:p>
        </w:tc>
        <w:tc>
          <w:tcPr>
            <w:tcW w:w="0" w:type="auto"/>
            <w:tcBorders>
              <w:top w:val="nil"/>
            </w:tcBorders>
            <w:vAlign w:val="center"/>
            <w:hideMark/>
          </w:tcPr>
          <w:p w14:paraId="6FE1AAD8"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−11.54</w:t>
            </w:r>
          </w:p>
        </w:tc>
        <w:tc>
          <w:tcPr>
            <w:tcW w:w="0" w:type="auto"/>
            <w:tcBorders>
              <w:top w:val="nil"/>
            </w:tcBorders>
            <w:vAlign w:val="center"/>
            <w:hideMark/>
          </w:tcPr>
          <w:p w14:paraId="3F6417AE"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 / 6</w:t>
            </w:r>
          </w:p>
        </w:tc>
        <w:tc>
          <w:tcPr>
            <w:tcW w:w="0" w:type="auto"/>
            <w:tcBorders>
              <w:top w:val="nil"/>
            </w:tcBorders>
            <w:vAlign w:val="center"/>
            <w:hideMark/>
          </w:tcPr>
          <w:p w14:paraId="7DED47BF"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−0.75</w:t>
            </w:r>
          </w:p>
        </w:tc>
        <w:tc>
          <w:tcPr>
            <w:tcW w:w="0" w:type="auto"/>
            <w:tcBorders>
              <w:top w:val="nil"/>
            </w:tcBorders>
            <w:vAlign w:val="center"/>
            <w:hideMark/>
          </w:tcPr>
          <w:p w14:paraId="12E66CEA"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proofErr w:type="spellStart"/>
            <w:r w:rsidRPr="00705903">
              <w:rPr>
                <w:sz w:val="18"/>
                <w:szCs w:val="18"/>
                <w:lang w:val="en-US" w:eastAsia="zh-CN"/>
              </w:rPr>
              <w:t>n.s</w:t>
            </w:r>
            <w:proofErr w:type="spellEnd"/>
            <w:r w:rsidRPr="00705903">
              <w:rPr>
                <w:sz w:val="18"/>
                <w:szCs w:val="18"/>
                <w:lang w:val="en-US" w:eastAsia="zh-CN"/>
              </w:rPr>
              <w:t>.</w:t>
            </w:r>
          </w:p>
        </w:tc>
      </w:tr>
    </w:tbl>
    <w:p w14:paraId="1DA54AC9" w14:textId="77777777" w:rsidR="00AB238E" w:rsidRPr="00705903" w:rsidRDefault="00AB238E" w:rsidP="0097761F">
      <w:pPr>
        <w:spacing w:line="276" w:lineRule="auto"/>
        <w:ind w:firstLine="0"/>
        <w:jc w:val="both"/>
        <w:rPr>
          <w:sz w:val="18"/>
          <w:szCs w:val="18"/>
          <w:lang w:val="en-US" w:eastAsia="zh-CN"/>
        </w:rPr>
      </w:pPr>
    </w:p>
    <w:p w14:paraId="6932D29D" w14:textId="77777777" w:rsidR="00AB238E" w:rsidRPr="00705903" w:rsidRDefault="00AB238E" w:rsidP="0097761F">
      <w:pPr>
        <w:spacing w:line="276" w:lineRule="auto"/>
        <w:ind w:firstLine="0"/>
        <w:jc w:val="both"/>
        <w:rPr>
          <w:sz w:val="18"/>
          <w:szCs w:val="18"/>
          <w:lang w:val="en-US" w:eastAsia="zh-CN"/>
        </w:rPr>
      </w:pPr>
      <w:r w:rsidRPr="00705903">
        <w:rPr>
          <w:sz w:val="18"/>
          <w:szCs w:val="18"/>
          <w:lang w:val="en-US" w:eastAsia="zh-CN"/>
        </w:rPr>
        <w:t>Panel B. CNRSD ESG Ratings</w:t>
      </w:r>
    </w:p>
    <w:tbl>
      <w:tblPr>
        <w:tblStyle w:val="PlainTable2"/>
        <w:tblW w:w="0" w:type="auto"/>
        <w:tblLook w:val="04A0" w:firstRow="1" w:lastRow="0" w:firstColumn="1" w:lastColumn="0" w:noHBand="0" w:noVBand="1"/>
      </w:tblPr>
      <w:tblGrid>
        <w:gridCol w:w="1533"/>
        <w:gridCol w:w="2103"/>
        <w:gridCol w:w="813"/>
        <w:gridCol w:w="1742"/>
        <w:gridCol w:w="1430"/>
        <w:gridCol w:w="633"/>
        <w:gridCol w:w="1106"/>
      </w:tblGrid>
      <w:tr w:rsidR="00AB238E" w:rsidRPr="00705903" w14:paraId="42414B06"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6C9D1" w14:textId="77777777" w:rsidR="00AB238E" w:rsidRPr="00705903" w:rsidRDefault="00AB238E" w:rsidP="0097761F">
            <w:pPr>
              <w:spacing w:line="276" w:lineRule="auto"/>
              <w:ind w:firstLine="0"/>
              <w:jc w:val="both"/>
              <w:rPr>
                <w:b w:val="0"/>
                <w:bCs w:val="0"/>
                <w:sz w:val="18"/>
                <w:szCs w:val="18"/>
                <w:lang w:val="en-US" w:eastAsia="zh-CN"/>
              </w:rPr>
            </w:pPr>
            <w:r w:rsidRPr="00705903">
              <w:rPr>
                <w:b w:val="0"/>
                <w:bCs w:val="0"/>
                <w:sz w:val="18"/>
                <w:szCs w:val="18"/>
                <w:lang w:val="en-US" w:eastAsia="zh-CN"/>
              </w:rPr>
              <w:t>Pillar</w:t>
            </w:r>
          </w:p>
        </w:tc>
        <w:tc>
          <w:tcPr>
            <w:tcW w:w="0" w:type="auto"/>
            <w:vAlign w:val="center"/>
            <w:hideMark/>
          </w:tcPr>
          <w:p w14:paraId="2E394FA3" w14:textId="77777777" w:rsidR="00AB238E" w:rsidRPr="00705903" w:rsidRDefault="00AB238E"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Mean Annual H–L Return (%)</w:t>
            </w:r>
          </w:p>
        </w:tc>
        <w:tc>
          <w:tcPr>
            <w:tcW w:w="0" w:type="auto"/>
            <w:vAlign w:val="center"/>
            <w:hideMark/>
          </w:tcPr>
          <w:p w14:paraId="67B0EB97" w14:textId="77777777" w:rsidR="00AB238E" w:rsidRPr="00705903" w:rsidRDefault="00AB238E"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Std. Dev.</w:t>
            </w:r>
          </w:p>
        </w:tc>
        <w:tc>
          <w:tcPr>
            <w:tcW w:w="0" w:type="auto"/>
            <w:vAlign w:val="center"/>
            <w:hideMark/>
          </w:tcPr>
          <w:p w14:paraId="094AF5B9" w14:textId="77777777" w:rsidR="00AB238E" w:rsidRPr="00705903" w:rsidRDefault="00AB238E"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Cumulative Return (%)</w:t>
            </w:r>
          </w:p>
        </w:tc>
        <w:tc>
          <w:tcPr>
            <w:tcW w:w="0" w:type="auto"/>
            <w:vAlign w:val="center"/>
            <w:hideMark/>
          </w:tcPr>
          <w:p w14:paraId="1BC162F8" w14:textId="77777777" w:rsidR="00AB238E" w:rsidRPr="00705903" w:rsidRDefault="00AB238E"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 of Positive Years</w:t>
            </w:r>
          </w:p>
        </w:tc>
        <w:tc>
          <w:tcPr>
            <w:tcW w:w="0" w:type="auto"/>
            <w:vAlign w:val="center"/>
            <w:hideMark/>
          </w:tcPr>
          <w:p w14:paraId="64FE96BD" w14:textId="77777777" w:rsidR="00AB238E" w:rsidRPr="00705903" w:rsidRDefault="00AB238E"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t-stat</w:t>
            </w:r>
          </w:p>
        </w:tc>
        <w:tc>
          <w:tcPr>
            <w:tcW w:w="0" w:type="auto"/>
            <w:vAlign w:val="center"/>
            <w:hideMark/>
          </w:tcPr>
          <w:p w14:paraId="15E9B7EA" w14:textId="77777777" w:rsidR="00AB238E" w:rsidRPr="00705903" w:rsidRDefault="00AB238E"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Significance</w:t>
            </w:r>
          </w:p>
        </w:tc>
      </w:tr>
      <w:tr w:rsidR="00AB238E" w:rsidRPr="00705903" w14:paraId="64A28E6C"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5DE7F5CD"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Overall ESG</w:t>
            </w:r>
          </w:p>
        </w:tc>
        <w:tc>
          <w:tcPr>
            <w:tcW w:w="0" w:type="auto"/>
            <w:tcBorders>
              <w:bottom w:val="nil"/>
            </w:tcBorders>
            <w:vAlign w:val="center"/>
            <w:hideMark/>
          </w:tcPr>
          <w:p w14:paraId="26CDA466" w14:textId="0F31EA3D" w:rsidR="00AB238E" w:rsidRPr="00705903" w:rsidRDefault="000B4231"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-5.53</w:t>
            </w:r>
          </w:p>
        </w:tc>
        <w:tc>
          <w:tcPr>
            <w:tcW w:w="0" w:type="auto"/>
            <w:tcBorders>
              <w:bottom w:val="nil"/>
            </w:tcBorders>
            <w:vAlign w:val="center"/>
            <w:hideMark/>
          </w:tcPr>
          <w:p w14:paraId="3A289840" w14:textId="5F927339"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w:t>
            </w:r>
            <w:r w:rsidR="000B4231" w:rsidRPr="00705903">
              <w:rPr>
                <w:sz w:val="18"/>
                <w:szCs w:val="18"/>
                <w:lang w:val="en-US" w:eastAsia="zh-CN"/>
              </w:rPr>
              <w:t>62</w:t>
            </w:r>
          </w:p>
        </w:tc>
        <w:tc>
          <w:tcPr>
            <w:tcW w:w="0" w:type="auto"/>
            <w:tcBorders>
              <w:bottom w:val="nil"/>
            </w:tcBorders>
            <w:vAlign w:val="center"/>
            <w:hideMark/>
          </w:tcPr>
          <w:p w14:paraId="426595C2" w14:textId="71AE426B"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w:t>
            </w:r>
            <w:r w:rsidR="000B4231" w:rsidRPr="00705903">
              <w:rPr>
                <w:sz w:val="18"/>
                <w:szCs w:val="18"/>
                <w:lang w:val="en-US" w:eastAsia="zh-CN"/>
              </w:rPr>
              <w:t>29.16</w:t>
            </w:r>
          </w:p>
        </w:tc>
        <w:tc>
          <w:tcPr>
            <w:tcW w:w="0" w:type="auto"/>
            <w:tcBorders>
              <w:bottom w:val="nil"/>
            </w:tcBorders>
            <w:vAlign w:val="center"/>
            <w:hideMark/>
          </w:tcPr>
          <w:p w14:paraId="4E2F0A65" w14:textId="40EF4F4C" w:rsidR="00AB238E" w:rsidRPr="00705903" w:rsidRDefault="000B4231"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w:t>
            </w:r>
            <w:r w:rsidR="00AB238E" w:rsidRPr="00705903">
              <w:rPr>
                <w:sz w:val="18"/>
                <w:szCs w:val="18"/>
                <w:lang w:val="en-US" w:eastAsia="zh-CN"/>
              </w:rPr>
              <w:t xml:space="preserve"> / 6</w:t>
            </w:r>
          </w:p>
        </w:tc>
        <w:tc>
          <w:tcPr>
            <w:tcW w:w="0" w:type="auto"/>
            <w:tcBorders>
              <w:bottom w:val="nil"/>
            </w:tcBorders>
            <w:vAlign w:val="center"/>
            <w:hideMark/>
          </w:tcPr>
          <w:p w14:paraId="7DAE9323" w14:textId="38DE5D2C" w:rsidR="00AB238E" w:rsidRPr="00705903" w:rsidRDefault="000B4231"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-3.74</w:t>
            </w:r>
          </w:p>
        </w:tc>
        <w:tc>
          <w:tcPr>
            <w:tcW w:w="0" w:type="auto"/>
            <w:tcBorders>
              <w:bottom w:val="nil"/>
            </w:tcBorders>
            <w:vAlign w:val="center"/>
            <w:hideMark/>
          </w:tcPr>
          <w:p w14:paraId="2D4FACBD" w14:textId="25B4EF73" w:rsidR="00AB238E" w:rsidRPr="00705903" w:rsidRDefault="000B4231"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w:t>
            </w:r>
          </w:p>
        </w:tc>
      </w:tr>
      <w:tr w:rsidR="00AB238E" w:rsidRPr="00705903" w14:paraId="6CBA5B47"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B3EB52D"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E (Environmental)</w:t>
            </w:r>
          </w:p>
        </w:tc>
        <w:tc>
          <w:tcPr>
            <w:tcW w:w="0" w:type="auto"/>
            <w:tcBorders>
              <w:top w:val="nil"/>
              <w:bottom w:val="nil"/>
            </w:tcBorders>
            <w:vAlign w:val="center"/>
            <w:hideMark/>
          </w:tcPr>
          <w:p w14:paraId="3FB9676C" w14:textId="589089B5" w:rsidR="00AB238E" w:rsidRPr="00705903" w:rsidRDefault="000B4231"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0.18</w:t>
            </w:r>
          </w:p>
        </w:tc>
        <w:tc>
          <w:tcPr>
            <w:tcW w:w="0" w:type="auto"/>
            <w:tcBorders>
              <w:top w:val="nil"/>
              <w:bottom w:val="nil"/>
            </w:tcBorders>
            <w:vAlign w:val="center"/>
            <w:hideMark/>
          </w:tcPr>
          <w:p w14:paraId="46C17F8A" w14:textId="59291EFD" w:rsidR="00AB238E" w:rsidRPr="00705903" w:rsidRDefault="000B4231"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4.60</w:t>
            </w:r>
          </w:p>
        </w:tc>
        <w:tc>
          <w:tcPr>
            <w:tcW w:w="0" w:type="auto"/>
            <w:tcBorders>
              <w:top w:val="nil"/>
              <w:bottom w:val="nil"/>
            </w:tcBorders>
            <w:vAlign w:val="center"/>
            <w:hideMark/>
          </w:tcPr>
          <w:p w14:paraId="08469ACB" w14:textId="66218132" w:rsidR="00AB238E" w:rsidRPr="00705903" w:rsidRDefault="000B4231"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0.54</w:t>
            </w:r>
          </w:p>
        </w:tc>
        <w:tc>
          <w:tcPr>
            <w:tcW w:w="0" w:type="auto"/>
            <w:tcBorders>
              <w:top w:val="nil"/>
              <w:bottom w:val="nil"/>
            </w:tcBorders>
            <w:vAlign w:val="center"/>
            <w:hideMark/>
          </w:tcPr>
          <w:p w14:paraId="17AD0011" w14:textId="271DF2D9" w:rsidR="00AB238E" w:rsidRPr="00705903" w:rsidRDefault="000B4231"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w:t>
            </w:r>
            <w:r w:rsidR="00AB238E" w:rsidRPr="00705903">
              <w:rPr>
                <w:sz w:val="18"/>
                <w:szCs w:val="18"/>
                <w:lang w:val="en-US" w:eastAsia="zh-CN"/>
              </w:rPr>
              <w:t xml:space="preserve"> / 6</w:t>
            </w:r>
          </w:p>
        </w:tc>
        <w:tc>
          <w:tcPr>
            <w:tcW w:w="0" w:type="auto"/>
            <w:tcBorders>
              <w:top w:val="nil"/>
              <w:bottom w:val="nil"/>
            </w:tcBorders>
            <w:vAlign w:val="center"/>
            <w:hideMark/>
          </w:tcPr>
          <w:p w14:paraId="62E846FE" w14:textId="00FED73A" w:rsidR="00AB238E" w:rsidRPr="00705903" w:rsidRDefault="000B4231"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0.09</w:t>
            </w:r>
          </w:p>
        </w:tc>
        <w:tc>
          <w:tcPr>
            <w:tcW w:w="0" w:type="auto"/>
            <w:tcBorders>
              <w:top w:val="nil"/>
              <w:bottom w:val="nil"/>
            </w:tcBorders>
            <w:vAlign w:val="center"/>
            <w:hideMark/>
          </w:tcPr>
          <w:p w14:paraId="03F86EAB"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proofErr w:type="spellStart"/>
            <w:r w:rsidRPr="00705903">
              <w:rPr>
                <w:sz w:val="18"/>
                <w:szCs w:val="18"/>
                <w:lang w:val="en-US" w:eastAsia="zh-CN"/>
              </w:rPr>
              <w:t>n.s</w:t>
            </w:r>
            <w:proofErr w:type="spellEnd"/>
            <w:r w:rsidRPr="00705903">
              <w:rPr>
                <w:sz w:val="18"/>
                <w:szCs w:val="18"/>
                <w:lang w:val="en-US" w:eastAsia="zh-CN"/>
              </w:rPr>
              <w:t>.</w:t>
            </w:r>
          </w:p>
        </w:tc>
      </w:tr>
      <w:tr w:rsidR="00AB238E" w:rsidRPr="00705903" w14:paraId="064D5E1E"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44CA5BC"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S (Social)</w:t>
            </w:r>
          </w:p>
        </w:tc>
        <w:tc>
          <w:tcPr>
            <w:tcW w:w="0" w:type="auto"/>
            <w:tcBorders>
              <w:top w:val="nil"/>
              <w:bottom w:val="nil"/>
            </w:tcBorders>
            <w:vAlign w:val="center"/>
            <w:hideMark/>
          </w:tcPr>
          <w:p w14:paraId="4B7EE959" w14:textId="6B21A6A2" w:rsidR="00AB238E" w:rsidRPr="00705903" w:rsidRDefault="000B4231"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-1.97</w:t>
            </w:r>
          </w:p>
        </w:tc>
        <w:tc>
          <w:tcPr>
            <w:tcW w:w="0" w:type="auto"/>
            <w:tcBorders>
              <w:top w:val="nil"/>
              <w:bottom w:val="nil"/>
            </w:tcBorders>
            <w:vAlign w:val="center"/>
            <w:hideMark/>
          </w:tcPr>
          <w:p w14:paraId="5ECAE32E" w14:textId="7B596E3E" w:rsidR="00AB238E" w:rsidRPr="00705903" w:rsidRDefault="000B4231"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1.28</w:t>
            </w:r>
          </w:p>
        </w:tc>
        <w:tc>
          <w:tcPr>
            <w:tcW w:w="0" w:type="auto"/>
            <w:tcBorders>
              <w:top w:val="nil"/>
              <w:bottom w:val="nil"/>
            </w:tcBorders>
            <w:vAlign w:val="center"/>
            <w:hideMark/>
          </w:tcPr>
          <w:p w14:paraId="287A5279" w14:textId="09261C62" w:rsidR="00AB238E" w:rsidRPr="00705903" w:rsidRDefault="000B4231"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-11.27</w:t>
            </w:r>
          </w:p>
        </w:tc>
        <w:tc>
          <w:tcPr>
            <w:tcW w:w="0" w:type="auto"/>
            <w:tcBorders>
              <w:top w:val="nil"/>
              <w:bottom w:val="nil"/>
            </w:tcBorders>
            <w:vAlign w:val="center"/>
            <w:hideMark/>
          </w:tcPr>
          <w:p w14:paraId="77BAC1F9" w14:textId="120B767A" w:rsidR="00AB238E" w:rsidRPr="00705903" w:rsidRDefault="000B4231"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w:t>
            </w:r>
            <w:r w:rsidR="00AB238E" w:rsidRPr="00705903">
              <w:rPr>
                <w:sz w:val="18"/>
                <w:szCs w:val="18"/>
                <w:lang w:val="en-US" w:eastAsia="zh-CN"/>
              </w:rPr>
              <w:t xml:space="preserve"> / 6</w:t>
            </w:r>
          </w:p>
        </w:tc>
        <w:tc>
          <w:tcPr>
            <w:tcW w:w="0" w:type="auto"/>
            <w:tcBorders>
              <w:top w:val="nil"/>
              <w:bottom w:val="nil"/>
            </w:tcBorders>
            <w:vAlign w:val="center"/>
            <w:hideMark/>
          </w:tcPr>
          <w:p w14:paraId="52B05B60" w14:textId="28ABD3D1" w:rsidR="00AB238E" w:rsidRPr="00705903" w:rsidRDefault="000B4231"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-3.77</w:t>
            </w:r>
          </w:p>
        </w:tc>
        <w:tc>
          <w:tcPr>
            <w:tcW w:w="0" w:type="auto"/>
            <w:tcBorders>
              <w:top w:val="nil"/>
              <w:bottom w:val="nil"/>
            </w:tcBorders>
            <w:vAlign w:val="center"/>
            <w:hideMark/>
          </w:tcPr>
          <w:p w14:paraId="52AE5DB2" w14:textId="64AEF258" w:rsidR="00AB238E" w:rsidRPr="00705903" w:rsidRDefault="000B4231"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w:t>
            </w:r>
          </w:p>
        </w:tc>
      </w:tr>
      <w:tr w:rsidR="00AB238E" w:rsidRPr="00705903" w14:paraId="77F3479B"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61206051"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G (Governance)</w:t>
            </w:r>
          </w:p>
        </w:tc>
        <w:tc>
          <w:tcPr>
            <w:tcW w:w="0" w:type="auto"/>
            <w:tcBorders>
              <w:top w:val="nil"/>
            </w:tcBorders>
            <w:vAlign w:val="center"/>
            <w:hideMark/>
          </w:tcPr>
          <w:p w14:paraId="321BDED7" w14:textId="1730F590"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w:t>
            </w:r>
            <w:r w:rsidR="000B4231" w:rsidRPr="00705903">
              <w:rPr>
                <w:sz w:val="18"/>
                <w:szCs w:val="18"/>
                <w:lang w:val="en-US" w:eastAsia="zh-CN"/>
              </w:rPr>
              <w:t>8.28</w:t>
            </w:r>
          </w:p>
        </w:tc>
        <w:tc>
          <w:tcPr>
            <w:tcW w:w="0" w:type="auto"/>
            <w:tcBorders>
              <w:top w:val="nil"/>
            </w:tcBorders>
            <w:vAlign w:val="center"/>
            <w:hideMark/>
          </w:tcPr>
          <w:p w14:paraId="7240A8A8" w14:textId="2419895B"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6.</w:t>
            </w:r>
            <w:r w:rsidR="000B4231" w:rsidRPr="00705903">
              <w:rPr>
                <w:sz w:val="18"/>
                <w:szCs w:val="18"/>
                <w:lang w:val="en-US" w:eastAsia="zh-CN"/>
              </w:rPr>
              <w:t>51</w:t>
            </w:r>
          </w:p>
        </w:tc>
        <w:tc>
          <w:tcPr>
            <w:tcW w:w="0" w:type="auto"/>
            <w:tcBorders>
              <w:top w:val="nil"/>
            </w:tcBorders>
            <w:vAlign w:val="center"/>
            <w:hideMark/>
          </w:tcPr>
          <w:p w14:paraId="35932AF8" w14:textId="12036B83"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w:t>
            </w:r>
            <w:r w:rsidR="000B4231" w:rsidRPr="00705903">
              <w:rPr>
                <w:sz w:val="18"/>
                <w:szCs w:val="18"/>
                <w:lang w:val="en-US" w:eastAsia="zh-CN"/>
              </w:rPr>
              <w:t>70.68</w:t>
            </w:r>
          </w:p>
        </w:tc>
        <w:tc>
          <w:tcPr>
            <w:tcW w:w="0" w:type="auto"/>
            <w:tcBorders>
              <w:top w:val="nil"/>
            </w:tcBorders>
            <w:vAlign w:val="center"/>
            <w:hideMark/>
          </w:tcPr>
          <w:p w14:paraId="69E44255" w14:textId="3A6771CC" w:rsidR="00AB238E" w:rsidRPr="00705903" w:rsidRDefault="000B4231"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w:t>
            </w:r>
            <w:r w:rsidR="00AB238E" w:rsidRPr="00705903">
              <w:rPr>
                <w:sz w:val="18"/>
                <w:szCs w:val="18"/>
                <w:lang w:val="en-US" w:eastAsia="zh-CN"/>
              </w:rPr>
              <w:t xml:space="preserve"> / 6</w:t>
            </w:r>
          </w:p>
        </w:tc>
        <w:tc>
          <w:tcPr>
            <w:tcW w:w="0" w:type="auto"/>
            <w:tcBorders>
              <w:top w:val="nil"/>
            </w:tcBorders>
            <w:vAlign w:val="center"/>
            <w:hideMark/>
          </w:tcPr>
          <w:p w14:paraId="74D1B9B3" w14:textId="2A20EFE9"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w:t>
            </w:r>
            <w:r w:rsidR="000B4231" w:rsidRPr="00705903">
              <w:rPr>
                <w:sz w:val="18"/>
                <w:szCs w:val="18"/>
                <w:lang w:val="en-US" w:eastAsia="zh-CN"/>
              </w:rPr>
              <w:t>6.99</w:t>
            </w:r>
          </w:p>
        </w:tc>
        <w:tc>
          <w:tcPr>
            <w:tcW w:w="0" w:type="auto"/>
            <w:tcBorders>
              <w:top w:val="nil"/>
            </w:tcBorders>
            <w:vAlign w:val="center"/>
            <w:hideMark/>
          </w:tcPr>
          <w:p w14:paraId="2CCE0DC7" w14:textId="1D778FC4" w:rsidR="00AB238E" w:rsidRPr="00705903" w:rsidRDefault="000B4231"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w:t>
            </w:r>
            <w:r w:rsidR="00AB238E" w:rsidRPr="00705903">
              <w:rPr>
                <w:sz w:val="18"/>
                <w:szCs w:val="18"/>
                <w:lang w:val="en-US" w:eastAsia="zh-CN"/>
              </w:rPr>
              <w:t>.</w:t>
            </w:r>
          </w:p>
        </w:tc>
      </w:tr>
    </w:tbl>
    <w:p w14:paraId="16C7A442" w14:textId="25D7CEDC" w:rsidR="005762C6" w:rsidRPr="00705903" w:rsidRDefault="000B4231" w:rsidP="0097761F">
      <w:pPr>
        <w:spacing w:line="259" w:lineRule="auto"/>
        <w:ind w:firstLine="0"/>
        <w:jc w:val="both"/>
        <w:rPr>
          <w:i/>
          <w:iCs/>
          <w:sz w:val="18"/>
          <w:szCs w:val="18"/>
        </w:rPr>
      </w:pPr>
      <w:r w:rsidRPr="00705903">
        <w:rPr>
          <w:i/>
          <w:iCs/>
          <w:sz w:val="18"/>
          <w:szCs w:val="18"/>
        </w:rPr>
        <w:t>(Significance levels: *** p&lt;0.01</w:t>
      </w:r>
      <w:r w:rsidRPr="00705903">
        <w:rPr>
          <w:i/>
          <w:iCs/>
          <w:sz w:val="18"/>
          <w:szCs w:val="18"/>
        </w:rPr>
        <w:t>，</w:t>
      </w:r>
      <w:r w:rsidRPr="00705903">
        <w:rPr>
          <w:i/>
          <w:iCs/>
          <w:sz w:val="18"/>
          <w:szCs w:val="18"/>
        </w:rPr>
        <w:t>** p&lt;0.05</w:t>
      </w:r>
      <w:r w:rsidRPr="00705903">
        <w:rPr>
          <w:i/>
          <w:iCs/>
          <w:sz w:val="18"/>
          <w:szCs w:val="18"/>
        </w:rPr>
        <w:t>，</w:t>
      </w:r>
      <w:r w:rsidRPr="00705903">
        <w:rPr>
          <w:i/>
          <w:iCs/>
          <w:sz w:val="18"/>
          <w:szCs w:val="18"/>
        </w:rPr>
        <w:t>* p&lt;0.1)</w:t>
      </w:r>
    </w:p>
    <w:p w14:paraId="028CBED4" w14:textId="77777777" w:rsidR="005762C6" w:rsidRPr="00705903" w:rsidRDefault="005762C6" w:rsidP="0097761F">
      <w:pPr>
        <w:spacing w:line="259" w:lineRule="auto"/>
        <w:ind w:firstLine="0"/>
        <w:jc w:val="both"/>
        <w:rPr>
          <w:sz w:val="18"/>
          <w:szCs w:val="18"/>
          <w:lang w:eastAsia="zh-CN"/>
        </w:rPr>
      </w:pPr>
    </w:p>
    <w:p w14:paraId="59900A3B" w14:textId="6327A25D" w:rsidR="00323498" w:rsidRPr="00705903" w:rsidRDefault="00323498" w:rsidP="0097761F">
      <w:pPr>
        <w:spacing w:line="259" w:lineRule="auto"/>
        <w:ind w:firstLine="0"/>
        <w:jc w:val="both"/>
        <w:rPr>
          <w:sz w:val="18"/>
          <w:szCs w:val="18"/>
          <w:lang w:eastAsia="zh-CN"/>
        </w:rPr>
      </w:pPr>
      <w:r w:rsidRPr="00705903">
        <w:rPr>
          <w:sz w:val="18"/>
          <w:szCs w:val="18"/>
          <w:lang w:eastAsia="zh-CN"/>
        </w:rPr>
        <w:t xml:space="preserve">Panel C. CNRSD </w:t>
      </w:r>
      <w:proofErr w:type="spellStart"/>
      <w:r w:rsidRPr="00705903">
        <w:rPr>
          <w:sz w:val="18"/>
          <w:szCs w:val="18"/>
          <w:lang w:eastAsia="zh-CN"/>
        </w:rPr>
        <w:t>v.s</w:t>
      </w:r>
      <w:proofErr w:type="spellEnd"/>
      <w:r w:rsidRPr="00705903">
        <w:rPr>
          <w:sz w:val="18"/>
          <w:szCs w:val="18"/>
          <w:lang w:eastAsia="zh-CN"/>
        </w:rPr>
        <w:t>. CSMAR Correlations</w:t>
      </w:r>
    </w:p>
    <w:tbl>
      <w:tblPr>
        <w:tblStyle w:val="PlainTable2"/>
        <w:tblW w:w="0" w:type="auto"/>
        <w:tblLook w:val="04A0" w:firstRow="1" w:lastRow="0" w:firstColumn="1" w:lastColumn="0" w:noHBand="0" w:noVBand="1"/>
      </w:tblPr>
      <w:tblGrid>
        <w:gridCol w:w="3120"/>
        <w:gridCol w:w="3120"/>
        <w:gridCol w:w="3120"/>
      </w:tblGrid>
      <w:tr w:rsidR="005762C6" w:rsidRPr="00705903" w14:paraId="01BEAFCD" w14:textId="77777777" w:rsidTr="005762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5378BD76" w14:textId="77777777" w:rsidR="005762C6" w:rsidRPr="00705903" w:rsidRDefault="005762C6" w:rsidP="0097761F">
            <w:pPr>
              <w:spacing w:line="259" w:lineRule="auto"/>
              <w:ind w:firstLine="0"/>
              <w:jc w:val="both"/>
              <w:rPr>
                <w:b w:val="0"/>
                <w:bCs w:val="0"/>
                <w:sz w:val="18"/>
                <w:szCs w:val="18"/>
                <w:lang w:val="en-US" w:eastAsia="zh-CN"/>
              </w:rPr>
            </w:pPr>
            <w:r w:rsidRPr="00705903">
              <w:rPr>
                <w:b w:val="0"/>
                <w:bCs w:val="0"/>
                <w:sz w:val="18"/>
                <w:szCs w:val="18"/>
                <w:lang w:val="en-US" w:eastAsia="zh-CN"/>
              </w:rPr>
              <w:t>Dimension</w:t>
            </w:r>
          </w:p>
        </w:tc>
        <w:tc>
          <w:tcPr>
            <w:tcW w:w="3120" w:type="dxa"/>
            <w:vAlign w:val="center"/>
            <w:hideMark/>
          </w:tcPr>
          <w:p w14:paraId="7EE23863" w14:textId="77777777" w:rsidR="005762C6" w:rsidRPr="00705903" w:rsidRDefault="005762C6"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sz w:val="18"/>
                <w:szCs w:val="18"/>
                <w:lang w:val="en-US" w:eastAsia="zh-CN"/>
              </w:rPr>
            </w:pPr>
            <w:r w:rsidRPr="00705903">
              <w:rPr>
                <w:b w:val="0"/>
                <w:bCs w:val="0"/>
                <w:sz w:val="18"/>
                <w:szCs w:val="18"/>
                <w:lang w:val="en-US" w:eastAsia="zh-CN"/>
              </w:rPr>
              <w:t>Spearman ρ</w:t>
            </w:r>
          </w:p>
        </w:tc>
        <w:tc>
          <w:tcPr>
            <w:tcW w:w="3120" w:type="dxa"/>
            <w:vAlign w:val="center"/>
            <w:hideMark/>
          </w:tcPr>
          <w:p w14:paraId="479A33B6" w14:textId="04898D5A" w:rsidR="005762C6" w:rsidRPr="00705903" w:rsidRDefault="005762C6"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sz w:val="18"/>
                <w:szCs w:val="18"/>
                <w:lang w:val="en-US" w:eastAsia="zh-CN"/>
              </w:rPr>
            </w:pPr>
            <w:r w:rsidRPr="00705903">
              <w:rPr>
                <w:b w:val="0"/>
                <w:bCs w:val="0"/>
                <w:sz w:val="18"/>
                <w:szCs w:val="18"/>
                <w:lang w:val="en-US" w:eastAsia="zh-CN"/>
              </w:rPr>
              <w:t>Pearson ρ</w:t>
            </w:r>
          </w:p>
        </w:tc>
      </w:tr>
      <w:tr w:rsidR="005762C6" w:rsidRPr="00705903" w14:paraId="25D9B9AA" w14:textId="77777777" w:rsidTr="005762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bottom w:val="nil"/>
            </w:tcBorders>
            <w:hideMark/>
          </w:tcPr>
          <w:p w14:paraId="0B6B076B" w14:textId="77777777" w:rsidR="005762C6" w:rsidRPr="00705903" w:rsidRDefault="005762C6"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Overall ESG</w:t>
            </w:r>
          </w:p>
        </w:tc>
        <w:tc>
          <w:tcPr>
            <w:tcW w:w="3120" w:type="dxa"/>
            <w:tcBorders>
              <w:bottom w:val="nil"/>
            </w:tcBorders>
            <w:vAlign w:val="center"/>
            <w:hideMark/>
          </w:tcPr>
          <w:p w14:paraId="24DC9195" w14:textId="77777777" w:rsidR="005762C6" w:rsidRPr="00705903" w:rsidRDefault="005762C6"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0.066</w:t>
            </w:r>
          </w:p>
        </w:tc>
        <w:tc>
          <w:tcPr>
            <w:tcW w:w="3120" w:type="dxa"/>
            <w:tcBorders>
              <w:bottom w:val="nil"/>
            </w:tcBorders>
            <w:vAlign w:val="center"/>
            <w:hideMark/>
          </w:tcPr>
          <w:p w14:paraId="3CC9D413" w14:textId="71815A3C" w:rsidR="005762C6" w:rsidRPr="00705903" w:rsidRDefault="005762C6"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0.057</w:t>
            </w:r>
          </w:p>
        </w:tc>
      </w:tr>
      <w:tr w:rsidR="005762C6" w:rsidRPr="00705903" w14:paraId="5B6F86D3" w14:textId="77777777" w:rsidTr="005762C6">
        <w:tc>
          <w:tcPr>
            <w:cnfStyle w:val="001000000000" w:firstRow="0" w:lastRow="0" w:firstColumn="1" w:lastColumn="0" w:oddVBand="0" w:evenVBand="0" w:oddHBand="0" w:evenHBand="0" w:firstRowFirstColumn="0" w:firstRowLastColumn="0" w:lastRowFirstColumn="0" w:lastRowLastColumn="0"/>
            <w:tcW w:w="3120" w:type="dxa"/>
            <w:tcBorders>
              <w:top w:val="nil"/>
              <w:bottom w:val="nil"/>
            </w:tcBorders>
            <w:hideMark/>
          </w:tcPr>
          <w:p w14:paraId="2CB483A7" w14:textId="77777777" w:rsidR="005762C6" w:rsidRPr="00705903" w:rsidRDefault="005762C6"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Environmental (E)</w:t>
            </w:r>
          </w:p>
        </w:tc>
        <w:tc>
          <w:tcPr>
            <w:tcW w:w="3120" w:type="dxa"/>
            <w:tcBorders>
              <w:top w:val="nil"/>
              <w:bottom w:val="nil"/>
            </w:tcBorders>
            <w:vAlign w:val="center"/>
            <w:hideMark/>
          </w:tcPr>
          <w:p w14:paraId="28D9C135" w14:textId="77777777" w:rsidR="005762C6" w:rsidRPr="00705903" w:rsidRDefault="005762C6"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0.176</w:t>
            </w:r>
          </w:p>
        </w:tc>
        <w:tc>
          <w:tcPr>
            <w:tcW w:w="3120" w:type="dxa"/>
            <w:tcBorders>
              <w:top w:val="nil"/>
              <w:bottom w:val="nil"/>
            </w:tcBorders>
            <w:vAlign w:val="center"/>
            <w:hideMark/>
          </w:tcPr>
          <w:p w14:paraId="44D5DC41" w14:textId="4FE6ABA3" w:rsidR="005762C6" w:rsidRPr="00705903" w:rsidRDefault="005762C6"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0.129</w:t>
            </w:r>
          </w:p>
        </w:tc>
      </w:tr>
      <w:tr w:rsidR="005762C6" w:rsidRPr="00705903" w14:paraId="126EE587" w14:textId="77777777" w:rsidTr="005762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il"/>
              <w:bottom w:val="nil"/>
            </w:tcBorders>
            <w:hideMark/>
          </w:tcPr>
          <w:p w14:paraId="609424FE" w14:textId="77777777" w:rsidR="005762C6" w:rsidRPr="00705903" w:rsidRDefault="005762C6"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Social (S)</w:t>
            </w:r>
          </w:p>
        </w:tc>
        <w:tc>
          <w:tcPr>
            <w:tcW w:w="3120" w:type="dxa"/>
            <w:tcBorders>
              <w:top w:val="nil"/>
              <w:bottom w:val="nil"/>
            </w:tcBorders>
            <w:vAlign w:val="center"/>
            <w:hideMark/>
          </w:tcPr>
          <w:p w14:paraId="57082801" w14:textId="77777777" w:rsidR="005762C6" w:rsidRPr="00705903" w:rsidRDefault="005762C6"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–0.033</w:t>
            </w:r>
          </w:p>
        </w:tc>
        <w:tc>
          <w:tcPr>
            <w:tcW w:w="3120" w:type="dxa"/>
            <w:tcBorders>
              <w:top w:val="nil"/>
              <w:bottom w:val="nil"/>
            </w:tcBorders>
            <w:vAlign w:val="center"/>
            <w:hideMark/>
          </w:tcPr>
          <w:p w14:paraId="6EF39A2F" w14:textId="2D283F91" w:rsidR="005762C6" w:rsidRPr="00705903" w:rsidRDefault="005762C6"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-0.038</w:t>
            </w:r>
          </w:p>
        </w:tc>
      </w:tr>
      <w:tr w:rsidR="005762C6" w:rsidRPr="00705903" w14:paraId="78710907" w14:textId="77777777" w:rsidTr="005762C6">
        <w:tc>
          <w:tcPr>
            <w:cnfStyle w:val="001000000000" w:firstRow="0" w:lastRow="0" w:firstColumn="1" w:lastColumn="0" w:oddVBand="0" w:evenVBand="0" w:oddHBand="0" w:evenHBand="0" w:firstRowFirstColumn="0" w:firstRowLastColumn="0" w:lastRowFirstColumn="0" w:lastRowLastColumn="0"/>
            <w:tcW w:w="3120" w:type="dxa"/>
            <w:tcBorders>
              <w:top w:val="nil"/>
            </w:tcBorders>
            <w:hideMark/>
          </w:tcPr>
          <w:p w14:paraId="4368279C" w14:textId="77777777" w:rsidR="005762C6" w:rsidRPr="00705903" w:rsidRDefault="005762C6"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Governance (G)</w:t>
            </w:r>
          </w:p>
        </w:tc>
        <w:tc>
          <w:tcPr>
            <w:tcW w:w="3120" w:type="dxa"/>
            <w:tcBorders>
              <w:top w:val="nil"/>
            </w:tcBorders>
            <w:vAlign w:val="center"/>
            <w:hideMark/>
          </w:tcPr>
          <w:p w14:paraId="1AA69719" w14:textId="77777777" w:rsidR="005762C6" w:rsidRPr="00705903" w:rsidRDefault="005762C6"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0.120</w:t>
            </w:r>
          </w:p>
        </w:tc>
        <w:tc>
          <w:tcPr>
            <w:tcW w:w="3120" w:type="dxa"/>
            <w:tcBorders>
              <w:top w:val="nil"/>
            </w:tcBorders>
            <w:vAlign w:val="center"/>
            <w:hideMark/>
          </w:tcPr>
          <w:p w14:paraId="03FF6923" w14:textId="327D3F72" w:rsidR="005762C6" w:rsidRPr="00705903" w:rsidRDefault="005762C6"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0.053</w:t>
            </w:r>
          </w:p>
        </w:tc>
      </w:tr>
    </w:tbl>
    <w:p w14:paraId="6DA3A0F6" w14:textId="77777777" w:rsidR="00323498" w:rsidRPr="00705903" w:rsidRDefault="00323498" w:rsidP="0097761F">
      <w:pPr>
        <w:spacing w:after="160" w:line="259" w:lineRule="auto"/>
        <w:ind w:firstLine="0"/>
        <w:jc w:val="both"/>
        <w:rPr>
          <w:sz w:val="18"/>
          <w:szCs w:val="18"/>
          <w:lang w:eastAsia="zh-CN"/>
        </w:rPr>
      </w:pPr>
    </w:p>
    <w:p w14:paraId="4B0F0DFA" w14:textId="553B2890" w:rsidR="00AB238E" w:rsidRPr="00705903" w:rsidRDefault="00AB238E" w:rsidP="0097761F">
      <w:pPr>
        <w:spacing w:after="160" w:line="259" w:lineRule="auto"/>
        <w:ind w:firstLine="0"/>
        <w:jc w:val="both"/>
        <w:rPr>
          <w:sz w:val="18"/>
          <w:szCs w:val="18"/>
        </w:rPr>
      </w:pPr>
      <w:r w:rsidRPr="00705903">
        <w:rPr>
          <w:sz w:val="18"/>
          <w:szCs w:val="18"/>
        </w:rPr>
        <w:br w:type="page"/>
      </w:r>
    </w:p>
    <w:p w14:paraId="1B9815A7" w14:textId="77777777" w:rsidR="00AB238E" w:rsidRPr="00705903" w:rsidRDefault="00AB238E" w:rsidP="0097761F">
      <w:pPr>
        <w:pStyle w:val="Heading1"/>
      </w:pPr>
      <w:r w:rsidRPr="00705903">
        <w:rPr>
          <w:rFonts w:hint="eastAsia"/>
        </w:rPr>
        <w:t>Appendix C</w:t>
      </w:r>
      <w:r w:rsidRPr="00705903">
        <w:t>: Robustness of ESG High–Low Portfolio Returns to Grouping Method (20</w:t>
      </w:r>
      <w:r w:rsidRPr="00705903">
        <w:rPr>
          <w:rFonts w:hint="eastAsia"/>
        </w:rPr>
        <w:t>07</w:t>
      </w:r>
      <w:r w:rsidRPr="00705903">
        <w:t>–202</w:t>
      </w:r>
      <w:r w:rsidRPr="00705903">
        <w:rPr>
          <w:rFonts w:hint="eastAsia"/>
        </w:rPr>
        <w:t>2</w:t>
      </w:r>
      <w:r w:rsidRPr="00705903">
        <w:t>)</w:t>
      </w:r>
    </w:p>
    <w:p w14:paraId="34835560" w14:textId="77777777" w:rsidR="00AB238E" w:rsidRPr="00705903" w:rsidRDefault="00AB238E" w:rsidP="0097761F">
      <w:pPr>
        <w:spacing w:after="160" w:line="259" w:lineRule="auto"/>
        <w:ind w:firstLine="0"/>
        <w:jc w:val="both"/>
        <w:rPr>
          <w:sz w:val="20"/>
          <w:szCs w:val="20"/>
        </w:rPr>
      </w:pPr>
    </w:p>
    <w:p w14:paraId="2D6F1613" w14:textId="77777777" w:rsidR="00AB238E" w:rsidRPr="00705903" w:rsidRDefault="00AB238E" w:rsidP="0097761F">
      <w:pPr>
        <w:spacing w:after="160" w:line="259" w:lineRule="auto"/>
        <w:ind w:firstLine="0"/>
        <w:jc w:val="both"/>
        <w:rPr>
          <w:sz w:val="20"/>
          <w:szCs w:val="20"/>
          <w:lang w:val="en-US" w:eastAsia="zh-CN"/>
        </w:rPr>
      </w:pPr>
      <w:r w:rsidRPr="00705903">
        <w:rPr>
          <w:sz w:val="20"/>
          <w:szCs w:val="20"/>
          <w:lang w:eastAsia="zh-CN"/>
        </w:rPr>
        <w:t>To test whether the ESG return patterns depend on portfolio granularity, this section compares the high–low (H–L) spreads obtained from ten-decile and five-quintile groupings. If the ESG pricing signal is genuine rather than an artifact of sorting thresholds, its direction and significance should remain stable across portfolio construction methods.</w:t>
      </w:r>
    </w:p>
    <w:p w14:paraId="19AE9459" w14:textId="77777777" w:rsidR="00AB238E" w:rsidRPr="00705903" w:rsidRDefault="00AB238E" w:rsidP="0097761F">
      <w:pPr>
        <w:spacing w:after="160" w:line="259" w:lineRule="auto"/>
        <w:ind w:firstLine="0"/>
        <w:jc w:val="both"/>
        <w:rPr>
          <w:sz w:val="20"/>
          <w:szCs w:val="20"/>
          <w:lang w:val="en-US" w:eastAsia="zh-CN"/>
        </w:rPr>
      </w:pPr>
      <w:r w:rsidRPr="00705903">
        <w:rPr>
          <w:sz w:val="20"/>
          <w:szCs w:val="20"/>
          <w:lang w:val="en-US" w:eastAsia="zh-CN"/>
        </w:rPr>
        <w:t>Firms are independently sorted each year based on their ESG, E, S, and G pillar scores into either 10 deciles or 5 quintiles. For each scheme, the high-minus-low portfolio return (High ESG − Low ESG) is calculated and annualized. We report mean annual returns, t-statistics (based on Newey–West adjusted standard errors), and consistency indicators.</w:t>
      </w:r>
    </w:p>
    <w:p w14:paraId="597DCBB5" w14:textId="77777777" w:rsidR="00AB238E" w:rsidRPr="00705903" w:rsidRDefault="00AB238E" w:rsidP="0097761F">
      <w:pPr>
        <w:spacing w:after="160" w:line="259" w:lineRule="auto"/>
        <w:ind w:firstLine="0"/>
        <w:jc w:val="both"/>
        <w:rPr>
          <w:sz w:val="20"/>
          <w:szCs w:val="20"/>
          <w:lang w:val="en-US"/>
        </w:rPr>
      </w:pPr>
      <w:r w:rsidRPr="00705903">
        <w:rPr>
          <w:sz w:val="20"/>
          <w:szCs w:val="20"/>
          <w:lang w:val="en-US" w:eastAsia="zh-CN"/>
        </w:rPr>
        <w:t>Appendix C</w:t>
      </w:r>
      <w:r w:rsidRPr="00705903">
        <w:rPr>
          <w:sz w:val="20"/>
          <w:szCs w:val="20"/>
          <w:lang w:val="en-US"/>
        </w:rPr>
        <w:t xml:space="preserve"> presents the robustness of the ESG high–low (H–L) portfolio returns under different portfolio grouping schemes.</w:t>
      </w:r>
      <w:r w:rsidRPr="00705903">
        <w:rPr>
          <w:sz w:val="20"/>
          <w:szCs w:val="20"/>
          <w:lang w:val="en-US" w:eastAsia="zh-CN"/>
        </w:rPr>
        <w:t xml:space="preserve"> </w:t>
      </w:r>
      <w:r w:rsidRPr="00705903">
        <w:rPr>
          <w:sz w:val="20"/>
          <w:szCs w:val="20"/>
          <w:lang w:val="en-US"/>
        </w:rPr>
        <w:t>Across both ten-decile and five-quintile constructions, the results remain consistently negative, confirming that firms with higher ESG ratings tend to underperform their lower-rated counterparts during 20</w:t>
      </w:r>
      <w:r w:rsidRPr="00705903">
        <w:rPr>
          <w:sz w:val="20"/>
          <w:szCs w:val="20"/>
          <w:lang w:val="en-US" w:eastAsia="zh-CN"/>
        </w:rPr>
        <w:t>07</w:t>
      </w:r>
      <w:r w:rsidRPr="00705903">
        <w:rPr>
          <w:sz w:val="20"/>
          <w:szCs w:val="20"/>
          <w:lang w:val="en-US"/>
        </w:rPr>
        <w:t>–20</w:t>
      </w:r>
      <w:r w:rsidRPr="00705903">
        <w:rPr>
          <w:sz w:val="20"/>
          <w:szCs w:val="20"/>
          <w:lang w:val="en-US" w:eastAsia="zh-CN"/>
        </w:rPr>
        <w:t>02</w:t>
      </w:r>
      <w:r w:rsidRPr="00705903">
        <w:rPr>
          <w:sz w:val="20"/>
          <w:szCs w:val="20"/>
          <w:lang w:val="en-US"/>
        </w:rPr>
        <w:t>.</w:t>
      </w:r>
    </w:p>
    <w:p w14:paraId="49FCD37E"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The Governance pillar shows the most persistent and significant negative spread (−</w:t>
      </w:r>
      <w:r w:rsidRPr="00705903">
        <w:rPr>
          <w:sz w:val="20"/>
          <w:szCs w:val="20"/>
          <w:lang w:val="en-US" w:eastAsia="zh-CN"/>
        </w:rPr>
        <w:t>9.1</w:t>
      </w:r>
      <w:r w:rsidRPr="00705903">
        <w:rPr>
          <w:sz w:val="20"/>
          <w:szCs w:val="20"/>
          <w:lang w:val="en-US"/>
        </w:rPr>
        <w:t>% to −13.6%), suggesting that governance-related scores capture structural rigidity or investor aversion to tightly controlled firms.</w:t>
      </w:r>
      <w:r w:rsidRPr="00705903">
        <w:rPr>
          <w:sz w:val="20"/>
          <w:szCs w:val="20"/>
          <w:lang w:val="en-US" w:eastAsia="zh-CN"/>
        </w:rPr>
        <w:t xml:space="preserve"> </w:t>
      </w:r>
      <w:r w:rsidRPr="00705903">
        <w:rPr>
          <w:sz w:val="20"/>
          <w:szCs w:val="20"/>
          <w:lang w:val="en-US"/>
        </w:rPr>
        <w:t>The Environmental and Social pillars also show weakly negative spreads, albeit with limited statistical power.</w:t>
      </w:r>
    </w:p>
    <w:p w14:paraId="034A6277"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These findings reinforce that the negative ESG premium is not an artifact of portfolio construction:</w:t>
      </w:r>
      <w:r w:rsidRPr="00705903">
        <w:rPr>
          <w:sz w:val="20"/>
          <w:szCs w:val="20"/>
          <w:lang w:val="en-US" w:eastAsia="zh-CN"/>
        </w:rPr>
        <w:t xml:space="preserve"> </w:t>
      </w:r>
      <w:r w:rsidRPr="00705903">
        <w:rPr>
          <w:sz w:val="20"/>
          <w:szCs w:val="20"/>
          <w:lang w:val="en-US"/>
        </w:rPr>
        <w:t>even when the granularity of sorting is reduced from deciles to quintiles, the direction and magnitude of returns remain largely unchanged.</w:t>
      </w:r>
      <w:r w:rsidRPr="00705903">
        <w:rPr>
          <w:sz w:val="20"/>
          <w:szCs w:val="20"/>
          <w:lang w:val="en-US" w:eastAsia="zh-CN"/>
        </w:rPr>
        <w:t xml:space="preserve"> </w:t>
      </w:r>
      <w:r w:rsidRPr="00705903">
        <w:rPr>
          <w:sz w:val="20"/>
          <w:szCs w:val="20"/>
          <w:lang w:val="en-US"/>
        </w:rPr>
        <w:t>Thus, the results are robust to portfolio design and cross-sectional grouping thresholds, underscoring the reliability of the baseline conclusion that ESG factors in China are not priced as persistent risk premiums.</w:t>
      </w:r>
    </w:p>
    <w:p w14:paraId="57B032F7" w14:textId="77777777" w:rsidR="00AB238E" w:rsidRPr="00705903" w:rsidRDefault="00AB238E" w:rsidP="0097761F">
      <w:pPr>
        <w:spacing w:line="259" w:lineRule="auto"/>
        <w:ind w:firstLine="0"/>
        <w:jc w:val="both"/>
        <w:rPr>
          <w:sz w:val="20"/>
          <w:szCs w:val="20"/>
          <w:lang w:val="en-US"/>
        </w:rPr>
      </w:pPr>
    </w:p>
    <w:tbl>
      <w:tblPr>
        <w:tblStyle w:val="PlainTable2"/>
        <w:tblW w:w="0" w:type="auto"/>
        <w:tblLook w:val="04A0" w:firstRow="1" w:lastRow="0" w:firstColumn="1" w:lastColumn="0" w:noHBand="0" w:noVBand="1"/>
      </w:tblPr>
      <w:tblGrid>
        <w:gridCol w:w="1582"/>
        <w:gridCol w:w="1481"/>
        <w:gridCol w:w="1071"/>
        <w:gridCol w:w="1615"/>
        <w:gridCol w:w="1124"/>
        <w:gridCol w:w="1205"/>
        <w:gridCol w:w="1282"/>
      </w:tblGrid>
      <w:tr w:rsidR="00AB238E" w:rsidRPr="00705903" w14:paraId="6DA789CD"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00F5E"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Pillar</w:t>
            </w:r>
          </w:p>
        </w:tc>
        <w:tc>
          <w:tcPr>
            <w:tcW w:w="0" w:type="auto"/>
            <w:hideMark/>
          </w:tcPr>
          <w:p w14:paraId="207A4744"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Mean Annual H–L Return (Decile, %)</w:t>
            </w:r>
          </w:p>
        </w:tc>
        <w:tc>
          <w:tcPr>
            <w:tcW w:w="0" w:type="auto"/>
            <w:hideMark/>
          </w:tcPr>
          <w:p w14:paraId="0E0CC570"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t-stat (Decile)</w:t>
            </w:r>
          </w:p>
        </w:tc>
        <w:tc>
          <w:tcPr>
            <w:tcW w:w="0" w:type="auto"/>
            <w:hideMark/>
          </w:tcPr>
          <w:p w14:paraId="1AFF02FA"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Mean Annual H–L Return (Quintile, %)</w:t>
            </w:r>
          </w:p>
        </w:tc>
        <w:tc>
          <w:tcPr>
            <w:tcW w:w="0" w:type="auto"/>
            <w:hideMark/>
          </w:tcPr>
          <w:p w14:paraId="4421E785"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t-stat (Quintile)</w:t>
            </w:r>
          </w:p>
        </w:tc>
        <w:tc>
          <w:tcPr>
            <w:tcW w:w="0" w:type="auto"/>
            <w:hideMark/>
          </w:tcPr>
          <w:p w14:paraId="63BBA3B8"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Significance</w:t>
            </w:r>
          </w:p>
        </w:tc>
        <w:tc>
          <w:tcPr>
            <w:tcW w:w="0" w:type="auto"/>
            <w:hideMark/>
          </w:tcPr>
          <w:p w14:paraId="3084B1D8"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Robustness Verdict</w:t>
            </w:r>
          </w:p>
        </w:tc>
      </w:tr>
      <w:tr w:rsidR="00AB238E" w:rsidRPr="00705903" w14:paraId="5F884E0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4F5E719C"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Overall ESG</w:t>
            </w:r>
          </w:p>
        </w:tc>
        <w:tc>
          <w:tcPr>
            <w:tcW w:w="0" w:type="auto"/>
            <w:tcBorders>
              <w:bottom w:val="nil"/>
            </w:tcBorders>
            <w:vAlign w:val="center"/>
            <w:hideMark/>
          </w:tcPr>
          <w:p w14:paraId="75395C7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rPr>
              <w:t>−</w:t>
            </w:r>
            <w:r w:rsidRPr="00705903">
              <w:rPr>
                <w:sz w:val="20"/>
                <w:szCs w:val="20"/>
                <w:lang w:val="en-US" w:eastAsia="zh-CN"/>
              </w:rPr>
              <w:t>3.01</w:t>
            </w:r>
          </w:p>
        </w:tc>
        <w:tc>
          <w:tcPr>
            <w:tcW w:w="0" w:type="auto"/>
            <w:tcBorders>
              <w:bottom w:val="nil"/>
            </w:tcBorders>
            <w:vAlign w:val="center"/>
            <w:hideMark/>
          </w:tcPr>
          <w:p w14:paraId="349E1A0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 xml:space="preserve">−2.08* </w:t>
            </w:r>
          </w:p>
        </w:tc>
        <w:tc>
          <w:tcPr>
            <w:tcW w:w="0" w:type="auto"/>
            <w:tcBorders>
              <w:bottom w:val="nil"/>
            </w:tcBorders>
            <w:vAlign w:val="center"/>
            <w:hideMark/>
          </w:tcPr>
          <w:p w14:paraId="305A3B4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−3.19</w:t>
            </w:r>
          </w:p>
        </w:tc>
        <w:tc>
          <w:tcPr>
            <w:tcW w:w="0" w:type="auto"/>
            <w:tcBorders>
              <w:bottom w:val="nil"/>
            </w:tcBorders>
            <w:vAlign w:val="center"/>
            <w:hideMark/>
          </w:tcPr>
          <w:p w14:paraId="10A071A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−2.99***</w:t>
            </w:r>
          </w:p>
        </w:tc>
        <w:tc>
          <w:tcPr>
            <w:tcW w:w="0" w:type="auto"/>
            <w:tcBorders>
              <w:bottom w:val="nil"/>
            </w:tcBorders>
            <w:vAlign w:val="center"/>
            <w:hideMark/>
          </w:tcPr>
          <w:p w14:paraId="7635C8B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Consistent</w:t>
            </w:r>
          </w:p>
        </w:tc>
        <w:tc>
          <w:tcPr>
            <w:tcW w:w="0" w:type="auto"/>
            <w:tcBorders>
              <w:bottom w:val="nil"/>
            </w:tcBorders>
            <w:vAlign w:val="center"/>
            <w:hideMark/>
          </w:tcPr>
          <w:p w14:paraId="08632B7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Robust</w:t>
            </w:r>
          </w:p>
        </w:tc>
      </w:tr>
      <w:tr w:rsidR="00AB238E" w:rsidRPr="00705903" w14:paraId="726B3EE8"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B262070"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E (Environmental)</w:t>
            </w:r>
          </w:p>
        </w:tc>
        <w:tc>
          <w:tcPr>
            <w:tcW w:w="0" w:type="auto"/>
            <w:tcBorders>
              <w:top w:val="nil"/>
              <w:bottom w:val="nil"/>
            </w:tcBorders>
            <w:vAlign w:val="center"/>
            <w:hideMark/>
          </w:tcPr>
          <w:p w14:paraId="50B71D8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rPr>
              <w:t>−1.</w:t>
            </w:r>
            <w:r w:rsidRPr="00705903">
              <w:rPr>
                <w:sz w:val="20"/>
                <w:szCs w:val="20"/>
                <w:lang w:val="en-US" w:eastAsia="zh-CN"/>
              </w:rPr>
              <w:t>38</w:t>
            </w:r>
          </w:p>
        </w:tc>
        <w:tc>
          <w:tcPr>
            <w:tcW w:w="0" w:type="auto"/>
            <w:tcBorders>
              <w:top w:val="nil"/>
              <w:bottom w:val="nil"/>
            </w:tcBorders>
            <w:vAlign w:val="center"/>
            <w:hideMark/>
          </w:tcPr>
          <w:p w14:paraId="1BF4069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 xml:space="preserve">−1.07n.s. </w:t>
            </w:r>
          </w:p>
        </w:tc>
        <w:tc>
          <w:tcPr>
            <w:tcW w:w="0" w:type="auto"/>
            <w:tcBorders>
              <w:top w:val="nil"/>
              <w:bottom w:val="nil"/>
            </w:tcBorders>
            <w:vAlign w:val="center"/>
            <w:hideMark/>
          </w:tcPr>
          <w:p w14:paraId="7BAE1DE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rPr>
              <w:t>−</w:t>
            </w:r>
            <w:r w:rsidRPr="00705903">
              <w:rPr>
                <w:sz w:val="20"/>
                <w:szCs w:val="20"/>
                <w:lang w:val="en-US" w:eastAsia="zh-CN"/>
              </w:rPr>
              <w:t>0.73</w:t>
            </w:r>
          </w:p>
        </w:tc>
        <w:tc>
          <w:tcPr>
            <w:tcW w:w="0" w:type="auto"/>
            <w:tcBorders>
              <w:top w:val="nil"/>
              <w:bottom w:val="nil"/>
            </w:tcBorders>
            <w:vAlign w:val="center"/>
            <w:hideMark/>
          </w:tcPr>
          <w:p w14:paraId="61BD3C1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−1.10n.s.</w:t>
            </w:r>
          </w:p>
        </w:tc>
        <w:tc>
          <w:tcPr>
            <w:tcW w:w="0" w:type="auto"/>
            <w:tcBorders>
              <w:top w:val="nil"/>
              <w:bottom w:val="nil"/>
            </w:tcBorders>
            <w:vAlign w:val="center"/>
            <w:hideMark/>
          </w:tcPr>
          <w:p w14:paraId="33B657C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Consistent</w:t>
            </w:r>
          </w:p>
        </w:tc>
        <w:tc>
          <w:tcPr>
            <w:tcW w:w="0" w:type="auto"/>
            <w:tcBorders>
              <w:top w:val="nil"/>
              <w:bottom w:val="nil"/>
            </w:tcBorders>
            <w:vAlign w:val="center"/>
            <w:hideMark/>
          </w:tcPr>
          <w:p w14:paraId="755253F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Robust</w:t>
            </w:r>
          </w:p>
        </w:tc>
      </w:tr>
      <w:tr w:rsidR="00AB238E" w:rsidRPr="00705903" w14:paraId="057342A7"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7593BF3"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S (Social)</w:t>
            </w:r>
          </w:p>
        </w:tc>
        <w:tc>
          <w:tcPr>
            <w:tcW w:w="0" w:type="auto"/>
            <w:tcBorders>
              <w:top w:val="nil"/>
              <w:bottom w:val="nil"/>
            </w:tcBorders>
            <w:vAlign w:val="center"/>
            <w:hideMark/>
          </w:tcPr>
          <w:p w14:paraId="555DA1E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rPr>
              <w:t>−</w:t>
            </w:r>
            <w:r w:rsidRPr="00705903">
              <w:rPr>
                <w:sz w:val="20"/>
                <w:szCs w:val="20"/>
                <w:lang w:val="en-US" w:eastAsia="zh-CN"/>
              </w:rPr>
              <w:t>1.31</w:t>
            </w:r>
          </w:p>
        </w:tc>
        <w:tc>
          <w:tcPr>
            <w:tcW w:w="0" w:type="auto"/>
            <w:tcBorders>
              <w:top w:val="nil"/>
              <w:bottom w:val="nil"/>
            </w:tcBorders>
            <w:vAlign w:val="center"/>
            <w:hideMark/>
          </w:tcPr>
          <w:p w14:paraId="0418355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rPr>
              <w:t>1.80</w:t>
            </w:r>
            <w:r w:rsidRPr="00705903">
              <w:rPr>
                <w:sz w:val="20"/>
                <w:szCs w:val="20"/>
                <w:lang w:val="en-US" w:eastAsia="zh-CN"/>
              </w:rPr>
              <w:t>*</w:t>
            </w:r>
          </w:p>
        </w:tc>
        <w:tc>
          <w:tcPr>
            <w:tcW w:w="0" w:type="auto"/>
            <w:tcBorders>
              <w:top w:val="nil"/>
              <w:bottom w:val="nil"/>
            </w:tcBorders>
            <w:vAlign w:val="center"/>
            <w:hideMark/>
          </w:tcPr>
          <w:p w14:paraId="2FC2329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rPr>
              <w:t>−</w:t>
            </w:r>
            <w:r w:rsidRPr="00705903">
              <w:rPr>
                <w:sz w:val="20"/>
                <w:szCs w:val="20"/>
                <w:lang w:val="en-US" w:eastAsia="zh-CN"/>
              </w:rPr>
              <w:t>1.24</w:t>
            </w:r>
          </w:p>
        </w:tc>
        <w:tc>
          <w:tcPr>
            <w:tcW w:w="0" w:type="auto"/>
            <w:tcBorders>
              <w:top w:val="nil"/>
              <w:bottom w:val="nil"/>
            </w:tcBorders>
            <w:vAlign w:val="center"/>
            <w:hideMark/>
          </w:tcPr>
          <w:p w14:paraId="481B1C8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−1.82*</w:t>
            </w:r>
          </w:p>
        </w:tc>
        <w:tc>
          <w:tcPr>
            <w:tcW w:w="0" w:type="auto"/>
            <w:tcBorders>
              <w:top w:val="nil"/>
              <w:bottom w:val="nil"/>
            </w:tcBorders>
            <w:vAlign w:val="center"/>
            <w:hideMark/>
          </w:tcPr>
          <w:p w14:paraId="53231D5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Consistent</w:t>
            </w:r>
          </w:p>
        </w:tc>
        <w:tc>
          <w:tcPr>
            <w:tcW w:w="0" w:type="auto"/>
            <w:tcBorders>
              <w:top w:val="nil"/>
              <w:bottom w:val="nil"/>
            </w:tcBorders>
            <w:vAlign w:val="center"/>
            <w:hideMark/>
          </w:tcPr>
          <w:p w14:paraId="0528B34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Robust</w:t>
            </w:r>
          </w:p>
        </w:tc>
      </w:tr>
      <w:tr w:rsidR="00AB238E" w:rsidRPr="00705903" w14:paraId="10E15D8C"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31D0C48E"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G (Governance)</w:t>
            </w:r>
          </w:p>
        </w:tc>
        <w:tc>
          <w:tcPr>
            <w:tcW w:w="0" w:type="auto"/>
            <w:tcBorders>
              <w:top w:val="nil"/>
            </w:tcBorders>
            <w:vAlign w:val="center"/>
            <w:hideMark/>
          </w:tcPr>
          <w:p w14:paraId="311144C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rPr>
              <w:t>−</w:t>
            </w:r>
            <w:r w:rsidRPr="00705903">
              <w:rPr>
                <w:sz w:val="20"/>
                <w:szCs w:val="20"/>
                <w:lang w:val="en-US" w:eastAsia="zh-CN"/>
              </w:rPr>
              <w:t>9.06</w:t>
            </w:r>
          </w:p>
        </w:tc>
        <w:tc>
          <w:tcPr>
            <w:tcW w:w="0" w:type="auto"/>
            <w:tcBorders>
              <w:top w:val="nil"/>
            </w:tcBorders>
            <w:vAlign w:val="center"/>
            <w:hideMark/>
          </w:tcPr>
          <w:p w14:paraId="7E88E4F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w:t>
            </w:r>
            <w:r w:rsidRPr="00705903">
              <w:rPr>
                <w:sz w:val="20"/>
                <w:szCs w:val="20"/>
                <w:lang w:val="en-US" w:eastAsia="zh-CN"/>
              </w:rPr>
              <w:t>2.73</w:t>
            </w:r>
            <w:r w:rsidRPr="00705903">
              <w:rPr>
                <w:sz w:val="20"/>
                <w:szCs w:val="20"/>
                <w:lang w:val="en-US"/>
              </w:rPr>
              <w:t>***</w:t>
            </w:r>
          </w:p>
        </w:tc>
        <w:tc>
          <w:tcPr>
            <w:tcW w:w="0" w:type="auto"/>
            <w:tcBorders>
              <w:top w:val="nil"/>
            </w:tcBorders>
            <w:vAlign w:val="center"/>
            <w:hideMark/>
          </w:tcPr>
          <w:p w14:paraId="64C544B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−13.57</w:t>
            </w:r>
          </w:p>
        </w:tc>
        <w:tc>
          <w:tcPr>
            <w:tcW w:w="0" w:type="auto"/>
            <w:tcBorders>
              <w:top w:val="nil"/>
            </w:tcBorders>
            <w:vAlign w:val="center"/>
            <w:hideMark/>
          </w:tcPr>
          <w:p w14:paraId="7EEA81C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-3.26***</w:t>
            </w:r>
          </w:p>
        </w:tc>
        <w:tc>
          <w:tcPr>
            <w:tcW w:w="0" w:type="auto"/>
            <w:tcBorders>
              <w:top w:val="nil"/>
            </w:tcBorders>
            <w:vAlign w:val="center"/>
            <w:hideMark/>
          </w:tcPr>
          <w:p w14:paraId="058203A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Consistent</w:t>
            </w:r>
          </w:p>
        </w:tc>
        <w:tc>
          <w:tcPr>
            <w:tcW w:w="0" w:type="auto"/>
            <w:tcBorders>
              <w:top w:val="nil"/>
            </w:tcBorders>
            <w:vAlign w:val="center"/>
            <w:hideMark/>
          </w:tcPr>
          <w:p w14:paraId="67D27BB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Robust</w:t>
            </w:r>
          </w:p>
        </w:tc>
      </w:tr>
    </w:tbl>
    <w:p w14:paraId="30CE8892" w14:textId="77777777" w:rsidR="00AB238E" w:rsidRPr="00705903" w:rsidRDefault="00AB238E" w:rsidP="0097761F">
      <w:pPr>
        <w:spacing w:line="259" w:lineRule="auto"/>
        <w:ind w:firstLine="0"/>
        <w:jc w:val="both"/>
        <w:rPr>
          <w:sz w:val="20"/>
          <w:szCs w:val="20"/>
        </w:rPr>
      </w:pPr>
    </w:p>
    <w:p w14:paraId="7E5A122A" w14:textId="77777777" w:rsidR="00AB238E" w:rsidRPr="00705903" w:rsidRDefault="00AB238E" w:rsidP="0097761F">
      <w:pPr>
        <w:spacing w:line="259" w:lineRule="auto"/>
        <w:ind w:firstLine="0"/>
        <w:jc w:val="both"/>
        <w:rPr>
          <w:i/>
          <w:iCs/>
          <w:sz w:val="20"/>
          <w:szCs w:val="20"/>
        </w:rPr>
      </w:pPr>
      <w:bookmarkStart w:id="3" w:name="_Hlk215170175"/>
      <w:r w:rsidRPr="00705903">
        <w:rPr>
          <w:i/>
          <w:iCs/>
          <w:sz w:val="20"/>
          <w:szCs w:val="20"/>
          <w:lang w:eastAsia="zh-CN"/>
        </w:rPr>
        <w:t xml:space="preserve">(Significance levels: </w:t>
      </w:r>
      <w:r w:rsidRPr="00705903">
        <w:rPr>
          <w:i/>
          <w:iCs/>
          <w:sz w:val="20"/>
          <w:szCs w:val="20"/>
        </w:rPr>
        <w:t>*** p&lt;0.01</w:t>
      </w:r>
      <w:r w:rsidRPr="00705903">
        <w:rPr>
          <w:i/>
          <w:iCs/>
          <w:sz w:val="20"/>
          <w:szCs w:val="20"/>
        </w:rPr>
        <w:t>，</w:t>
      </w:r>
      <w:r w:rsidRPr="00705903">
        <w:rPr>
          <w:i/>
          <w:iCs/>
          <w:sz w:val="20"/>
          <w:szCs w:val="20"/>
        </w:rPr>
        <w:t>** p&lt;0.05</w:t>
      </w:r>
      <w:r w:rsidRPr="00705903">
        <w:rPr>
          <w:i/>
          <w:iCs/>
          <w:sz w:val="20"/>
          <w:szCs w:val="20"/>
        </w:rPr>
        <w:t>，</w:t>
      </w:r>
      <w:r w:rsidRPr="00705903">
        <w:rPr>
          <w:i/>
          <w:iCs/>
          <w:sz w:val="20"/>
          <w:szCs w:val="20"/>
        </w:rPr>
        <w:t>* p&lt;0.1</w:t>
      </w:r>
      <w:r w:rsidRPr="00705903">
        <w:rPr>
          <w:i/>
          <w:iCs/>
          <w:sz w:val="20"/>
          <w:szCs w:val="20"/>
          <w:lang w:eastAsia="zh-CN"/>
        </w:rPr>
        <w:t>)</w:t>
      </w:r>
      <w:bookmarkEnd w:id="3"/>
      <w:r w:rsidRPr="00705903">
        <w:rPr>
          <w:i/>
          <w:iCs/>
          <w:sz w:val="20"/>
          <w:szCs w:val="20"/>
        </w:rPr>
        <w:br w:type="page"/>
      </w:r>
    </w:p>
    <w:p w14:paraId="6077E040" w14:textId="77777777" w:rsidR="00AB238E" w:rsidRPr="00705903" w:rsidRDefault="00AB238E" w:rsidP="0097761F">
      <w:pPr>
        <w:pStyle w:val="Heading1"/>
      </w:pPr>
      <w:r w:rsidRPr="00705903">
        <w:t>Appendix D: Subsample Robustness of ESG High–Low Factor Returns by Policy and Crisis Periods</w:t>
      </w:r>
    </w:p>
    <w:p w14:paraId="71E2CEFD" w14:textId="77777777" w:rsidR="00AB238E" w:rsidRPr="00705903" w:rsidRDefault="00AB238E" w:rsidP="0097761F">
      <w:pPr>
        <w:spacing w:after="160" w:line="259" w:lineRule="auto"/>
        <w:ind w:firstLine="0"/>
        <w:jc w:val="both"/>
        <w:rPr>
          <w:sz w:val="20"/>
          <w:szCs w:val="20"/>
          <w:lang w:eastAsia="zh-CN"/>
        </w:rPr>
      </w:pPr>
    </w:p>
    <w:p w14:paraId="252BB4A7"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 xml:space="preserve">This section tests whether the ESG factor’s pricing performance is </w:t>
      </w:r>
      <w:r w:rsidRPr="00705903">
        <w:rPr>
          <w:b/>
          <w:bCs/>
          <w:sz w:val="20"/>
          <w:szCs w:val="20"/>
          <w:lang w:eastAsia="zh-CN"/>
        </w:rPr>
        <w:t>time-specific</w:t>
      </w:r>
      <w:r w:rsidRPr="00705903">
        <w:rPr>
          <w:sz w:val="20"/>
          <w:szCs w:val="20"/>
          <w:lang w:eastAsia="zh-CN"/>
        </w:rPr>
        <w:t xml:space="preserve"> and contingent on major policy or market regimes. In China, ESG awareness and green-finance policies gained prominence only after 2017, while 2020 marked the onset of COVID-19-related disruptions and stimulus. If ESG returns reflect policy sentiment rather than structural risk, the estimated α from Fama–French regressions should vary systematically across subsamples.</w:t>
      </w:r>
    </w:p>
    <w:p w14:paraId="18BE1E25" w14:textId="77777777" w:rsidR="00AB238E" w:rsidRPr="00705903" w:rsidRDefault="00AB238E" w:rsidP="0097761F">
      <w:pPr>
        <w:spacing w:line="259" w:lineRule="auto"/>
        <w:ind w:firstLine="0"/>
        <w:jc w:val="both"/>
        <w:rPr>
          <w:sz w:val="20"/>
          <w:szCs w:val="20"/>
          <w:lang w:eastAsia="zh-CN"/>
        </w:rPr>
      </w:pPr>
    </w:p>
    <w:p w14:paraId="5097431D"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t>The sample is divided into three subsample windows representing distinct economic and regulatory regimes:2011–2016: Pre-policy baseline (limited ESG disclosure; minimal green regulation); 2017–2019: Green-policy initiation phase (ecological-civilization reforms, subsidy restructuring); and 2020–2022: COVID-19 and dual-carbon policy cycle (broad ESG discourse, high volatility). For each period, we estimate a Fama–French five-factor regression of the ESG High–Low (H–L) factor using Newey–West HAC standard errors (lags = 12). We report the estimated intercept (α), t-statistics, R², and annualized portfolio performance (returns, volatility, Sharpe ratios).</w:t>
      </w:r>
    </w:p>
    <w:p w14:paraId="55F688EC" w14:textId="77777777" w:rsidR="00AB238E" w:rsidRPr="00705903" w:rsidRDefault="00AB238E" w:rsidP="0097761F">
      <w:pPr>
        <w:spacing w:line="259" w:lineRule="auto"/>
        <w:ind w:firstLine="0"/>
        <w:jc w:val="both"/>
        <w:rPr>
          <w:sz w:val="20"/>
          <w:szCs w:val="20"/>
          <w:lang w:val="en-US" w:eastAsia="zh-CN"/>
        </w:rPr>
      </w:pPr>
    </w:p>
    <w:p w14:paraId="6DEFBA52" w14:textId="77777777" w:rsidR="00AB238E" w:rsidRPr="00705903" w:rsidRDefault="00AB238E" w:rsidP="0097761F">
      <w:pPr>
        <w:spacing w:line="259" w:lineRule="auto"/>
        <w:ind w:firstLine="0"/>
        <w:jc w:val="both"/>
        <w:rPr>
          <w:sz w:val="20"/>
          <w:szCs w:val="20"/>
          <w:lang w:val="en-US" w:eastAsia="zh-CN"/>
        </w:rPr>
      </w:pPr>
      <w:r w:rsidRPr="00705903">
        <w:rPr>
          <w:sz w:val="20"/>
          <w:szCs w:val="20"/>
          <w:lang w:eastAsia="zh-CN"/>
        </w:rPr>
        <w:t>Appendix D</w:t>
      </w:r>
      <w:r w:rsidRPr="00705903">
        <w:rPr>
          <w:sz w:val="20"/>
          <w:szCs w:val="20"/>
          <w:lang w:val="en-US" w:eastAsia="zh-CN"/>
        </w:rPr>
        <w:t xml:space="preserve"> shows that the ESG factor exhibits strong time-variation in both magnitude and significance across subsamples. During the pre-2017 baseline period, the alpha is notably negative (−0.46, t = −1.81), implying that high-ESG portfolios underperformed low-ESG peers before the institutionalization of green finance. The relationship becomes statistically insignificant during 2017–2019, when ESG narratives expanded and capital inflows temporarily boosted sustainability-themed firms. However, the premium again turns negative in 2020–2022 (α = −0.66), coinciding with COVID-19 volatility and the enforcement of the “dual-carbon” goals, suggesting that ESG assets were treated as policy-sensitive rather than defensive investments. </w:t>
      </w:r>
    </w:p>
    <w:p w14:paraId="20CBCDE8"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t>Overall, these results confirm that the ESG return pattern is time-varying and policy-contingent: the negative ESG alpha reappears during macro uncertainty or post-policy tightening, supporting the view that China’s ESG pricing is driven more by regulatory sentiment cycles than by persistent risk premiums.</w:t>
      </w:r>
    </w:p>
    <w:p w14:paraId="45A70955" w14:textId="77777777" w:rsidR="00AB238E" w:rsidRPr="00705903" w:rsidRDefault="00AB238E" w:rsidP="0097761F">
      <w:pPr>
        <w:spacing w:line="259" w:lineRule="auto"/>
        <w:ind w:firstLine="0"/>
        <w:jc w:val="both"/>
        <w:rPr>
          <w:sz w:val="20"/>
          <w:szCs w:val="20"/>
          <w:lang w:val="en-US" w:eastAsia="zh-CN"/>
        </w:rPr>
      </w:pPr>
    </w:p>
    <w:tbl>
      <w:tblPr>
        <w:tblStyle w:val="PlainTable2"/>
        <w:tblW w:w="9360" w:type="dxa"/>
        <w:tblLayout w:type="fixed"/>
        <w:tblLook w:val="04A0" w:firstRow="1" w:lastRow="0" w:firstColumn="1" w:lastColumn="0" w:noHBand="0" w:noVBand="1"/>
      </w:tblPr>
      <w:tblGrid>
        <w:gridCol w:w="2160"/>
        <w:gridCol w:w="900"/>
        <w:gridCol w:w="900"/>
        <w:gridCol w:w="900"/>
        <w:gridCol w:w="900"/>
        <w:gridCol w:w="900"/>
        <w:gridCol w:w="900"/>
        <w:gridCol w:w="900"/>
        <w:gridCol w:w="900"/>
      </w:tblGrid>
      <w:tr w:rsidR="00AB238E" w:rsidRPr="00705903" w14:paraId="3F9E3A92"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341DE9BB" w14:textId="77777777" w:rsidR="00AB238E" w:rsidRPr="00705903" w:rsidRDefault="00AB238E" w:rsidP="0097761F">
            <w:pPr>
              <w:spacing w:line="259" w:lineRule="auto"/>
              <w:ind w:firstLine="0"/>
              <w:jc w:val="both"/>
              <w:rPr>
                <w:b w:val="0"/>
                <w:bCs w:val="0"/>
                <w:sz w:val="18"/>
                <w:szCs w:val="18"/>
                <w:lang w:val="en-US"/>
              </w:rPr>
            </w:pPr>
            <w:r w:rsidRPr="00705903">
              <w:rPr>
                <w:b w:val="0"/>
                <w:bCs w:val="0"/>
                <w:sz w:val="18"/>
                <w:szCs w:val="18"/>
                <w:lang w:val="en-US"/>
              </w:rPr>
              <w:t>Period (Window)</w:t>
            </w:r>
          </w:p>
        </w:tc>
        <w:tc>
          <w:tcPr>
            <w:tcW w:w="900" w:type="dxa"/>
            <w:vAlign w:val="center"/>
            <w:hideMark/>
          </w:tcPr>
          <w:p w14:paraId="7A9C7B54"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Months</w:t>
            </w:r>
          </w:p>
        </w:tc>
        <w:tc>
          <w:tcPr>
            <w:tcW w:w="900" w:type="dxa"/>
            <w:vAlign w:val="center"/>
            <w:hideMark/>
          </w:tcPr>
          <w:p w14:paraId="603441E5"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α</w:t>
            </w:r>
          </w:p>
        </w:tc>
        <w:tc>
          <w:tcPr>
            <w:tcW w:w="900" w:type="dxa"/>
            <w:vAlign w:val="center"/>
            <w:hideMark/>
          </w:tcPr>
          <w:p w14:paraId="4FD0DC1C"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p-value</w:t>
            </w:r>
          </w:p>
        </w:tc>
        <w:tc>
          <w:tcPr>
            <w:tcW w:w="900" w:type="dxa"/>
            <w:vAlign w:val="center"/>
            <w:hideMark/>
          </w:tcPr>
          <w:p w14:paraId="1A9909EC"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t-stat</w:t>
            </w:r>
          </w:p>
        </w:tc>
        <w:tc>
          <w:tcPr>
            <w:tcW w:w="900" w:type="dxa"/>
            <w:vAlign w:val="center"/>
            <w:hideMark/>
          </w:tcPr>
          <w:p w14:paraId="7C1E5DD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R²</w:t>
            </w:r>
          </w:p>
        </w:tc>
        <w:tc>
          <w:tcPr>
            <w:tcW w:w="900" w:type="dxa"/>
            <w:vAlign w:val="center"/>
            <w:hideMark/>
          </w:tcPr>
          <w:p w14:paraId="34035A1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Annual Return (%)</w:t>
            </w:r>
          </w:p>
        </w:tc>
        <w:tc>
          <w:tcPr>
            <w:tcW w:w="900" w:type="dxa"/>
            <w:vAlign w:val="center"/>
            <w:hideMark/>
          </w:tcPr>
          <w:p w14:paraId="7FA44C1E"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Annual Volatility (%)</w:t>
            </w:r>
          </w:p>
        </w:tc>
        <w:tc>
          <w:tcPr>
            <w:tcW w:w="900" w:type="dxa"/>
            <w:vAlign w:val="center"/>
            <w:hideMark/>
          </w:tcPr>
          <w:p w14:paraId="5D090F56"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Sharpe</w:t>
            </w:r>
          </w:p>
        </w:tc>
      </w:tr>
      <w:tr w:rsidR="00AB238E" w:rsidRPr="00705903" w14:paraId="1BB59F7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bottom w:val="nil"/>
            </w:tcBorders>
            <w:hideMark/>
          </w:tcPr>
          <w:p w14:paraId="3439D532"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rPr>
              <w:t>2011–2016 (Pre-policy)</w:t>
            </w:r>
          </w:p>
        </w:tc>
        <w:tc>
          <w:tcPr>
            <w:tcW w:w="900" w:type="dxa"/>
            <w:tcBorders>
              <w:bottom w:val="nil"/>
            </w:tcBorders>
            <w:vAlign w:val="center"/>
            <w:hideMark/>
          </w:tcPr>
          <w:p w14:paraId="29B4B70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72</w:t>
            </w:r>
          </w:p>
        </w:tc>
        <w:tc>
          <w:tcPr>
            <w:tcW w:w="900" w:type="dxa"/>
            <w:tcBorders>
              <w:bottom w:val="nil"/>
            </w:tcBorders>
            <w:vAlign w:val="center"/>
            <w:hideMark/>
          </w:tcPr>
          <w:p w14:paraId="14DF706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-0.4569</w:t>
            </w:r>
          </w:p>
        </w:tc>
        <w:tc>
          <w:tcPr>
            <w:tcW w:w="900" w:type="dxa"/>
            <w:tcBorders>
              <w:bottom w:val="nil"/>
            </w:tcBorders>
            <w:vAlign w:val="center"/>
            <w:hideMark/>
          </w:tcPr>
          <w:p w14:paraId="5AE7CA8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0.0</w:t>
            </w:r>
            <w:r w:rsidRPr="00705903">
              <w:rPr>
                <w:sz w:val="18"/>
                <w:szCs w:val="18"/>
                <w:lang w:val="en-US" w:eastAsia="zh-CN"/>
              </w:rPr>
              <w:t>71</w:t>
            </w:r>
          </w:p>
        </w:tc>
        <w:tc>
          <w:tcPr>
            <w:tcW w:w="900" w:type="dxa"/>
            <w:tcBorders>
              <w:bottom w:val="nil"/>
            </w:tcBorders>
            <w:vAlign w:val="center"/>
            <w:hideMark/>
          </w:tcPr>
          <w:p w14:paraId="09507B5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-1.81</w:t>
            </w:r>
          </w:p>
        </w:tc>
        <w:tc>
          <w:tcPr>
            <w:tcW w:w="900" w:type="dxa"/>
            <w:tcBorders>
              <w:bottom w:val="nil"/>
            </w:tcBorders>
            <w:vAlign w:val="center"/>
            <w:hideMark/>
          </w:tcPr>
          <w:p w14:paraId="6F98DFE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0.</w:t>
            </w:r>
            <w:r w:rsidRPr="00705903">
              <w:rPr>
                <w:sz w:val="18"/>
                <w:szCs w:val="18"/>
                <w:lang w:val="en-US" w:eastAsia="zh-CN"/>
              </w:rPr>
              <w:t>46</w:t>
            </w:r>
          </w:p>
        </w:tc>
        <w:tc>
          <w:tcPr>
            <w:tcW w:w="900" w:type="dxa"/>
            <w:tcBorders>
              <w:bottom w:val="nil"/>
            </w:tcBorders>
            <w:vAlign w:val="center"/>
            <w:hideMark/>
          </w:tcPr>
          <w:p w14:paraId="56D32B5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w:t>
            </w:r>
            <w:r w:rsidRPr="00705903">
              <w:rPr>
                <w:sz w:val="18"/>
                <w:szCs w:val="18"/>
                <w:lang w:val="en-US" w:eastAsia="zh-CN"/>
              </w:rPr>
              <w:t>10.44</w:t>
            </w:r>
          </w:p>
        </w:tc>
        <w:tc>
          <w:tcPr>
            <w:tcW w:w="900" w:type="dxa"/>
            <w:tcBorders>
              <w:bottom w:val="nil"/>
            </w:tcBorders>
            <w:vAlign w:val="center"/>
            <w:hideMark/>
          </w:tcPr>
          <w:p w14:paraId="7E33655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9.58</w:t>
            </w:r>
          </w:p>
        </w:tc>
        <w:tc>
          <w:tcPr>
            <w:tcW w:w="900" w:type="dxa"/>
            <w:tcBorders>
              <w:bottom w:val="nil"/>
            </w:tcBorders>
            <w:vAlign w:val="center"/>
            <w:hideMark/>
          </w:tcPr>
          <w:p w14:paraId="14C3197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w:t>
            </w:r>
            <w:r w:rsidRPr="00705903">
              <w:rPr>
                <w:sz w:val="18"/>
                <w:szCs w:val="18"/>
                <w:lang w:val="en-US" w:eastAsia="zh-CN"/>
              </w:rPr>
              <w:t>1.09</w:t>
            </w:r>
          </w:p>
        </w:tc>
      </w:tr>
      <w:tr w:rsidR="00AB238E" w:rsidRPr="00705903" w14:paraId="73DECE33" w14:textId="77777777" w:rsidTr="00A4523E">
        <w:tc>
          <w:tcPr>
            <w:cnfStyle w:val="001000000000" w:firstRow="0" w:lastRow="0" w:firstColumn="1" w:lastColumn="0" w:oddVBand="0" w:evenVBand="0" w:oddHBand="0" w:evenHBand="0" w:firstRowFirstColumn="0" w:firstRowLastColumn="0" w:lastRowFirstColumn="0" w:lastRowLastColumn="0"/>
            <w:tcW w:w="2160" w:type="dxa"/>
            <w:tcBorders>
              <w:top w:val="nil"/>
              <w:bottom w:val="nil"/>
            </w:tcBorders>
            <w:hideMark/>
          </w:tcPr>
          <w:p w14:paraId="21B33D8C"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rPr>
              <w:t>2017–2019 (Policy promotion</w:t>
            </w:r>
          </w:p>
        </w:tc>
        <w:tc>
          <w:tcPr>
            <w:tcW w:w="900" w:type="dxa"/>
            <w:tcBorders>
              <w:top w:val="nil"/>
              <w:bottom w:val="nil"/>
            </w:tcBorders>
            <w:vAlign w:val="center"/>
            <w:hideMark/>
          </w:tcPr>
          <w:p w14:paraId="744CE8D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36</w:t>
            </w:r>
          </w:p>
        </w:tc>
        <w:tc>
          <w:tcPr>
            <w:tcW w:w="900" w:type="dxa"/>
            <w:tcBorders>
              <w:top w:val="nil"/>
              <w:bottom w:val="nil"/>
            </w:tcBorders>
            <w:vAlign w:val="center"/>
            <w:hideMark/>
          </w:tcPr>
          <w:p w14:paraId="458E71A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w:t>
            </w:r>
            <w:r w:rsidRPr="00705903">
              <w:rPr>
                <w:sz w:val="18"/>
                <w:szCs w:val="18"/>
                <w:lang w:val="en-US" w:eastAsia="zh-CN"/>
              </w:rPr>
              <w:t>0.0711</w:t>
            </w:r>
          </w:p>
        </w:tc>
        <w:tc>
          <w:tcPr>
            <w:tcW w:w="900" w:type="dxa"/>
            <w:tcBorders>
              <w:top w:val="nil"/>
              <w:bottom w:val="nil"/>
            </w:tcBorders>
            <w:vAlign w:val="center"/>
            <w:hideMark/>
          </w:tcPr>
          <w:p w14:paraId="04AAE7D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0.</w:t>
            </w:r>
            <w:r w:rsidRPr="00705903">
              <w:rPr>
                <w:sz w:val="18"/>
                <w:szCs w:val="18"/>
                <w:lang w:val="en-US" w:eastAsia="zh-CN"/>
              </w:rPr>
              <w:t>839</w:t>
            </w:r>
          </w:p>
        </w:tc>
        <w:tc>
          <w:tcPr>
            <w:tcW w:w="900" w:type="dxa"/>
            <w:tcBorders>
              <w:top w:val="nil"/>
              <w:bottom w:val="nil"/>
            </w:tcBorders>
            <w:vAlign w:val="center"/>
            <w:hideMark/>
          </w:tcPr>
          <w:p w14:paraId="2B8BEFB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-0.20</w:t>
            </w:r>
          </w:p>
        </w:tc>
        <w:tc>
          <w:tcPr>
            <w:tcW w:w="900" w:type="dxa"/>
            <w:tcBorders>
              <w:top w:val="nil"/>
              <w:bottom w:val="nil"/>
            </w:tcBorders>
            <w:vAlign w:val="center"/>
            <w:hideMark/>
          </w:tcPr>
          <w:p w14:paraId="3278924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0.</w:t>
            </w:r>
            <w:r w:rsidRPr="00705903">
              <w:rPr>
                <w:sz w:val="18"/>
                <w:szCs w:val="18"/>
                <w:lang w:val="en-US" w:eastAsia="zh-CN"/>
              </w:rPr>
              <w:t>52</w:t>
            </w:r>
          </w:p>
        </w:tc>
        <w:tc>
          <w:tcPr>
            <w:tcW w:w="900" w:type="dxa"/>
            <w:tcBorders>
              <w:top w:val="nil"/>
              <w:bottom w:val="nil"/>
            </w:tcBorders>
            <w:vAlign w:val="center"/>
            <w:hideMark/>
          </w:tcPr>
          <w:p w14:paraId="568F9FB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6.01</w:t>
            </w:r>
          </w:p>
        </w:tc>
        <w:tc>
          <w:tcPr>
            <w:tcW w:w="900" w:type="dxa"/>
            <w:tcBorders>
              <w:top w:val="nil"/>
              <w:bottom w:val="nil"/>
            </w:tcBorders>
            <w:vAlign w:val="center"/>
            <w:hideMark/>
          </w:tcPr>
          <w:p w14:paraId="5EEF93C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8.30</w:t>
            </w:r>
          </w:p>
        </w:tc>
        <w:tc>
          <w:tcPr>
            <w:tcW w:w="900" w:type="dxa"/>
            <w:tcBorders>
              <w:top w:val="nil"/>
              <w:bottom w:val="nil"/>
            </w:tcBorders>
            <w:vAlign w:val="center"/>
            <w:hideMark/>
          </w:tcPr>
          <w:p w14:paraId="2805717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0.72</w:t>
            </w:r>
          </w:p>
        </w:tc>
      </w:tr>
      <w:tr w:rsidR="00AB238E" w:rsidRPr="00705903" w14:paraId="66C08793"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il"/>
              <w:bottom w:val="single" w:sz="4" w:space="0" w:color="auto"/>
            </w:tcBorders>
            <w:hideMark/>
          </w:tcPr>
          <w:p w14:paraId="459970EA"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rPr>
              <w:t>2020–2022 (COVID + Dual-carbon period)</w:t>
            </w:r>
          </w:p>
        </w:tc>
        <w:tc>
          <w:tcPr>
            <w:tcW w:w="900" w:type="dxa"/>
            <w:tcBorders>
              <w:top w:val="nil"/>
              <w:bottom w:val="single" w:sz="4" w:space="0" w:color="auto"/>
            </w:tcBorders>
            <w:vAlign w:val="center"/>
            <w:hideMark/>
          </w:tcPr>
          <w:p w14:paraId="2A8D9A8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30</w:t>
            </w:r>
          </w:p>
        </w:tc>
        <w:tc>
          <w:tcPr>
            <w:tcW w:w="900" w:type="dxa"/>
            <w:tcBorders>
              <w:top w:val="nil"/>
              <w:bottom w:val="single" w:sz="4" w:space="0" w:color="auto"/>
            </w:tcBorders>
            <w:vAlign w:val="center"/>
            <w:hideMark/>
          </w:tcPr>
          <w:p w14:paraId="156EC90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-0.6585</w:t>
            </w:r>
          </w:p>
        </w:tc>
        <w:tc>
          <w:tcPr>
            <w:tcW w:w="900" w:type="dxa"/>
            <w:tcBorders>
              <w:top w:val="nil"/>
              <w:bottom w:val="single" w:sz="4" w:space="0" w:color="auto"/>
            </w:tcBorders>
            <w:vAlign w:val="center"/>
            <w:hideMark/>
          </w:tcPr>
          <w:p w14:paraId="5622AEB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0.</w:t>
            </w:r>
            <w:r w:rsidRPr="00705903">
              <w:rPr>
                <w:sz w:val="18"/>
                <w:szCs w:val="18"/>
                <w:lang w:val="en-US" w:eastAsia="zh-CN"/>
              </w:rPr>
              <w:t>315</w:t>
            </w:r>
          </w:p>
        </w:tc>
        <w:tc>
          <w:tcPr>
            <w:tcW w:w="900" w:type="dxa"/>
            <w:tcBorders>
              <w:top w:val="nil"/>
              <w:bottom w:val="single" w:sz="4" w:space="0" w:color="auto"/>
            </w:tcBorders>
            <w:vAlign w:val="center"/>
            <w:hideMark/>
          </w:tcPr>
          <w:p w14:paraId="0B94890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-1.01</w:t>
            </w:r>
          </w:p>
        </w:tc>
        <w:tc>
          <w:tcPr>
            <w:tcW w:w="900" w:type="dxa"/>
            <w:tcBorders>
              <w:top w:val="nil"/>
              <w:bottom w:val="single" w:sz="4" w:space="0" w:color="auto"/>
            </w:tcBorders>
            <w:vAlign w:val="center"/>
            <w:hideMark/>
          </w:tcPr>
          <w:p w14:paraId="5C59AB6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0.26</w:t>
            </w:r>
          </w:p>
        </w:tc>
        <w:tc>
          <w:tcPr>
            <w:tcW w:w="900" w:type="dxa"/>
            <w:tcBorders>
              <w:top w:val="nil"/>
              <w:bottom w:val="single" w:sz="4" w:space="0" w:color="auto"/>
            </w:tcBorders>
            <w:vAlign w:val="center"/>
            <w:hideMark/>
          </w:tcPr>
          <w:p w14:paraId="7710A04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-7.72</w:t>
            </w:r>
          </w:p>
        </w:tc>
        <w:tc>
          <w:tcPr>
            <w:tcW w:w="900" w:type="dxa"/>
            <w:tcBorders>
              <w:top w:val="nil"/>
              <w:bottom w:val="single" w:sz="4" w:space="0" w:color="auto"/>
            </w:tcBorders>
            <w:vAlign w:val="center"/>
            <w:hideMark/>
          </w:tcPr>
          <w:p w14:paraId="53E176D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13.</w:t>
            </w:r>
            <w:r w:rsidRPr="00705903">
              <w:rPr>
                <w:sz w:val="18"/>
                <w:szCs w:val="18"/>
                <w:lang w:val="en-US" w:eastAsia="zh-CN"/>
              </w:rPr>
              <w:t>00</w:t>
            </w:r>
          </w:p>
        </w:tc>
        <w:tc>
          <w:tcPr>
            <w:tcW w:w="900" w:type="dxa"/>
            <w:tcBorders>
              <w:top w:val="nil"/>
              <w:bottom w:val="single" w:sz="4" w:space="0" w:color="auto"/>
            </w:tcBorders>
            <w:vAlign w:val="center"/>
            <w:hideMark/>
          </w:tcPr>
          <w:p w14:paraId="0B98249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-0.59</w:t>
            </w:r>
          </w:p>
        </w:tc>
      </w:tr>
    </w:tbl>
    <w:p w14:paraId="031E00A0" w14:textId="77777777" w:rsidR="00AB238E" w:rsidRPr="00705903" w:rsidRDefault="00AB238E" w:rsidP="0097761F">
      <w:pPr>
        <w:spacing w:line="259" w:lineRule="auto"/>
        <w:ind w:firstLine="0"/>
        <w:jc w:val="both"/>
        <w:rPr>
          <w:sz w:val="20"/>
          <w:szCs w:val="20"/>
          <w:lang w:eastAsia="zh-CN"/>
        </w:rPr>
      </w:pPr>
    </w:p>
    <w:p w14:paraId="310AB505" w14:textId="77777777" w:rsidR="00AB238E" w:rsidRPr="00705903" w:rsidRDefault="00AB238E" w:rsidP="0097761F">
      <w:pPr>
        <w:spacing w:after="160" w:line="259" w:lineRule="auto"/>
        <w:ind w:firstLine="0"/>
        <w:jc w:val="both"/>
        <w:rPr>
          <w:b/>
          <w:bCs/>
          <w:szCs w:val="24"/>
          <w:lang w:val="en-US" w:eastAsia="zh-CN"/>
        </w:rPr>
      </w:pPr>
      <w:r w:rsidRPr="00705903">
        <w:br w:type="page"/>
      </w:r>
    </w:p>
    <w:p w14:paraId="02CF51D2" w14:textId="77777777" w:rsidR="00AB238E" w:rsidRPr="00705903" w:rsidRDefault="00AB238E" w:rsidP="0097761F">
      <w:pPr>
        <w:pStyle w:val="Heading1"/>
      </w:pPr>
      <w:r w:rsidRPr="00705903">
        <w:t>Appendix E: Robustness of ESG High–Low Portfolios to Outlier Treatment and Grouping Method</w:t>
      </w:r>
    </w:p>
    <w:p w14:paraId="668296F7" w14:textId="77777777" w:rsidR="00AB238E" w:rsidRPr="00705903" w:rsidRDefault="00AB238E" w:rsidP="0097761F">
      <w:pPr>
        <w:spacing w:after="160" w:line="259" w:lineRule="auto"/>
        <w:ind w:firstLine="0"/>
        <w:jc w:val="both"/>
      </w:pPr>
    </w:p>
    <w:p w14:paraId="3AE66BFB"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This section examines whether the negative ESG return premium is driven by outliers or score distribution effects.</w:t>
      </w:r>
    </w:p>
    <w:p w14:paraId="34C95C64"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Specifically, we test the robustness of the High–Low (H–L) portfolio returns under three alternative constructions:</w:t>
      </w:r>
      <w:r w:rsidRPr="00705903">
        <w:rPr>
          <w:sz w:val="20"/>
          <w:szCs w:val="20"/>
          <w:lang w:val="en-US" w:eastAsia="zh-CN"/>
        </w:rPr>
        <w:t xml:space="preserve"> </w:t>
      </w:r>
      <w:r w:rsidRPr="00705903">
        <w:rPr>
          <w:sz w:val="20"/>
          <w:szCs w:val="20"/>
          <w:lang w:val="en-US"/>
        </w:rPr>
        <w:t>(1) five-group quintile sorting instead of ten deciles,</w:t>
      </w:r>
      <w:r w:rsidRPr="00705903">
        <w:rPr>
          <w:sz w:val="20"/>
          <w:szCs w:val="20"/>
          <w:lang w:val="en-US" w:eastAsia="zh-CN"/>
        </w:rPr>
        <w:t xml:space="preserve"> </w:t>
      </w:r>
      <w:r w:rsidRPr="00705903">
        <w:rPr>
          <w:sz w:val="20"/>
          <w:szCs w:val="20"/>
          <w:lang w:val="en-US"/>
        </w:rPr>
        <w:t xml:space="preserve">(2) </w:t>
      </w:r>
      <w:proofErr w:type="spellStart"/>
      <w:r w:rsidRPr="00705903">
        <w:rPr>
          <w:sz w:val="20"/>
          <w:szCs w:val="20"/>
          <w:lang w:val="en-US"/>
        </w:rPr>
        <w:t>winsorization</w:t>
      </w:r>
      <w:proofErr w:type="spellEnd"/>
      <w:r w:rsidRPr="00705903">
        <w:rPr>
          <w:sz w:val="20"/>
          <w:szCs w:val="20"/>
          <w:lang w:val="en-US"/>
        </w:rPr>
        <w:t xml:space="preserve"> of ESG scores and returns at the 1st–99th percentiles, and</w:t>
      </w:r>
      <w:r w:rsidRPr="00705903">
        <w:rPr>
          <w:sz w:val="20"/>
          <w:szCs w:val="20"/>
          <w:lang w:val="en-US" w:eastAsia="zh-CN"/>
        </w:rPr>
        <w:t xml:space="preserve"> </w:t>
      </w:r>
      <w:r w:rsidRPr="00705903">
        <w:rPr>
          <w:sz w:val="20"/>
          <w:szCs w:val="20"/>
          <w:lang w:val="en-US"/>
        </w:rPr>
        <w:t xml:space="preserve">(3) re-estimation under both </w:t>
      </w:r>
      <w:proofErr w:type="gramStart"/>
      <w:r w:rsidRPr="00705903">
        <w:rPr>
          <w:sz w:val="20"/>
          <w:szCs w:val="20"/>
          <w:lang w:val="en-US"/>
        </w:rPr>
        <w:t>quintile</w:t>
      </w:r>
      <w:proofErr w:type="gramEnd"/>
      <w:r w:rsidRPr="00705903">
        <w:rPr>
          <w:sz w:val="20"/>
          <w:szCs w:val="20"/>
          <w:lang w:val="en-US"/>
        </w:rPr>
        <w:t xml:space="preserve"> grouping and </w:t>
      </w:r>
      <w:proofErr w:type="spellStart"/>
      <w:r w:rsidRPr="00705903">
        <w:rPr>
          <w:sz w:val="20"/>
          <w:szCs w:val="20"/>
          <w:lang w:val="en-US"/>
        </w:rPr>
        <w:t>winsorization</w:t>
      </w:r>
      <w:proofErr w:type="spellEnd"/>
      <w:r w:rsidRPr="00705903">
        <w:rPr>
          <w:sz w:val="20"/>
          <w:szCs w:val="20"/>
          <w:lang w:val="en-US"/>
        </w:rPr>
        <w:t>.</w:t>
      </w:r>
      <w:r w:rsidRPr="00705903">
        <w:rPr>
          <w:sz w:val="20"/>
          <w:szCs w:val="20"/>
          <w:lang w:val="en-US" w:eastAsia="zh-CN"/>
        </w:rPr>
        <w:t xml:space="preserve"> </w:t>
      </w:r>
      <w:r w:rsidRPr="00705903">
        <w:rPr>
          <w:sz w:val="20"/>
          <w:szCs w:val="20"/>
          <w:lang w:val="en-US"/>
        </w:rPr>
        <w:t>If ESG underperformance persists after removing extreme values and adjusting grouping granularity, the effect can be considered robust to data distribution.</w:t>
      </w:r>
    </w:p>
    <w:p w14:paraId="2BEA4ADC" w14:textId="77777777" w:rsidR="00AB238E" w:rsidRPr="00705903" w:rsidRDefault="00AB238E" w:rsidP="0097761F">
      <w:pPr>
        <w:spacing w:line="259" w:lineRule="auto"/>
        <w:ind w:firstLine="0"/>
        <w:jc w:val="both"/>
        <w:rPr>
          <w:sz w:val="20"/>
          <w:szCs w:val="20"/>
          <w:lang w:val="en-US"/>
        </w:rPr>
      </w:pPr>
    </w:p>
    <w:p w14:paraId="5646AE4A"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 xml:space="preserve">For each specification, firms are annually sorted by their ESG, E, S, and G pillar </w:t>
      </w:r>
      <w:proofErr w:type="spellStart"/>
      <w:proofErr w:type="gramStart"/>
      <w:r w:rsidRPr="00705903">
        <w:rPr>
          <w:sz w:val="20"/>
          <w:szCs w:val="20"/>
          <w:lang w:val="en-US"/>
        </w:rPr>
        <w:t>scores.We</w:t>
      </w:r>
      <w:proofErr w:type="spellEnd"/>
      <w:proofErr w:type="gramEnd"/>
      <w:r w:rsidRPr="00705903">
        <w:rPr>
          <w:sz w:val="20"/>
          <w:szCs w:val="20"/>
          <w:lang w:val="en-US"/>
        </w:rPr>
        <w:t xml:space="preserve"> compute the High–Low return spreads (high ESG − low ESG) and report annualized means, standard deviations, cumulative returns, t-statistics, and significance levels based on Newey–West robust errors.</w:t>
      </w:r>
    </w:p>
    <w:p w14:paraId="70993AF3" w14:textId="77777777" w:rsidR="00AB238E" w:rsidRPr="00705903" w:rsidRDefault="00AB238E" w:rsidP="0097761F">
      <w:pPr>
        <w:spacing w:line="259" w:lineRule="auto"/>
        <w:ind w:firstLine="0"/>
        <w:jc w:val="both"/>
        <w:rPr>
          <w:sz w:val="20"/>
          <w:szCs w:val="20"/>
          <w:lang w:val="en-US"/>
        </w:rPr>
      </w:pPr>
    </w:p>
    <w:p w14:paraId="417775F6" w14:textId="77777777" w:rsidR="00AB238E" w:rsidRPr="00705903" w:rsidRDefault="00AB238E" w:rsidP="0097761F">
      <w:pPr>
        <w:spacing w:line="259" w:lineRule="auto"/>
        <w:ind w:firstLine="0"/>
        <w:jc w:val="both"/>
        <w:rPr>
          <w:sz w:val="20"/>
          <w:szCs w:val="20"/>
          <w:lang w:val="en-US"/>
        </w:rPr>
      </w:pPr>
      <w:r w:rsidRPr="00705903">
        <w:rPr>
          <w:sz w:val="20"/>
          <w:szCs w:val="20"/>
          <w:lang w:val="en-US" w:eastAsia="zh-CN"/>
        </w:rPr>
        <w:t>Appendix E</w:t>
      </w:r>
      <w:r w:rsidRPr="00705903">
        <w:rPr>
          <w:sz w:val="20"/>
          <w:szCs w:val="20"/>
          <w:lang w:val="en-US"/>
        </w:rPr>
        <w:t xml:space="preserve"> shows that the negative ESG and G-factor premia remain stable across all </w:t>
      </w:r>
      <w:proofErr w:type="gramStart"/>
      <w:r w:rsidRPr="00705903">
        <w:rPr>
          <w:sz w:val="20"/>
          <w:szCs w:val="20"/>
          <w:lang w:val="en-US"/>
        </w:rPr>
        <w:t>outlier</w:t>
      </w:r>
      <w:proofErr w:type="gramEnd"/>
      <w:r w:rsidRPr="00705903">
        <w:rPr>
          <w:sz w:val="20"/>
          <w:szCs w:val="20"/>
          <w:lang w:val="en-US"/>
        </w:rPr>
        <w:t xml:space="preserve"> and grouping adjustments.</w:t>
      </w:r>
      <w:r w:rsidRPr="00705903">
        <w:rPr>
          <w:sz w:val="20"/>
          <w:szCs w:val="20"/>
          <w:lang w:val="en-US" w:eastAsia="zh-CN"/>
        </w:rPr>
        <w:t xml:space="preserve"> </w:t>
      </w:r>
      <w:r w:rsidRPr="00705903">
        <w:rPr>
          <w:sz w:val="20"/>
          <w:szCs w:val="20"/>
          <w:lang w:val="en-US"/>
        </w:rPr>
        <w:t xml:space="preserve">Even after </w:t>
      </w:r>
      <w:proofErr w:type="spellStart"/>
      <w:r w:rsidRPr="00705903">
        <w:rPr>
          <w:sz w:val="20"/>
          <w:szCs w:val="20"/>
          <w:lang w:val="en-US"/>
        </w:rPr>
        <w:t>winsorizing</w:t>
      </w:r>
      <w:proofErr w:type="spellEnd"/>
      <w:r w:rsidRPr="00705903">
        <w:rPr>
          <w:sz w:val="20"/>
          <w:szCs w:val="20"/>
          <w:lang w:val="en-US"/>
        </w:rPr>
        <w:t xml:space="preserve"> both ESG scores and returns at the 1st–99th percentile and reducing portfolio granularity from deciles to quintiles, the overall ESG H–L spread stays negative and significant (−3.2% to −2.8% per year, p &lt; 0.05).</w:t>
      </w:r>
      <w:r w:rsidRPr="00705903">
        <w:rPr>
          <w:sz w:val="20"/>
          <w:szCs w:val="20"/>
          <w:lang w:val="en-US" w:eastAsia="zh-CN"/>
        </w:rPr>
        <w:t xml:space="preserve"> </w:t>
      </w:r>
      <w:r w:rsidRPr="00705903">
        <w:rPr>
          <w:sz w:val="20"/>
          <w:szCs w:val="20"/>
          <w:lang w:val="en-US"/>
        </w:rPr>
        <w:t>The Governance pillar consistently drives the overall pattern, with annualized underperformance between −7% and −8%, statistically significant at the 1% level.</w:t>
      </w:r>
      <w:r w:rsidRPr="00705903">
        <w:rPr>
          <w:sz w:val="20"/>
          <w:szCs w:val="20"/>
          <w:lang w:val="en-US" w:eastAsia="zh-CN"/>
        </w:rPr>
        <w:t xml:space="preserve"> </w:t>
      </w:r>
      <w:r w:rsidRPr="00705903">
        <w:rPr>
          <w:sz w:val="20"/>
          <w:szCs w:val="20"/>
          <w:lang w:val="en-US"/>
        </w:rPr>
        <w:t>In contrast, the Environmental and Social factors exhibit weak or insignificant spreads, suggesting that ESG underpricing is primarily attributable to firm-level governance characteristics rather than environmental or social performance.</w:t>
      </w:r>
      <w:r w:rsidRPr="00705903">
        <w:rPr>
          <w:sz w:val="20"/>
          <w:szCs w:val="20"/>
          <w:lang w:val="en-US" w:eastAsia="zh-CN"/>
        </w:rPr>
        <w:t xml:space="preserve"> </w:t>
      </w:r>
      <w:r w:rsidRPr="00705903">
        <w:rPr>
          <w:sz w:val="20"/>
          <w:szCs w:val="20"/>
          <w:lang w:val="en-US"/>
        </w:rPr>
        <w:t>These results confirm that the observed ESG return pattern is not caused by outliers or noise in the score distribution.</w:t>
      </w:r>
      <w:r w:rsidRPr="00705903">
        <w:rPr>
          <w:sz w:val="20"/>
          <w:szCs w:val="20"/>
          <w:lang w:val="en-US" w:eastAsia="zh-CN"/>
        </w:rPr>
        <w:t xml:space="preserve"> </w:t>
      </w:r>
      <w:r w:rsidRPr="00705903">
        <w:rPr>
          <w:sz w:val="20"/>
          <w:szCs w:val="20"/>
          <w:lang w:val="en-US"/>
        </w:rPr>
        <w:t>The sign, direction, and magnitude of α remain robust to data treatment, indicating that the negative ESG premium is structurally embedded in the Chinese equity market rather than an artifact of data extremes.</w:t>
      </w:r>
    </w:p>
    <w:p w14:paraId="1EF5379C" w14:textId="77777777" w:rsidR="00AB238E" w:rsidRPr="00705903" w:rsidRDefault="00AB238E" w:rsidP="0097761F">
      <w:pPr>
        <w:spacing w:line="259" w:lineRule="auto"/>
        <w:ind w:firstLine="0"/>
        <w:jc w:val="both"/>
        <w:rPr>
          <w:sz w:val="20"/>
          <w:szCs w:val="20"/>
        </w:rPr>
      </w:pPr>
    </w:p>
    <w:tbl>
      <w:tblPr>
        <w:tblStyle w:val="PlainTable2"/>
        <w:tblW w:w="0" w:type="auto"/>
        <w:tblLook w:val="04A0" w:firstRow="1" w:lastRow="0" w:firstColumn="1" w:lastColumn="0" w:noHBand="0" w:noVBand="1"/>
      </w:tblPr>
      <w:tblGrid>
        <w:gridCol w:w="2069"/>
        <w:gridCol w:w="1406"/>
        <w:gridCol w:w="1182"/>
        <w:gridCol w:w="688"/>
        <w:gridCol w:w="1273"/>
        <w:gridCol w:w="1003"/>
        <w:gridCol w:w="633"/>
        <w:gridCol w:w="1106"/>
      </w:tblGrid>
      <w:tr w:rsidR="00AB238E" w:rsidRPr="00705903" w14:paraId="2DB48957"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hideMark/>
          </w:tcPr>
          <w:p w14:paraId="40631BF6" w14:textId="77777777" w:rsidR="00AB238E" w:rsidRPr="00705903" w:rsidRDefault="00AB238E" w:rsidP="0097761F">
            <w:pPr>
              <w:spacing w:line="360" w:lineRule="auto"/>
              <w:ind w:firstLine="0"/>
              <w:jc w:val="both"/>
              <w:rPr>
                <w:b w:val="0"/>
                <w:bCs w:val="0"/>
                <w:sz w:val="18"/>
                <w:szCs w:val="18"/>
                <w:lang w:val="en-US" w:eastAsia="zh-CN"/>
              </w:rPr>
            </w:pPr>
            <w:r w:rsidRPr="00705903">
              <w:rPr>
                <w:b w:val="0"/>
                <w:bCs w:val="0"/>
                <w:sz w:val="18"/>
                <w:szCs w:val="18"/>
                <w:lang w:val="en-US" w:eastAsia="zh-CN"/>
              </w:rPr>
              <w:t>Specification</w:t>
            </w:r>
          </w:p>
        </w:tc>
        <w:tc>
          <w:tcPr>
            <w:tcW w:w="1406" w:type="dxa"/>
            <w:hideMark/>
          </w:tcPr>
          <w:p w14:paraId="3534805D" w14:textId="77777777" w:rsidR="00AB238E" w:rsidRPr="00705903" w:rsidRDefault="00AB238E" w:rsidP="0097761F">
            <w:pPr>
              <w:spacing w:line="360"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Pillar</w:t>
            </w:r>
          </w:p>
        </w:tc>
        <w:tc>
          <w:tcPr>
            <w:tcW w:w="0" w:type="auto"/>
            <w:hideMark/>
          </w:tcPr>
          <w:p w14:paraId="3A2D3B04" w14:textId="77777777" w:rsidR="00AB238E" w:rsidRPr="00705903" w:rsidRDefault="00AB238E" w:rsidP="0097761F">
            <w:pPr>
              <w:spacing w:line="360"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Mean Annual H–L Return (%)</w:t>
            </w:r>
          </w:p>
        </w:tc>
        <w:tc>
          <w:tcPr>
            <w:tcW w:w="0" w:type="auto"/>
            <w:hideMark/>
          </w:tcPr>
          <w:p w14:paraId="743DCA03" w14:textId="77777777" w:rsidR="00AB238E" w:rsidRPr="00705903" w:rsidRDefault="00AB238E" w:rsidP="0097761F">
            <w:pPr>
              <w:spacing w:line="360"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Std. Dev.</w:t>
            </w:r>
          </w:p>
        </w:tc>
        <w:tc>
          <w:tcPr>
            <w:tcW w:w="0" w:type="auto"/>
            <w:hideMark/>
          </w:tcPr>
          <w:p w14:paraId="017BD2D3" w14:textId="77777777" w:rsidR="00AB238E" w:rsidRPr="00705903" w:rsidRDefault="00AB238E" w:rsidP="0097761F">
            <w:pPr>
              <w:spacing w:line="360"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Cumulative Return (%)</w:t>
            </w:r>
          </w:p>
        </w:tc>
        <w:tc>
          <w:tcPr>
            <w:tcW w:w="0" w:type="auto"/>
            <w:hideMark/>
          </w:tcPr>
          <w:p w14:paraId="06539457" w14:textId="77777777" w:rsidR="00AB238E" w:rsidRPr="00705903" w:rsidRDefault="00AB238E" w:rsidP="0097761F">
            <w:pPr>
              <w:spacing w:line="360"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 of Positive Years</w:t>
            </w:r>
          </w:p>
        </w:tc>
        <w:tc>
          <w:tcPr>
            <w:tcW w:w="0" w:type="auto"/>
            <w:hideMark/>
          </w:tcPr>
          <w:p w14:paraId="4F6E7D1C" w14:textId="77777777" w:rsidR="00AB238E" w:rsidRPr="00705903" w:rsidRDefault="00AB238E" w:rsidP="0097761F">
            <w:pPr>
              <w:spacing w:line="360"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t-stat</w:t>
            </w:r>
          </w:p>
        </w:tc>
        <w:tc>
          <w:tcPr>
            <w:tcW w:w="0" w:type="auto"/>
            <w:hideMark/>
          </w:tcPr>
          <w:p w14:paraId="5CC286A7" w14:textId="77777777" w:rsidR="00AB238E" w:rsidRPr="00705903" w:rsidRDefault="00AB238E" w:rsidP="0097761F">
            <w:pPr>
              <w:spacing w:line="360"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Significance</w:t>
            </w:r>
          </w:p>
        </w:tc>
      </w:tr>
      <w:tr w:rsidR="00AB238E" w:rsidRPr="00705903" w14:paraId="5B98D90E"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val="restart"/>
            <w:hideMark/>
          </w:tcPr>
          <w:p w14:paraId="02058BD3" w14:textId="77777777" w:rsidR="00AB238E" w:rsidRPr="00705903" w:rsidRDefault="00AB238E" w:rsidP="0097761F">
            <w:pPr>
              <w:spacing w:line="360" w:lineRule="auto"/>
              <w:ind w:firstLine="0"/>
              <w:jc w:val="both"/>
              <w:rPr>
                <w:i/>
                <w:iCs/>
                <w:sz w:val="18"/>
                <w:szCs w:val="18"/>
                <w:lang w:val="en-US" w:eastAsia="zh-CN"/>
              </w:rPr>
            </w:pPr>
            <w:r w:rsidRPr="00705903">
              <w:rPr>
                <w:b w:val="0"/>
                <w:bCs w:val="0"/>
                <w:i/>
                <w:iCs/>
                <w:sz w:val="18"/>
                <w:szCs w:val="18"/>
                <w:lang w:val="en-US" w:eastAsia="zh-CN"/>
              </w:rPr>
              <w:t>Quintile (5 Groups)</w:t>
            </w:r>
          </w:p>
          <w:p w14:paraId="29D1E07D" w14:textId="77777777" w:rsidR="00AB238E" w:rsidRPr="00705903" w:rsidRDefault="00AB238E" w:rsidP="0097761F">
            <w:pPr>
              <w:spacing w:line="360" w:lineRule="auto"/>
              <w:jc w:val="both"/>
              <w:rPr>
                <w:b w:val="0"/>
                <w:bCs w:val="0"/>
                <w:i/>
                <w:iCs/>
                <w:sz w:val="18"/>
                <w:szCs w:val="18"/>
                <w:lang w:val="en-US" w:eastAsia="zh-CN"/>
              </w:rPr>
            </w:pPr>
          </w:p>
        </w:tc>
        <w:tc>
          <w:tcPr>
            <w:tcW w:w="1406" w:type="dxa"/>
            <w:tcBorders>
              <w:bottom w:val="nil"/>
            </w:tcBorders>
            <w:vAlign w:val="center"/>
            <w:hideMark/>
          </w:tcPr>
          <w:p w14:paraId="739DF626"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Overall ESG</w:t>
            </w:r>
          </w:p>
        </w:tc>
        <w:tc>
          <w:tcPr>
            <w:tcW w:w="0" w:type="auto"/>
            <w:tcBorders>
              <w:bottom w:val="nil"/>
            </w:tcBorders>
            <w:vAlign w:val="center"/>
            <w:hideMark/>
          </w:tcPr>
          <w:p w14:paraId="0DF8FF60"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−3.19</w:t>
            </w:r>
          </w:p>
        </w:tc>
        <w:tc>
          <w:tcPr>
            <w:tcW w:w="0" w:type="auto"/>
            <w:tcBorders>
              <w:bottom w:val="nil"/>
            </w:tcBorders>
            <w:vAlign w:val="center"/>
            <w:hideMark/>
          </w:tcPr>
          <w:p w14:paraId="2469CB30"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4.26</w:t>
            </w:r>
          </w:p>
        </w:tc>
        <w:tc>
          <w:tcPr>
            <w:tcW w:w="0" w:type="auto"/>
            <w:tcBorders>
              <w:bottom w:val="nil"/>
            </w:tcBorders>
            <w:vAlign w:val="center"/>
            <w:hideMark/>
          </w:tcPr>
          <w:p w14:paraId="09A4A497"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−50.98</w:t>
            </w:r>
          </w:p>
        </w:tc>
        <w:tc>
          <w:tcPr>
            <w:tcW w:w="0" w:type="auto"/>
            <w:tcBorders>
              <w:bottom w:val="nil"/>
            </w:tcBorders>
            <w:vAlign w:val="center"/>
            <w:hideMark/>
          </w:tcPr>
          <w:p w14:paraId="0C4AF885"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3 / 16</w:t>
            </w:r>
          </w:p>
        </w:tc>
        <w:tc>
          <w:tcPr>
            <w:tcW w:w="0" w:type="auto"/>
            <w:tcBorders>
              <w:bottom w:val="nil"/>
            </w:tcBorders>
            <w:vAlign w:val="center"/>
            <w:hideMark/>
          </w:tcPr>
          <w:p w14:paraId="332CBA9E"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−2.99</w:t>
            </w:r>
          </w:p>
        </w:tc>
        <w:tc>
          <w:tcPr>
            <w:tcW w:w="0" w:type="auto"/>
            <w:tcBorders>
              <w:bottom w:val="nil"/>
            </w:tcBorders>
            <w:vAlign w:val="center"/>
            <w:hideMark/>
          </w:tcPr>
          <w:p w14:paraId="560010FF"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w:t>
            </w:r>
          </w:p>
        </w:tc>
      </w:tr>
      <w:tr w:rsidR="00AB238E" w:rsidRPr="00705903" w14:paraId="565720F6" w14:textId="77777777" w:rsidTr="00A4523E">
        <w:tc>
          <w:tcPr>
            <w:cnfStyle w:val="001000000000" w:firstRow="0" w:lastRow="0" w:firstColumn="1" w:lastColumn="0" w:oddVBand="0" w:evenVBand="0" w:oddHBand="0" w:evenHBand="0" w:firstRowFirstColumn="0" w:firstRowLastColumn="0" w:lastRowFirstColumn="0" w:lastRowLastColumn="0"/>
            <w:tcW w:w="2069" w:type="dxa"/>
            <w:vMerge/>
            <w:hideMark/>
          </w:tcPr>
          <w:p w14:paraId="11CBE6CC" w14:textId="77777777" w:rsidR="00AB238E" w:rsidRPr="00705903" w:rsidRDefault="00AB238E" w:rsidP="0097761F">
            <w:pPr>
              <w:spacing w:line="360" w:lineRule="auto"/>
              <w:jc w:val="both"/>
              <w:rPr>
                <w:b w:val="0"/>
                <w:bCs w:val="0"/>
                <w:i/>
                <w:iCs/>
                <w:sz w:val="18"/>
                <w:szCs w:val="18"/>
                <w:lang w:val="en-US" w:eastAsia="zh-CN"/>
              </w:rPr>
            </w:pPr>
          </w:p>
        </w:tc>
        <w:tc>
          <w:tcPr>
            <w:tcW w:w="1406" w:type="dxa"/>
            <w:tcBorders>
              <w:top w:val="nil"/>
              <w:bottom w:val="nil"/>
            </w:tcBorders>
            <w:vAlign w:val="center"/>
            <w:hideMark/>
          </w:tcPr>
          <w:p w14:paraId="5661EB7C"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E (Environmental)</w:t>
            </w:r>
          </w:p>
        </w:tc>
        <w:tc>
          <w:tcPr>
            <w:tcW w:w="0" w:type="auto"/>
            <w:tcBorders>
              <w:top w:val="nil"/>
              <w:bottom w:val="nil"/>
            </w:tcBorders>
            <w:vAlign w:val="center"/>
            <w:hideMark/>
          </w:tcPr>
          <w:p w14:paraId="0593E9EA"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−0.73</w:t>
            </w:r>
          </w:p>
        </w:tc>
        <w:tc>
          <w:tcPr>
            <w:tcW w:w="0" w:type="auto"/>
            <w:tcBorders>
              <w:top w:val="nil"/>
              <w:bottom w:val="nil"/>
            </w:tcBorders>
            <w:vAlign w:val="center"/>
            <w:hideMark/>
          </w:tcPr>
          <w:p w14:paraId="16815EC6"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2.67</w:t>
            </w:r>
          </w:p>
        </w:tc>
        <w:tc>
          <w:tcPr>
            <w:tcW w:w="0" w:type="auto"/>
            <w:tcBorders>
              <w:top w:val="nil"/>
              <w:bottom w:val="nil"/>
            </w:tcBorders>
            <w:vAlign w:val="center"/>
            <w:hideMark/>
          </w:tcPr>
          <w:p w14:paraId="7C1D7E35"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−11.74</w:t>
            </w:r>
          </w:p>
        </w:tc>
        <w:tc>
          <w:tcPr>
            <w:tcW w:w="0" w:type="auto"/>
            <w:tcBorders>
              <w:top w:val="nil"/>
              <w:bottom w:val="nil"/>
            </w:tcBorders>
            <w:vAlign w:val="center"/>
            <w:hideMark/>
          </w:tcPr>
          <w:p w14:paraId="127FC4DF"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7 / 16</w:t>
            </w:r>
          </w:p>
        </w:tc>
        <w:tc>
          <w:tcPr>
            <w:tcW w:w="0" w:type="auto"/>
            <w:tcBorders>
              <w:top w:val="nil"/>
              <w:bottom w:val="nil"/>
            </w:tcBorders>
            <w:vAlign w:val="center"/>
            <w:hideMark/>
          </w:tcPr>
          <w:p w14:paraId="4AB05E2D"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−1.10</w:t>
            </w:r>
          </w:p>
        </w:tc>
        <w:tc>
          <w:tcPr>
            <w:tcW w:w="0" w:type="auto"/>
            <w:tcBorders>
              <w:top w:val="nil"/>
              <w:bottom w:val="nil"/>
            </w:tcBorders>
            <w:vAlign w:val="center"/>
            <w:hideMark/>
          </w:tcPr>
          <w:p w14:paraId="6B19C2E8"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proofErr w:type="spellStart"/>
            <w:r w:rsidRPr="00705903">
              <w:rPr>
                <w:sz w:val="18"/>
                <w:szCs w:val="18"/>
                <w:lang w:val="en-US"/>
              </w:rPr>
              <w:t>n.s</w:t>
            </w:r>
            <w:proofErr w:type="spellEnd"/>
            <w:r w:rsidRPr="00705903">
              <w:rPr>
                <w:sz w:val="18"/>
                <w:szCs w:val="18"/>
                <w:lang w:val="en-US"/>
              </w:rPr>
              <w:t>.</w:t>
            </w:r>
          </w:p>
        </w:tc>
      </w:tr>
      <w:tr w:rsidR="00AB238E" w:rsidRPr="00705903" w14:paraId="3439A9B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hideMark/>
          </w:tcPr>
          <w:p w14:paraId="67985FBF" w14:textId="77777777" w:rsidR="00AB238E" w:rsidRPr="00705903" w:rsidRDefault="00AB238E" w:rsidP="0097761F">
            <w:pPr>
              <w:spacing w:line="360" w:lineRule="auto"/>
              <w:jc w:val="both"/>
              <w:rPr>
                <w:b w:val="0"/>
                <w:bCs w:val="0"/>
                <w:i/>
                <w:iCs/>
                <w:sz w:val="18"/>
                <w:szCs w:val="18"/>
                <w:lang w:val="en-US" w:eastAsia="zh-CN"/>
              </w:rPr>
            </w:pPr>
          </w:p>
        </w:tc>
        <w:tc>
          <w:tcPr>
            <w:tcW w:w="1406" w:type="dxa"/>
            <w:tcBorders>
              <w:top w:val="nil"/>
              <w:bottom w:val="nil"/>
            </w:tcBorders>
            <w:vAlign w:val="center"/>
            <w:hideMark/>
          </w:tcPr>
          <w:p w14:paraId="5B9E0F2E"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S (Social)</w:t>
            </w:r>
          </w:p>
        </w:tc>
        <w:tc>
          <w:tcPr>
            <w:tcW w:w="0" w:type="auto"/>
            <w:tcBorders>
              <w:top w:val="nil"/>
              <w:bottom w:val="nil"/>
            </w:tcBorders>
            <w:vAlign w:val="center"/>
            <w:hideMark/>
          </w:tcPr>
          <w:p w14:paraId="59B94E05"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−1.24</w:t>
            </w:r>
          </w:p>
        </w:tc>
        <w:tc>
          <w:tcPr>
            <w:tcW w:w="0" w:type="auto"/>
            <w:tcBorders>
              <w:top w:val="nil"/>
              <w:bottom w:val="nil"/>
            </w:tcBorders>
            <w:vAlign w:val="center"/>
            <w:hideMark/>
          </w:tcPr>
          <w:p w14:paraId="34F30EC0"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2.71</w:t>
            </w:r>
          </w:p>
        </w:tc>
        <w:tc>
          <w:tcPr>
            <w:tcW w:w="0" w:type="auto"/>
            <w:tcBorders>
              <w:top w:val="nil"/>
              <w:bottom w:val="nil"/>
            </w:tcBorders>
            <w:vAlign w:val="center"/>
            <w:hideMark/>
          </w:tcPr>
          <w:p w14:paraId="6B89BC08"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−19.79</w:t>
            </w:r>
          </w:p>
        </w:tc>
        <w:tc>
          <w:tcPr>
            <w:tcW w:w="0" w:type="auto"/>
            <w:tcBorders>
              <w:top w:val="nil"/>
              <w:bottom w:val="nil"/>
            </w:tcBorders>
            <w:vAlign w:val="center"/>
            <w:hideMark/>
          </w:tcPr>
          <w:p w14:paraId="1DFF6868"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5 / 16</w:t>
            </w:r>
          </w:p>
        </w:tc>
        <w:tc>
          <w:tcPr>
            <w:tcW w:w="0" w:type="auto"/>
            <w:tcBorders>
              <w:top w:val="nil"/>
              <w:bottom w:val="nil"/>
            </w:tcBorders>
            <w:vAlign w:val="center"/>
            <w:hideMark/>
          </w:tcPr>
          <w:p w14:paraId="6A552E07"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−1.82</w:t>
            </w:r>
          </w:p>
        </w:tc>
        <w:tc>
          <w:tcPr>
            <w:tcW w:w="0" w:type="auto"/>
            <w:tcBorders>
              <w:top w:val="nil"/>
              <w:bottom w:val="nil"/>
            </w:tcBorders>
            <w:vAlign w:val="center"/>
            <w:hideMark/>
          </w:tcPr>
          <w:p w14:paraId="60D3B0FC"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w:t>
            </w:r>
          </w:p>
        </w:tc>
      </w:tr>
      <w:tr w:rsidR="00AB238E" w:rsidRPr="00705903" w14:paraId="753811B8" w14:textId="77777777" w:rsidTr="00A4523E">
        <w:tc>
          <w:tcPr>
            <w:cnfStyle w:val="001000000000" w:firstRow="0" w:lastRow="0" w:firstColumn="1" w:lastColumn="0" w:oddVBand="0" w:evenVBand="0" w:oddHBand="0" w:evenHBand="0" w:firstRowFirstColumn="0" w:firstRowLastColumn="0" w:lastRowFirstColumn="0" w:lastRowLastColumn="0"/>
            <w:tcW w:w="2069" w:type="dxa"/>
            <w:vMerge/>
            <w:tcBorders>
              <w:bottom w:val="nil"/>
            </w:tcBorders>
            <w:hideMark/>
          </w:tcPr>
          <w:p w14:paraId="23306FC1" w14:textId="77777777" w:rsidR="00AB238E" w:rsidRPr="00705903" w:rsidRDefault="00AB238E" w:rsidP="0097761F">
            <w:pPr>
              <w:spacing w:line="360" w:lineRule="auto"/>
              <w:ind w:firstLine="0"/>
              <w:jc w:val="both"/>
              <w:rPr>
                <w:b w:val="0"/>
                <w:bCs w:val="0"/>
                <w:i/>
                <w:iCs/>
                <w:sz w:val="18"/>
                <w:szCs w:val="18"/>
                <w:lang w:val="en-US" w:eastAsia="zh-CN"/>
              </w:rPr>
            </w:pPr>
          </w:p>
        </w:tc>
        <w:tc>
          <w:tcPr>
            <w:tcW w:w="1406" w:type="dxa"/>
            <w:tcBorders>
              <w:top w:val="nil"/>
              <w:bottom w:val="nil"/>
            </w:tcBorders>
            <w:vAlign w:val="center"/>
            <w:hideMark/>
          </w:tcPr>
          <w:p w14:paraId="143C0147"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G (Governance)</w:t>
            </w:r>
          </w:p>
        </w:tc>
        <w:tc>
          <w:tcPr>
            <w:tcW w:w="0" w:type="auto"/>
            <w:tcBorders>
              <w:top w:val="nil"/>
              <w:bottom w:val="nil"/>
            </w:tcBorders>
            <w:vAlign w:val="center"/>
            <w:hideMark/>
          </w:tcPr>
          <w:p w14:paraId="5D09C32E"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−7.77</w:t>
            </w:r>
          </w:p>
        </w:tc>
        <w:tc>
          <w:tcPr>
            <w:tcW w:w="0" w:type="auto"/>
            <w:tcBorders>
              <w:top w:val="nil"/>
              <w:bottom w:val="nil"/>
            </w:tcBorders>
            <w:vAlign w:val="center"/>
            <w:hideMark/>
          </w:tcPr>
          <w:p w14:paraId="5A919300"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9.53</w:t>
            </w:r>
          </w:p>
        </w:tc>
        <w:tc>
          <w:tcPr>
            <w:tcW w:w="0" w:type="auto"/>
            <w:tcBorders>
              <w:top w:val="nil"/>
              <w:bottom w:val="nil"/>
            </w:tcBorders>
            <w:vAlign w:val="center"/>
            <w:hideMark/>
          </w:tcPr>
          <w:p w14:paraId="1DC1584B"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−124.29</w:t>
            </w:r>
          </w:p>
        </w:tc>
        <w:tc>
          <w:tcPr>
            <w:tcW w:w="0" w:type="auto"/>
            <w:tcBorders>
              <w:top w:val="nil"/>
              <w:bottom w:val="nil"/>
            </w:tcBorders>
            <w:vAlign w:val="center"/>
            <w:hideMark/>
          </w:tcPr>
          <w:p w14:paraId="1D65014D"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2 / 16</w:t>
            </w:r>
          </w:p>
        </w:tc>
        <w:tc>
          <w:tcPr>
            <w:tcW w:w="0" w:type="auto"/>
            <w:tcBorders>
              <w:top w:val="nil"/>
              <w:bottom w:val="nil"/>
            </w:tcBorders>
            <w:vAlign w:val="center"/>
            <w:hideMark/>
          </w:tcPr>
          <w:p w14:paraId="46EFA876"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−3.26</w:t>
            </w:r>
          </w:p>
        </w:tc>
        <w:tc>
          <w:tcPr>
            <w:tcW w:w="0" w:type="auto"/>
            <w:tcBorders>
              <w:top w:val="nil"/>
              <w:bottom w:val="nil"/>
            </w:tcBorders>
            <w:vAlign w:val="center"/>
            <w:hideMark/>
          </w:tcPr>
          <w:p w14:paraId="731E8743"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w:t>
            </w:r>
          </w:p>
        </w:tc>
      </w:tr>
      <w:tr w:rsidR="00AB238E" w:rsidRPr="00705903" w14:paraId="3E44831F"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val="restart"/>
            <w:tcBorders>
              <w:top w:val="nil"/>
            </w:tcBorders>
            <w:hideMark/>
          </w:tcPr>
          <w:p w14:paraId="030CADC5" w14:textId="77777777" w:rsidR="00AB238E" w:rsidRPr="00705903" w:rsidRDefault="00AB238E" w:rsidP="0097761F">
            <w:pPr>
              <w:spacing w:line="360" w:lineRule="auto"/>
              <w:ind w:firstLine="0"/>
              <w:jc w:val="both"/>
              <w:rPr>
                <w:i/>
                <w:iCs/>
                <w:sz w:val="18"/>
                <w:szCs w:val="18"/>
                <w:lang w:val="en-US" w:eastAsia="zh-CN"/>
              </w:rPr>
            </w:pPr>
            <w:proofErr w:type="spellStart"/>
            <w:r w:rsidRPr="00705903">
              <w:rPr>
                <w:b w:val="0"/>
                <w:bCs w:val="0"/>
                <w:i/>
                <w:iCs/>
                <w:sz w:val="18"/>
                <w:szCs w:val="18"/>
                <w:lang w:val="en-US" w:eastAsia="zh-CN"/>
              </w:rPr>
              <w:t>Winsorized</w:t>
            </w:r>
            <w:proofErr w:type="spellEnd"/>
            <w:r w:rsidRPr="00705903">
              <w:rPr>
                <w:b w:val="0"/>
                <w:bCs w:val="0"/>
                <w:i/>
                <w:iCs/>
                <w:sz w:val="18"/>
                <w:szCs w:val="18"/>
                <w:lang w:val="en-US" w:eastAsia="zh-CN"/>
              </w:rPr>
              <w:t xml:space="preserve"> + Quintile</w:t>
            </w:r>
          </w:p>
          <w:p w14:paraId="1872FDAA" w14:textId="77777777" w:rsidR="00AB238E" w:rsidRPr="00705903" w:rsidRDefault="00AB238E" w:rsidP="0097761F">
            <w:pPr>
              <w:spacing w:line="360" w:lineRule="auto"/>
              <w:ind w:firstLine="0"/>
              <w:jc w:val="both"/>
              <w:rPr>
                <w:b w:val="0"/>
                <w:bCs w:val="0"/>
                <w:i/>
                <w:iCs/>
                <w:sz w:val="18"/>
                <w:szCs w:val="18"/>
                <w:lang w:val="en-US" w:eastAsia="zh-CN"/>
              </w:rPr>
            </w:pPr>
          </w:p>
        </w:tc>
        <w:tc>
          <w:tcPr>
            <w:tcW w:w="1406" w:type="dxa"/>
            <w:tcBorders>
              <w:top w:val="nil"/>
              <w:bottom w:val="nil"/>
            </w:tcBorders>
            <w:vAlign w:val="center"/>
            <w:hideMark/>
          </w:tcPr>
          <w:p w14:paraId="0E7A24DA"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Overall ESG</w:t>
            </w:r>
          </w:p>
        </w:tc>
        <w:tc>
          <w:tcPr>
            <w:tcW w:w="0" w:type="auto"/>
            <w:tcBorders>
              <w:top w:val="nil"/>
              <w:bottom w:val="nil"/>
            </w:tcBorders>
            <w:vAlign w:val="center"/>
            <w:hideMark/>
          </w:tcPr>
          <w:p w14:paraId="7EE46B40"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−2.81</w:t>
            </w:r>
          </w:p>
        </w:tc>
        <w:tc>
          <w:tcPr>
            <w:tcW w:w="0" w:type="auto"/>
            <w:tcBorders>
              <w:top w:val="nil"/>
              <w:bottom w:val="nil"/>
            </w:tcBorders>
            <w:vAlign w:val="center"/>
            <w:hideMark/>
          </w:tcPr>
          <w:p w14:paraId="1BF36EF6"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4.02</w:t>
            </w:r>
          </w:p>
        </w:tc>
        <w:tc>
          <w:tcPr>
            <w:tcW w:w="0" w:type="auto"/>
            <w:tcBorders>
              <w:top w:val="nil"/>
              <w:bottom w:val="nil"/>
            </w:tcBorders>
            <w:vAlign w:val="center"/>
            <w:hideMark/>
          </w:tcPr>
          <w:p w14:paraId="64F49ED1"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−44.95</w:t>
            </w:r>
          </w:p>
        </w:tc>
        <w:tc>
          <w:tcPr>
            <w:tcW w:w="0" w:type="auto"/>
            <w:tcBorders>
              <w:top w:val="nil"/>
              <w:bottom w:val="nil"/>
            </w:tcBorders>
            <w:vAlign w:val="center"/>
            <w:hideMark/>
          </w:tcPr>
          <w:p w14:paraId="177DB4C2"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3 / 16</w:t>
            </w:r>
          </w:p>
        </w:tc>
        <w:tc>
          <w:tcPr>
            <w:tcW w:w="0" w:type="auto"/>
            <w:tcBorders>
              <w:top w:val="nil"/>
              <w:bottom w:val="nil"/>
            </w:tcBorders>
            <w:vAlign w:val="center"/>
            <w:hideMark/>
          </w:tcPr>
          <w:p w14:paraId="4C8C417B"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−2.80</w:t>
            </w:r>
          </w:p>
        </w:tc>
        <w:tc>
          <w:tcPr>
            <w:tcW w:w="0" w:type="auto"/>
            <w:tcBorders>
              <w:top w:val="nil"/>
              <w:bottom w:val="nil"/>
            </w:tcBorders>
            <w:vAlign w:val="center"/>
            <w:hideMark/>
          </w:tcPr>
          <w:p w14:paraId="3BB8DEB4"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w:t>
            </w:r>
          </w:p>
        </w:tc>
      </w:tr>
      <w:tr w:rsidR="00AB238E" w:rsidRPr="00705903" w14:paraId="07FFA0D3" w14:textId="77777777" w:rsidTr="00A4523E">
        <w:tc>
          <w:tcPr>
            <w:cnfStyle w:val="001000000000" w:firstRow="0" w:lastRow="0" w:firstColumn="1" w:lastColumn="0" w:oddVBand="0" w:evenVBand="0" w:oddHBand="0" w:evenHBand="0" w:firstRowFirstColumn="0" w:firstRowLastColumn="0" w:lastRowFirstColumn="0" w:lastRowLastColumn="0"/>
            <w:tcW w:w="2069" w:type="dxa"/>
            <w:vMerge/>
            <w:hideMark/>
          </w:tcPr>
          <w:p w14:paraId="65670D08" w14:textId="77777777" w:rsidR="00AB238E" w:rsidRPr="00705903" w:rsidRDefault="00AB238E" w:rsidP="0097761F">
            <w:pPr>
              <w:spacing w:line="360" w:lineRule="auto"/>
              <w:jc w:val="both"/>
              <w:rPr>
                <w:b w:val="0"/>
                <w:bCs w:val="0"/>
                <w:i/>
                <w:iCs/>
                <w:sz w:val="18"/>
                <w:szCs w:val="18"/>
                <w:lang w:val="en-US" w:eastAsia="zh-CN"/>
              </w:rPr>
            </w:pPr>
          </w:p>
        </w:tc>
        <w:tc>
          <w:tcPr>
            <w:tcW w:w="1406" w:type="dxa"/>
            <w:tcBorders>
              <w:top w:val="nil"/>
              <w:bottom w:val="nil"/>
            </w:tcBorders>
            <w:vAlign w:val="center"/>
            <w:hideMark/>
          </w:tcPr>
          <w:p w14:paraId="3D6BE4C4"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E (Environmental)</w:t>
            </w:r>
          </w:p>
        </w:tc>
        <w:tc>
          <w:tcPr>
            <w:tcW w:w="0" w:type="auto"/>
            <w:tcBorders>
              <w:top w:val="nil"/>
              <w:bottom w:val="nil"/>
            </w:tcBorders>
            <w:vAlign w:val="center"/>
            <w:hideMark/>
          </w:tcPr>
          <w:p w14:paraId="6F340C84"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−0.42</w:t>
            </w:r>
          </w:p>
        </w:tc>
        <w:tc>
          <w:tcPr>
            <w:tcW w:w="0" w:type="auto"/>
            <w:tcBorders>
              <w:top w:val="nil"/>
              <w:bottom w:val="nil"/>
            </w:tcBorders>
            <w:vAlign w:val="center"/>
            <w:hideMark/>
          </w:tcPr>
          <w:p w14:paraId="3AD11193"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2.81</w:t>
            </w:r>
          </w:p>
        </w:tc>
        <w:tc>
          <w:tcPr>
            <w:tcW w:w="0" w:type="auto"/>
            <w:tcBorders>
              <w:top w:val="nil"/>
              <w:bottom w:val="nil"/>
            </w:tcBorders>
            <w:vAlign w:val="center"/>
            <w:hideMark/>
          </w:tcPr>
          <w:p w14:paraId="019C045B"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−6.71</w:t>
            </w:r>
          </w:p>
        </w:tc>
        <w:tc>
          <w:tcPr>
            <w:tcW w:w="0" w:type="auto"/>
            <w:tcBorders>
              <w:top w:val="nil"/>
              <w:bottom w:val="nil"/>
            </w:tcBorders>
            <w:vAlign w:val="center"/>
            <w:hideMark/>
          </w:tcPr>
          <w:p w14:paraId="595FC344"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7 / 16</w:t>
            </w:r>
          </w:p>
        </w:tc>
        <w:tc>
          <w:tcPr>
            <w:tcW w:w="0" w:type="auto"/>
            <w:tcBorders>
              <w:top w:val="nil"/>
              <w:bottom w:val="nil"/>
            </w:tcBorders>
            <w:vAlign w:val="center"/>
            <w:hideMark/>
          </w:tcPr>
          <w:p w14:paraId="49D2E7FD"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−0.60</w:t>
            </w:r>
          </w:p>
        </w:tc>
        <w:tc>
          <w:tcPr>
            <w:tcW w:w="0" w:type="auto"/>
            <w:tcBorders>
              <w:top w:val="nil"/>
              <w:bottom w:val="nil"/>
            </w:tcBorders>
            <w:vAlign w:val="center"/>
            <w:hideMark/>
          </w:tcPr>
          <w:p w14:paraId="3B1AA383"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proofErr w:type="spellStart"/>
            <w:r w:rsidRPr="00705903">
              <w:rPr>
                <w:sz w:val="18"/>
                <w:szCs w:val="18"/>
                <w:lang w:val="en-US"/>
              </w:rPr>
              <w:t>n.s</w:t>
            </w:r>
            <w:proofErr w:type="spellEnd"/>
            <w:r w:rsidRPr="00705903">
              <w:rPr>
                <w:sz w:val="18"/>
                <w:szCs w:val="18"/>
                <w:lang w:val="en-US"/>
              </w:rPr>
              <w:t>.</w:t>
            </w:r>
          </w:p>
        </w:tc>
      </w:tr>
      <w:tr w:rsidR="00AB238E" w:rsidRPr="00705903" w14:paraId="3D8FAB40"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hideMark/>
          </w:tcPr>
          <w:p w14:paraId="74C97605" w14:textId="77777777" w:rsidR="00AB238E" w:rsidRPr="00705903" w:rsidRDefault="00AB238E" w:rsidP="0097761F">
            <w:pPr>
              <w:spacing w:line="360" w:lineRule="auto"/>
              <w:jc w:val="both"/>
              <w:rPr>
                <w:b w:val="0"/>
                <w:bCs w:val="0"/>
                <w:i/>
                <w:iCs/>
                <w:sz w:val="18"/>
                <w:szCs w:val="18"/>
                <w:lang w:val="en-US" w:eastAsia="zh-CN"/>
              </w:rPr>
            </w:pPr>
          </w:p>
        </w:tc>
        <w:tc>
          <w:tcPr>
            <w:tcW w:w="1406" w:type="dxa"/>
            <w:tcBorders>
              <w:top w:val="nil"/>
              <w:bottom w:val="nil"/>
            </w:tcBorders>
            <w:vAlign w:val="center"/>
            <w:hideMark/>
          </w:tcPr>
          <w:p w14:paraId="6FC1A6EF"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S (Social)</w:t>
            </w:r>
          </w:p>
        </w:tc>
        <w:tc>
          <w:tcPr>
            <w:tcW w:w="0" w:type="auto"/>
            <w:tcBorders>
              <w:top w:val="nil"/>
              <w:bottom w:val="nil"/>
            </w:tcBorders>
            <w:vAlign w:val="center"/>
            <w:hideMark/>
          </w:tcPr>
          <w:p w14:paraId="732E083F"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−1.05</w:t>
            </w:r>
          </w:p>
        </w:tc>
        <w:tc>
          <w:tcPr>
            <w:tcW w:w="0" w:type="auto"/>
            <w:tcBorders>
              <w:top w:val="nil"/>
              <w:bottom w:val="nil"/>
            </w:tcBorders>
            <w:vAlign w:val="center"/>
            <w:hideMark/>
          </w:tcPr>
          <w:p w14:paraId="47FF489B"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2.47</w:t>
            </w:r>
          </w:p>
        </w:tc>
        <w:tc>
          <w:tcPr>
            <w:tcW w:w="0" w:type="auto"/>
            <w:tcBorders>
              <w:top w:val="nil"/>
              <w:bottom w:val="nil"/>
            </w:tcBorders>
            <w:vAlign w:val="center"/>
            <w:hideMark/>
          </w:tcPr>
          <w:p w14:paraId="2791358E"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−16.78</w:t>
            </w:r>
          </w:p>
        </w:tc>
        <w:tc>
          <w:tcPr>
            <w:tcW w:w="0" w:type="auto"/>
            <w:tcBorders>
              <w:top w:val="nil"/>
              <w:bottom w:val="nil"/>
            </w:tcBorders>
            <w:vAlign w:val="center"/>
            <w:hideMark/>
          </w:tcPr>
          <w:p w14:paraId="08C05ADC"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5 / 16</w:t>
            </w:r>
          </w:p>
        </w:tc>
        <w:tc>
          <w:tcPr>
            <w:tcW w:w="0" w:type="auto"/>
            <w:tcBorders>
              <w:top w:val="nil"/>
              <w:bottom w:val="nil"/>
            </w:tcBorders>
            <w:vAlign w:val="center"/>
            <w:hideMark/>
          </w:tcPr>
          <w:p w14:paraId="566A6E55"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−1.70</w:t>
            </w:r>
          </w:p>
        </w:tc>
        <w:tc>
          <w:tcPr>
            <w:tcW w:w="0" w:type="auto"/>
            <w:tcBorders>
              <w:top w:val="nil"/>
              <w:bottom w:val="nil"/>
            </w:tcBorders>
            <w:vAlign w:val="center"/>
            <w:hideMark/>
          </w:tcPr>
          <w:p w14:paraId="4C178680"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proofErr w:type="spellStart"/>
            <w:r w:rsidRPr="00705903">
              <w:rPr>
                <w:sz w:val="18"/>
                <w:szCs w:val="18"/>
                <w:lang w:val="en-US"/>
              </w:rPr>
              <w:t>n.s</w:t>
            </w:r>
            <w:proofErr w:type="spellEnd"/>
            <w:r w:rsidRPr="00705903">
              <w:rPr>
                <w:sz w:val="18"/>
                <w:szCs w:val="18"/>
                <w:lang w:val="en-US"/>
              </w:rPr>
              <w:t>.</w:t>
            </w:r>
          </w:p>
        </w:tc>
      </w:tr>
      <w:tr w:rsidR="00AB238E" w:rsidRPr="00705903" w14:paraId="53116F46" w14:textId="77777777" w:rsidTr="00A4523E">
        <w:tc>
          <w:tcPr>
            <w:cnfStyle w:val="001000000000" w:firstRow="0" w:lastRow="0" w:firstColumn="1" w:lastColumn="0" w:oddVBand="0" w:evenVBand="0" w:oddHBand="0" w:evenHBand="0" w:firstRowFirstColumn="0" w:firstRowLastColumn="0" w:lastRowFirstColumn="0" w:lastRowLastColumn="0"/>
            <w:tcW w:w="2069" w:type="dxa"/>
            <w:vMerge/>
            <w:tcBorders>
              <w:bottom w:val="nil"/>
            </w:tcBorders>
            <w:hideMark/>
          </w:tcPr>
          <w:p w14:paraId="4BA98C6B" w14:textId="77777777" w:rsidR="00AB238E" w:rsidRPr="00705903" w:rsidRDefault="00AB238E" w:rsidP="0097761F">
            <w:pPr>
              <w:spacing w:line="360" w:lineRule="auto"/>
              <w:ind w:firstLine="0"/>
              <w:jc w:val="both"/>
              <w:rPr>
                <w:b w:val="0"/>
                <w:bCs w:val="0"/>
                <w:i/>
                <w:iCs/>
                <w:sz w:val="18"/>
                <w:szCs w:val="18"/>
                <w:lang w:val="en-US" w:eastAsia="zh-CN"/>
              </w:rPr>
            </w:pPr>
          </w:p>
        </w:tc>
        <w:tc>
          <w:tcPr>
            <w:tcW w:w="1406" w:type="dxa"/>
            <w:tcBorders>
              <w:top w:val="nil"/>
              <w:bottom w:val="nil"/>
            </w:tcBorders>
            <w:vAlign w:val="center"/>
            <w:hideMark/>
          </w:tcPr>
          <w:p w14:paraId="427CBA5D"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G (Governance)</w:t>
            </w:r>
          </w:p>
        </w:tc>
        <w:tc>
          <w:tcPr>
            <w:tcW w:w="0" w:type="auto"/>
            <w:tcBorders>
              <w:top w:val="nil"/>
              <w:bottom w:val="nil"/>
            </w:tcBorders>
            <w:vAlign w:val="center"/>
            <w:hideMark/>
          </w:tcPr>
          <w:p w14:paraId="4606654A"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−7.17</w:t>
            </w:r>
          </w:p>
        </w:tc>
        <w:tc>
          <w:tcPr>
            <w:tcW w:w="0" w:type="auto"/>
            <w:tcBorders>
              <w:top w:val="nil"/>
              <w:bottom w:val="nil"/>
            </w:tcBorders>
            <w:vAlign w:val="center"/>
            <w:hideMark/>
          </w:tcPr>
          <w:p w14:paraId="7E68AA1C"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8.82</w:t>
            </w:r>
          </w:p>
        </w:tc>
        <w:tc>
          <w:tcPr>
            <w:tcW w:w="0" w:type="auto"/>
            <w:tcBorders>
              <w:top w:val="nil"/>
              <w:bottom w:val="nil"/>
            </w:tcBorders>
            <w:vAlign w:val="center"/>
            <w:hideMark/>
          </w:tcPr>
          <w:p w14:paraId="1052F966"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−114.77</w:t>
            </w:r>
          </w:p>
        </w:tc>
        <w:tc>
          <w:tcPr>
            <w:tcW w:w="0" w:type="auto"/>
            <w:tcBorders>
              <w:top w:val="nil"/>
              <w:bottom w:val="nil"/>
            </w:tcBorders>
            <w:vAlign w:val="center"/>
            <w:hideMark/>
          </w:tcPr>
          <w:p w14:paraId="5A367008"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2 / 16</w:t>
            </w:r>
          </w:p>
        </w:tc>
        <w:tc>
          <w:tcPr>
            <w:tcW w:w="0" w:type="auto"/>
            <w:tcBorders>
              <w:top w:val="nil"/>
              <w:bottom w:val="nil"/>
            </w:tcBorders>
            <w:vAlign w:val="center"/>
            <w:hideMark/>
          </w:tcPr>
          <w:p w14:paraId="7574C2A9"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−3.25</w:t>
            </w:r>
          </w:p>
        </w:tc>
        <w:tc>
          <w:tcPr>
            <w:tcW w:w="0" w:type="auto"/>
            <w:tcBorders>
              <w:top w:val="nil"/>
              <w:bottom w:val="nil"/>
            </w:tcBorders>
            <w:vAlign w:val="center"/>
            <w:hideMark/>
          </w:tcPr>
          <w:p w14:paraId="1B5CD2D8"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w:t>
            </w:r>
          </w:p>
        </w:tc>
      </w:tr>
      <w:tr w:rsidR="00AB238E" w:rsidRPr="00705903" w14:paraId="48DEAD9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val="restart"/>
            <w:tcBorders>
              <w:top w:val="nil"/>
            </w:tcBorders>
            <w:hideMark/>
          </w:tcPr>
          <w:p w14:paraId="5EE6C338" w14:textId="77777777" w:rsidR="00AB238E" w:rsidRPr="00705903" w:rsidRDefault="00AB238E" w:rsidP="0097761F">
            <w:pPr>
              <w:spacing w:line="360" w:lineRule="auto"/>
              <w:ind w:firstLine="0"/>
              <w:jc w:val="both"/>
              <w:rPr>
                <w:i/>
                <w:iCs/>
                <w:sz w:val="18"/>
                <w:szCs w:val="18"/>
                <w:lang w:val="en-US" w:eastAsia="zh-CN"/>
              </w:rPr>
            </w:pPr>
            <w:r w:rsidRPr="00705903">
              <w:rPr>
                <w:b w:val="0"/>
                <w:bCs w:val="0"/>
                <w:i/>
                <w:iCs/>
                <w:sz w:val="18"/>
                <w:szCs w:val="18"/>
                <w:lang w:val="en-US" w:eastAsia="zh-CN"/>
              </w:rPr>
              <w:t>Decile (10 Groups)</w:t>
            </w:r>
          </w:p>
          <w:p w14:paraId="55DC1FAC" w14:textId="77777777" w:rsidR="00AB238E" w:rsidRPr="00705903" w:rsidRDefault="00AB238E" w:rsidP="0097761F">
            <w:pPr>
              <w:spacing w:line="360" w:lineRule="auto"/>
              <w:jc w:val="both"/>
              <w:rPr>
                <w:b w:val="0"/>
                <w:bCs w:val="0"/>
                <w:i/>
                <w:iCs/>
                <w:sz w:val="18"/>
                <w:szCs w:val="18"/>
                <w:lang w:val="en-US" w:eastAsia="zh-CN"/>
              </w:rPr>
            </w:pPr>
          </w:p>
        </w:tc>
        <w:tc>
          <w:tcPr>
            <w:tcW w:w="1406" w:type="dxa"/>
            <w:tcBorders>
              <w:top w:val="nil"/>
              <w:bottom w:val="nil"/>
            </w:tcBorders>
            <w:vAlign w:val="center"/>
            <w:hideMark/>
          </w:tcPr>
          <w:p w14:paraId="78B7EBA3"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Overall ESG</w:t>
            </w:r>
          </w:p>
        </w:tc>
        <w:tc>
          <w:tcPr>
            <w:tcW w:w="0" w:type="auto"/>
            <w:tcBorders>
              <w:top w:val="nil"/>
              <w:bottom w:val="nil"/>
            </w:tcBorders>
            <w:vAlign w:val="center"/>
            <w:hideMark/>
          </w:tcPr>
          <w:p w14:paraId="42D7CA78"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−3.01</w:t>
            </w:r>
          </w:p>
        </w:tc>
        <w:tc>
          <w:tcPr>
            <w:tcW w:w="0" w:type="auto"/>
            <w:tcBorders>
              <w:top w:val="nil"/>
              <w:bottom w:val="nil"/>
            </w:tcBorders>
            <w:vAlign w:val="center"/>
            <w:hideMark/>
          </w:tcPr>
          <w:p w14:paraId="6B7F39FA"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5.77</w:t>
            </w:r>
          </w:p>
        </w:tc>
        <w:tc>
          <w:tcPr>
            <w:tcW w:w="0" w:type="auto"/>
            <w:tcBorders>
              <w:top w:val="nil"/>
              <w:bottom w:val="nil"/>
            </w:tcBorders>
            <w:vAlign w:val="center"/>
            <w:hideMark/>
          </w:tcPr>
          <w:p w14:paraId="0AE02A9A"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−48.14</w:t>
            </w:r>
          </w:p>
        </w:tc>
        <w:tc>
          <w:tcPr>
            <w:tcW w:w="0" w:type="auto"/>
            <w:tcBorders>
              <w:top w:val="nil"/>
              <w:bottom w:val="nil"/>
            </w:tcBorders>
            <w:vAlign w:val="center"/>
            <w:hideMark/>
          </w:tcPr>
          <w:p w14:paraId="54CF164F"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3 / 16</w:t>
            </w:r>
          </w:p>
        </w:tc>
        <w:tc>
          <w:tcPr>
            <w:tcW w:w="0" w:type="auto"/>
            <w:tcBorders>
              <w:top w:val="nil"/>
              <w:bottom w:val="nil"/>
            </w:tcBorders>
            <w:vAlign w:val="center"/>
            <w:hideMark/>
          </w:tcPr>
          <w:p w14:paraId="2797AFAA"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−2.08</w:t>
            </w:r>
          </w:p>
        </w:tc>
        <w:tc>
          <w:tcPr>
            <w:tcW w:w="0" w:type="auto"/>
            <w:tcBorders>
              <w:top w:val="nil"/>
              <w:bottom w:val="nil"/>
            </w:tcBorders>
            <w:vAlign w:val="center"/>
            <w:hideMark/>
          </w:tcPr>
          <w:p w14:paraId="013AD3DE"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w:t>
            </w:r>
          </w:p>
        </w:tc>
      </w:tr>
      <w:tr w:rsidR="00AB238E" w:rsidRPr="00705903" w14:paraId="24C0884B" w14:textId="77777777" w:rsidTr="00A4523E">
        <w:tc>
          <w:tcPr>
            <w:cnfStyle w:val="001000000000" w:firstRow="0" w:lastRow="0" w:firstColumn="1" w:lastColumn="0" w:oddVBand="0" w:evenVBand="0" w:oddHBand="0" w:evenHBand="0" w:firstRowFirstColumn="0" w:firstRowLastColumn="0" w:lastRowFirstColumn="0" w:lastRowLastColumn="0"/>
            <w:tcW w:w="2069" w:type="dxa"/>
            <w:vMerge/>
            <w:hideMark/>
          </w:tcPr>
          <w:p w14:paraId="21B62757" w14:textId="77777777" w:rsidR="00AB238E" w:rsidRPr="00705903" w:rsidRDefault="00AB238E" w:rsidP="0097761F">
            <w:pPr>
              <w:spacing w:line="360" w:lineRule="auto"/>
              <w:jc w:val="both"/>
              <w:rPr>
                <w:b w:val="0"/>
                <w:bCs w:val="0"/>
                <w:i/>
                <w:iCs/>
                <w:sz w:val="18"/>
                <w:szCs w:val="18"/>
                <w:lang w:val="en-US" w:eastAsia="zh-CN"/>
              </w:rPr>
            </w:pPr>
          </w:p>
        </w:tc>
        <w:tc>
          <w:tcPr>
            <w:tcW w:w="1406" w:type="dxa"/>
            <w:tcBorders>
              <w:top w:val="nil"/>
              <w:bottom w:val="nil"/>
            </w:tcBorders>
            <w:vAlign w:val="center"/>
            <w:hideMark/>
          </w:tcPr>
          <w:p w14:paraId="640FFD5C"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E (Environmental)</w:t>
            </w:r>
          </w:p>
        </w:tc>
        <w:tc>
          <w:tcPr>
            <w:tcW w:w="0" w:type="auto"/>
            <w:tcBorders>
              <w:top w:val="nil"/>
              <w:bottom w:val="nil"/>
            </w:tcBorders>
            <w:vAlign w:val="center"/>
            <w:hideMark/>
          </w:tcPr>
          <w:p w14:paraId="54779A92"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−0.71</w:t>
            </w:r>
          </w:p>
        </w:tc>
        <w:tc>
          <w:tcPr>
            <w:tcW w:w="0" w:type="auto"/>
            <w:tcBorders>
              <w:top w:val="nil"/>
              <w:bottom w:val="nil"/>
            </w:tcBorders>
            <w:vAlign w:val="center"/>
            <w:hideMark/>
          </w:tcPr>
          <w:p w14:paraId="0B71BF50"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4.49</w:t>
            </w:r>
          </w:p>
        </w:tc>
        <w:tc>
          <w:tcPr>
            <w:tcW w:w="0" w:type="auto"/>
            <w:tcBorders>
              <w:top w:val="nil"/>
              <w:bottom w:val="nil"/>
            </w:tcBorders>
            <w:vAlign w:val="center"/>
            <w:hideMark/>
          </w:tcPr>
          <w:p w14:paraId="25C52599"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−11.35</w:t>
            </w:r>
          </w:p>
        </w:tc>
        <w:tc>
          <w:tcPr>
            <w:tcW w:w="0" w:type="auto"/>
            <w:tcBorders>
              <w:top w:val="nil"/>
              <w:bottom w:val="nil"/>
            </w:tcBorders>
            <w:vAlign w:val="center"/>
            <w:hideMark/>
          </w:tcPr>
          <w:p w14:paraId="174027A4"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7 / 16</w:t>
            </w:r>
          </w:p>
        </w:tc>
        <w:tc>
          <w:tcPr>
            <w:tcW w:w="0" w:type="auto"/>
            <w:tcBorders>
              <w:top w:val="nil"/>
              <w:bottom w:val="nil"/>
            </w:tcBorders>
            <w:vAlign w:val="center"/>
            <w:hideMark/>
          </w:tcPr>
          <w:p w14:paraId="133D75E1"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−0.63</w:t>
            </w:r>
          </w:p>
        </w:tc>
        <w:tc>
          <w:tcPr>
            <w:tcW w:w="0" w:type="auto"/>
            <w:tcBorders>
              <w:top w:val="nil"/>
              <w:bottom w:val="nil"/>
            </w:tcBorders>
            <w:vAlign w:val="center"/>
            <w:hideMark/>
          </w:tcPr>
          <w:p w14:paraId="37DFEE2A"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proofErr w:type="spellStart"/>
            <w:r w:rsidRPr="00705903">
              <w:rPr>
                <w:sz w:val="18"/>
                <w:szCs w:val="18"/>
                <w:lang w:val="en-US"/>
              </w:rPr>
              <w:t>n.s</w:t>
            </w:r>
            <w:proofErr w:type="spellEnd"/>
            <w:r w:rsidRPr="00705903">
              <w:rPr>
                <w:sz w:val="18"/>
                <w:szCs w:val="18"/>
                <w:lang w:val="en-US"/>
              </w:rPr>
              <w:t>.</w:t>
            </w:r>
          </w:p>
        </w:tc>
      </w:tr>
      <w:tr w:rsidR="00AB238E" w:rsidRPr="00705903" w14:paraId="29F8BAED"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hideMark/>
          </w:tcPr>
          <w:p w14:paraId="09396038" w14:textId="77777777" w:rsidR="00AB238E" w:rsidRPr="00705903" w:rsidRDefault="00AB238E" w:rsidP="0097761F">
            <w:pPr>
              <w:spacing w:line="360" w:lineRule="auto"/>
              <w:jc w:val="both"/>
              <w:rPr>
                <w:b w:val="0"/>
                <w:bCs w:val="0"/>
                <w:i/>
                <w:iCs/>
                <w:sz w:val="18"/>
                <w:szCs w:val="18"/>
                <w:lang w:val="en-US" w:eastAsia="zh-CN"/>
              </w:rPr>
            </w:pPr>
          </w:p>
        </w:tc>
        <w:tc>
          <w:tcPr>
            <w:tcW w:w="1406" w:type="dxa"/>
            <w:tcBorders>
              <w:top w:val="nil"/>
              <w:bottom w:val="nil"/>
            </w:tcBorders>
            <w:vAlign w:val="center"/>
            <w:hideMark/>
          </w:tcPr>
          <w:p w14:paraId="792CF5F1"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S (Social)</w:t>
            </w:r>
          </w:p>
        </w:tc>
        <w:tc>
          <w:tcPr>
            <w:tcW w:w="0" w:type="auto"/>
            <w:tcBorders>
              <w:top w:val="nil"/>
              <w:bottom w:val="nil"/>
            </w:tcBorders>
            <w:vAlign w:val="center"/>
            <w:hideMark/>
          </w:tcPr>
          <w:p w14:paraId="4CE42832"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−1.31</w:t>
            </w:r>
          </w:p>
        </w:tc>
        <w:tc>
          <w:tcPr>
            <w:tcW w:w="0" w:type="auto"/>
            <w:tcBorders>
              <w:top w:val="nil"/>
              <w:bottom w:val="nil"/>
            </w:tcBorders>
            <w:vAlign w:val="center"/>
            <w:hideMark/>
          </w:tcPr>
          <w:p w14:paraId="67E6D390"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2.93</w:t>
            </w:r>
          </w:p>
        </w:tc>
        <w:tc>
          <w:tcPr>
            <w:tcW w:w="0" w:type="auto"/>
            <w:tcBorders>
              <w:top w:val="nil"/>
              <w:bottom w:val="nil"/>
            </w:tcBorders>
            <w:vAlign w:val="center"/>
            <w:hideMark/>
          </w:tcPr>
          <w:p w14:paraId="1D4F2D81"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−21.03</w:t>
            </w:r>
          </w:p>
        </w:tc>
        <w:tc>
          <w:tcPr>
            <w:tcW w:w="0" w:type="auto"/>
            <w:tcBorders>
              <w:top w:val="nil"/>
              <w:bottom w:val="nil"/>
            </w:tcBorders>
            <w:vAlign w:val="center"/>
            <w:hideMark/>
          </w:tcPr>
          <w:p w14:paraId="019180D0"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4 / 16</w:t>
            </w:r>
          </w:p>
        </w:tc>
        <w:tc>
          <w:tcPr>
            <w:tcW w:w="0" w:type="auto"/>
            <w:tcBorders>
              <w:top w:val="nil"/>
              <w:bottom w:val="nil"/>
            </w:tcBorders>
            <w:vAlign w:val="center"/>
            <w:hideMark/>
          </w:tcPr>
          <w:p w14:paraId="460761F6"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−1.80</w:t>
            </w:r>
          </w:p>
        </w:tc>
        <w:tc>
          <w:tcPr>
            <w:tcW w:w="0" w:type="auto"/>
            <w:tcBorders>
              <w:top w:val="nil"/>
              <w:bottom w:val="nil"/>
            </w:tcBorders>
            <w:vAlign w:val="center"/>
            <w:hideMark/>
          </w:tcPr>
          <w:p w14:paraId="2445EF44" w14:textId="77777777" w:rsidR="00AB238E" w:rsidRPr="00705903" w:rsidRDefault="00AB238E" w:rsidP="0097761F">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rPr>
              <w:t>*</w:t>
            </w:r>
          </w:p>
        </w:tc>
      </w:tr>
      <w:tr w:rsidR="00AB238E" w:rsidRPr="00705903" w14:paraId="59BB05E8" w14:textId="77777777" w:rsidTr="00A4523E">
        <w:tc>
          <w:tcPr>
            <w:cnfStyle w:val="001000000000" w:firstRow="0" w:lastRow="0" w:firstColumn="1" w:lastColumn="0" w:oddVBand="0" w:evenVBand="0" w:oddHBand="0" w:evenHBand="0" w:firstRowFirstColumn="0" w:firstRowLastColumn="0" w:lastRowFirstColumn="0" w:lastRowLastColumn="0"/>
            <w:tcW w:w="2069" w:type="dxa"/>
            <w:vMerge/>
            <w:hideMark/>
          </w:tcPr>
          <w:p w14:paraId="4627EAEB" w14:textId="77777777" w:rsidR="00AB238E" w:rsidRPr="00705903" w:rsidRDefault="00AB238E" w:rsidP="0097761F">
            <w:pPr>
              <w:spacing w:line="360" w:lineRule="auto"/>
              <w:ind w:firstLine="0"/>
              <w:jc w:val="both"/>
              <w:rPr>
                <w:b w:val="0"/>
                <w:bCs w:val="0"/>
                <w:i/>
                <w:iCs/>
                <w:sz w:val="18"/>
                <w:szCs w:val="18"/>
                <w:lang w:val="en-US" w:eastAsia="zh-CN"/>
              </w:rPr>
            </w:pPr>
          </w:p>
        </w:tc>
        <w:tc>
          <w:tcPr>
            <w:tcW w:w="1406" w:type="dxa"/>
            <w:tcBorders>
              <w:top w:val="nil"/>
            </w:tcBorders>
            <w:vAlign w:val="center"/>
            <w:hideMark/>
          </w:tcPr>
          <w:p w14:paraId="046C0487"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G (Governance)</w:t>
            </w:r>
          </w:p>
        </w:tc>
        <w:tc>
          <w:tcPr>
            <w:tcW w:w="0" w:type="auto"/>
            <w:tcBorders>
              <w:top w:val="nil"/>
            </w:tcBorders>
            <w:vAlign w:val="center"/>
            <w:hideMark/>
          </w:tcPr>
          <w:p w14:paraId="3EF669A3"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−9.06</w:t>
            </w:r>
          </w:p>
        </w:tc>
        <w:tc>
          <w:tcPr>
            <w:tcW w:w="0" w:type="auto"/>
            <w:tcBorders>
              <w:top w:val="nil"/>
            </w:tcBorders>
            <w:vAlign w:val="center"/>
            <w:hideMark/>
          </w:tcPr>
          <w:p w14:paraId="0E3F6DB5"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13.27</w:t>
            </w:r>
          </w:p>
        </w:tc>
        <w:tc>
          <w:tcPr>
            <w:tcW w:w="0" w:type="auto"/>
            <w:tcBorders>
              <w:top w:val="nil"/>
            </w:tcBorders>
            <w:vAlign w:val="center"/>
            <w:hideMark/>
          </w:tcPr>
          <w:p w14:paraId="326063EA"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−144.98</w:t>
            </w:r>
          </w:p>
        </w:tc>
        <w:tc>
          <w:tcPr>
            <w:tcW w:w="0" w:type="auto"/>
            <w:tcBorders>
              <w:top w:val="nil"/>
            </w:tcBorders>
            <w:vAlign w:val="center"/>
            <w:hideMark/>
          </w:tcPr>
          <w:p w14:paraId="36E5D376"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3 / 16</w:t>
            </w:r>
          </w:p>
        </w:tc>
        <w:tc>
          <w:tcPr>
            <w:tcW w:w="0" w:type="auto"/>
            <w:tcBorders>
              <w:top w:val="nil"/>
            </w:tcBorders>
            <w:vAlign w:val="center"/>
            <w:hideMark/>
          </w:tcPr>
          <w:p w14:paraId="29EE2C56"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−2.73</w:t>
            </w:r>
          </w:p>
        </w:tc>
        <w:tc>
          <w:tcPr>
            <w:tcW w:w="0" w:type="auto"/>
            <w:tcBorders>
              <w:top w:val="nil"/>
            </w:tcBorders>
            <w:vAlign w:val="center"/>
            <w:hideMark/>
          </w:tcPr>
          <w:p w14:paraId="3127AA3F" w14:textId="77777777" w:rsidR="00AB238E" w:rsidRPr="00705903" w:rsidRDefault="00AB238E" w:rsidP="0097761F">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rPr>
              <w:t>**</w:t>
            </w:r>
          </w:p>
        </w:tc>
      </w:tr>
    </w:tbl>
    <w:p w14:paraId="4FD538DD" w14:textId="77777777" w:rsidR="00AB238E" w:rsidRPr="00705903" w:rsidRDefault="00AB238E" w:rsidP="0097761F">
      <w:pPr>
        <w:spacing w:after="160" w:line="259" w:lineRule="auto"/>
        <w:ind w:firstLine="0"/>
        <w:jc w:val="both"/>
      </w:pPr>
      <w:r w:rsidRPr="00705903">
        <w:br w:type="page"/>
      </w:r>
    </w:p>
    <w:p w14:paraId="41F348EE" w14:textId="77777777" w:rsidR="00AB238E" w:rsidRPr="00705903" w:rsidRDefault="00AB238E" w:rsidP="0097761F">
      <w:pPr>
        <w:pStyle w:val="Heading1"/>
      </w:pPr>
      <w:r w:rsidRPr="00705903">
        <w:t>Appendix F:  Robustness Check — Lagged ESG Specification (OLS Regression)</w:t>
      </w:r>
    </w:p>
    <w:p w14:paraId="2D41B9B7" w14:textId="77777777" w:rsidR="00AB238E" w:rsidRPr="00705903" w:rsidRDefault="00AB238E" w:rsidP="0097761F">
      <w:pPr>
        <w:spacing w:line="259" w:lineRule="auto"/>
        <w:ind w:firstLine="0"/>
        <w:jc w:val="both"/>
        <w:rPr>
          <w:sz w:val="20"/>
          <w:szCs w:val="20"/>
          <w:lang w:eastAsia="zh-CN"/>
        </w:rPr>
      </w:pPr>
    </w:p>
    <w:p w14:paraId="4D7E607F"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This table reports OLS regressions of daily stock returns on lagged ESG scores. Each specification uses the ESG or E/S/G sub-scores from year t−1 to predict returns in year t. Standard errors are heteroskedasticity-consistent (HC3). Results show significantly negative coefficients for ESG, E, and S, indicating that higher ESG performance is associated with slightly lower subsequent returns, consistent with the “valuation premium” or “overpricing” hypothesis. The governance (G) coefficient is weakly positive and marginally significant, suggesting that governance quality may reflect distinct market information.</w:t>
      </w:r>
    </w:p>
    <w:p w14:paraId="0448B8C3" w14:textId="77777777" w:rsidR="00AB238E" w:rsidRPr="00705903" w:rsidRDefault="00AB238E" w:rsidP="0097761F">
      <w:pPr>
        <w:spacing w:line="259" w:lineRule="auto"/>
        <w:ind w:firstLine="0"/>
        <w:jc w:val="both"/>
        <w:rPr>
          <w:sz w:val="20"/>
          <w:szCs w:val="20"/>
          <w:lang w:eastAsia="zh-CN"/>
        </w:rPr>
      </w:pPr>
    </w:p>
    <w:tbl>
      <w:tblPr>
        <w:tblStyle w:val="PlainTable2"/>
        <w:tblW w:w="0" w:type="auto"/>
        <w:tblLook w:val="04A0" w:firstRow="1" w:lastRow="0" w:firstColumn="1" w:lastColumn="0" w:noHBand="0" w:noVBand="1"/>
      </w:tblPr>
      <w:tblGrid>
        <w:gridCol w:w="1562"/>
        <w:gridCol w:w="1534"/>
        <w:gridCol w:w="1534"/>
        <w:gridCol w:w="1534"/>
        <w:gridCol w:w="1534"/>
        <w:gridCol w:w="1534"/>
      </w:tblGrid>
      <w:tr w:rsidR="00AB238E" w:rsidRPr="00705903" w14:paraId="2B7DD61D"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4D565" w14:textId="77777777" w:rsidR="00AB238E" w:rsidRPr="00705903" w:rsidRDefault="00AB238E" w:rsidP="0097761F">
            <w:pPr>
              <w:spacing w:line="259" w:lineRule="auto"/>
              <w:ind w:firstLine="0"/>
              <w:jc w:val="both"/>
              <w:rPr>
                <w:b w:val="0"/>
                <w:bCs w:val="0"/>
                <w:sz w:val="20"/>
                <w:szCs w:val="20"/>
                <w:lang w:val="en-US" w:eastAsia="zh-CN"/>
              </w:rPr>
            </w:pPr>
            <w:r w:rsidRPr="00705903">
              <w:rPr>
                <w:b w:val="0"/>
                <w:bCs w:val="0"/>
                <w:sz w:val="20"/>
                <w:szCs w:val="20"/>
                <w:lang w:val="en-US" w:eastAsia="zh-CN"/>
              </w:rPr>
              <w:t>Variable</w:t>
            </w:r>
          </w:p>
        </w:tc>
        <w:tc>
          <w:tcPr>
            <w:tcW w:w="1534" w:type="dxa"/>
            <w:vAlign w:val="center"/>
            <w:hideMark/>
          </w:tcPr>
          <w:p w14:paraId="09DB8B9D"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Coefficient</w:t>
            </w:r>
          </w:p>
        </w:tc>
        <w:tc>
          <w:tcPr>
            <w:tcW w:w="1534" w:type="dxa"/>
            <w:vAlign w:val="center"/>
            <w:hideMark/>
          </w:tcPr>
          <w:p w14:paraId="4687CCB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Std. Error</w:t>
            </w:r>
          </w:p>
        </w:tc>
        <w:tc>
          <w:tcPr>
            <w:tcW w:w="1534" w:type="dxa"/>
            <w:vAlign w:val="center"/>
            <w:hideMark/>
          </w:tcPr>
          <w:p w14:paraId="62C48727"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t-stat (z)</w:t>
            </w:r>
          </w:p>
        </w:tc>
        <w:tc>
          <w:tcPr>
            <w:tcW w:w="1534" w:type="dxa"/>
            <w:vAlign w:val="center"/>
            <w:hideMark/>
          </w:tcPr>
          <w:p w14:paraId="2881CFBE"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p-value</w:t>
            </w:r>
          </w:p>
        </w:tc>
        <w:tc>
          <w:tcPr>
            <w:tcW w:w="1534" w:type="dxa"/>
            <w:vAlign w:val="center"/>
            <w:hideMark/>
          </w:tcPr>
          <w:p w14:paraId="170B6712"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Significance</w:t>
            </w:r>
          </w:p>
        </w:tc>
      </w:tr>
      <w:tr w:rsidR="00AB238E" w:rsidRPr="00705903" w14:paraId="54EC7D8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158BCF55"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ESG Score (t−1)</w:t>
            </w:r>
          </w:p>
        </w:tc>
        <w:tc>
          <w:tcPr>
            <w:tcW w:w="1534" w:type="dxa"/>
            <w:tcBorders>
              <w:bottom w:val="nil"/>
            </w:tcBorders>
            <w:vAlign w:val="center"/>
            <w:hideMark/>
          </w:tcPr>
          <w:p w14:paraId="2F9DBD9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−0.0010</w:t>
            </w:r>
          </w:p>
        </w:tc>
        <w:tc>
          <w:tcPr>
            <w:tcW w:w="1534" w:type="dxa"/>
            <w:tcBorders>
              <w:bottom w:val="nil"/>
            </w:tcBorders>
            <w:vAlign w:val="center"/>
            <w:hideMark/>
          </w:tcPr>
          <w:p w14:paraId="517EBE7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0.0001</w:t>
            </w:r>
          </w:p>
        </w:tc>
        <w:tc>
          <w:tcPr>
            <w:tcW w:w="1534" w:type="dxa"/>
            <w:tcBorders>
              <w:bottom w:val="nil"/>
            </w:tcBorders>
            <w:vAlign w:val="center"/>
            <w:hideMark/>
          </w:tcPr>
          <w:p w14:paraId="065DC40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−9.94</w:t>
            </w:r>
          </w:p>
        </w:tc>
        <w:tc>
          <w:tcPr>
            <w:tcW w:w="1534" w:type="dxa"/>
            <w:tcBorders>
              <w:bottom w:val="nil"/>
            </w:tcBorders>
            <w:vAlign w:val="center"/>
            <w:hideMark/>
          </w:tcPr>
          <w:p w14:paraId="56372B5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0.000</w:t>
            </w:r>
          </w:p>
        </w:tc>
        <w:tc>
          <w:tcPr>
            <w:tcW w:w="1534" w:type="dxa"/>
            <w:tcBorders>
              <w:bottom w:val="nil"/>
            </w:tcBorders>
            <w:vAlign w:val="center"/>
            <w:hideMark/>
          </w:tcPr>
          <w:p w14:paraId="1D86BC2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w:t>
            </w:r>
          </w:p>
        </w:tc>
      </w:tr>
      <w:tr w:rsidR="00AB238E" w:rsidRPr="00705903" w14:paraId="6E77FAA9"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F97A232"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E Score (t−1)</w:t>
            </w:r>
          </w:p>
        </w:tc>
        <w:tc>
          <w:tcPr>
            <w:tcW w:w="1534" w:type="dxa"/>
            <w:tcBorders>
              <w:top w:val="nil"/>
              <w:bottom w:val="nil"/>
            </w:tcBorders>
            <w:vAlign w:val="center"/>
            <w:hideMark/>
          </w:tcPr>
          <w:p w14:paraId="473613F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−0.0006</w:t>
            </w:r>
          </w:p>
        </w:tc>
        <w:tc>
          <w:tcPr>
            <w:tcW w:w="1534" w:type="dxa"/>
            <w:tcBorders>
              <w:top w:val="nil"/>
              <w:bottom w:val="nil"/>
            </w:tcBorders>
            <w:vAlign w:val="center"/>
            <w:hideMark/>
          </w:tcPr>
          <w:p w14:paraId="00A875E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0.0000</w:t>
            </w:r>
          </w:p>
        </w:tc>
        <w:tc>
          <w:tcPr>
            <w:tcW w:w="1534" w:type="dxa"/>
            <w:tcBorders>
              <w:top w:val="nil"/>
              <w:bottom w:val="nil"/>
            </w:tcBorders>
            <w:vAlign w:val="center"/>
            <w:hideMark/>
          </w:tcPr>
          <w:p w14:paraId="59BFAE8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−13.41</w:t>
            </w:r>
          </w:p>
        </w:tc>
        <w:tc>
          <w:tcPr>
            <w:tcW w:w="1534" w:type="dxa"/>
            <w:tcBorders>
              <w:top w:val="nil"/>
              <w:bottom w:val="nil"/>
            </w:tcBorders>
            <w:vAlign w:val="center"/>
            <w:hideMark/>
          </w:tcPr>
          <w:p w14:paraId="29965C5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0.000</w:t>
            </w:r>
          </w:p>
        </w:tc>
        <w:tc>
          <w:tcPr>
            <w:tcW w:w="1534" w:type="dxa"/>
            <w:tcBorders>
              <w:top w:val="nil"/>
              <w:bottom w:val="nil"/>
            </w:tcBorders>
            <w:vAlign w:val="center"/>
            <w:hideMark/>
          </w:tcPr>
          <w:p w14:paraId="0860390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w:t>
            </w:r>
          </w:p>
        </w:tc>
      </w:tr>
      <w:tr w:rsidR="00AB238E" w:rsidRPr="00705903" w14:paraId="5ED6854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BD805AE"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S Score (t−1)</w:t>
            </w:r>
          </w:p>
        </w:tc>
        <w:tc>
          <w:tcPr>
            <w:tcW w:w="1534" w:type="dxa"/>
            <w:tcBorders>
              <w:top w:val="nil"/>
              <w:bottom w:val="nil"/>
            </w:tcBorders>
            <w:vAlign w:val="center"/>
            <w:hideMark/>
          </w:tcPr>
          <w:p w14:paraId="795EA76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−0.0010</w:t>
            </w:r>
          </w:p>
        </w:tc>
        <w:tc>
          <w:tcPr>
            <w:tcW w:w="1534" w:type="dxa"/>
            <w:tcBorders>
              <w:top w:val="nil"/>
              <w:bottom w:val="nil"/>
            </w:tcBorders>
            <w:vAlign w:val="center"/>
            <w:hideMark/>
          </w:tcPr>
          <w:p w14:paraId="3F49B17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0.0001</w:t>
            </w:r>
          </w:p>
        </w:tc>
        <w:tc>
          <w:tcPr>
            <w:tcW w:w="1534" w:type="dxa"/>
            <w:tcBorders>
              <w:top w:val="nil"/>
              <w:bottom w:val="nil"/>
            </w:tcBorders>
            <w:vAlign w:val="center"/>
            <w:hideMark/>
          </w:tcPr>
          <w:p w14:paraId="0929731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−14.21</w:t>
            </w:r>
          </w:p>
        </w:tc>
        <w:tc>
          <w:tcPr>
            <w:tcW w:w="1534" w:type="dxa"/>
            <w:tcBorders>
              <w:top w:val="nil"/>
              <w:bottom w:val="nil"/>
            </w:tcBorders>
            <w:vAlign w:val="center"/>
            <w:hideMark/>
          </w:tcPr>
          <w:p w14:paraId="16317C9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0.000</w:t>
            </w:r>
          </w:p>
        </w:tc>
        <w:tc>
          <w:tcPr>
            <w:tcW w:w="1534" w:type="dxa"/>
            <w:tcBorders>
              <w:top w:val="nil"/>
              <w:bottom w:val="nil"/>
            </w:tcBorders>
            <w:vAlign w:val="center"/>
            <w:hideMark/>
          </w:tcPr>
          <w:p w14:paraId="0386A0E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w:t>
            </w:r>
          </w:p>
        </w:tc>
      </w:tr>
      <w:tr w:rsidR="00AB238E" w:rsidRPr="00705903" w14:paraId="172C14F1"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6C478DE"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G Score (t−1)</w:t>
            </w:r>
          </w:p>
        </w:tc>
        <w:tc>
          <w:tcPr>
            <w:tcW w:w="1534" w:type="dxa"/>
            <w:tcBorders>
              <w:top w:val="nil"/>
              <w:bottom w:val="nil"/>
            </w:tcBorders>
            <w:vAlign w:val="center"/>
            <w:hideMark/>
          </w:tcPr>
          <w:p w14:paraId="1A5DC8B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+0.0002</w:t>
            </w:r>
          </w:p>
        </w:tc>
        <w:tc>
          <w:tcPr>
            <w:tcW w:w="1534" w:type="dxa"/>
            <w:tcBorders>
              <w:top w:val="nil"/>
              <w:bottom w:val="nil"/>
            </w:tcBorders>
            <w:vAlign w:val="center"/>
            <w:hideMark/>
          </w:tcPr>
          <w:p w14:paraId="1AE92BA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0.0001</w:t>
            </w:r>
          </w:p>
        </w:tc>
        <w:tc>
          <w:tcPr>
            <w:tcW w:w="1534" w:type="dxa"/>
            <w:tcBorders>
              <w:top w:val="nil"/>
              <w:bottom w:val="nil"/>
            </w:tcBorders>
            <w:vAlign w:val="center"/>
            <w:hideMark/>
          </w:tcPr>
          <w:p w14:paraId="7E3CA17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+2.16</w:t>
            </w:r>
          </w:p>
        </w:tc>
        <w:tc>
          <w:tcPr>
            <w:tcW w:w="1534" w:type="dxa"/>
            <w:tcBorders>
              <w:top w:val="nil"/>
              <w:bottom w:val="nil"/>
            </w:tcBorders>
            <w:vAlign w:val="center"/>
            <w:hideMark/>
          </w:tcPr>
          <w:p w14:paraId="770A955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0.031</w:t>
            </w:r>
          </w:p>
        </w:tc>
        <w:tc>
          <w:tcPr>
            <w:tcW w:w="1534" w:type="dxa"/>
            <w:tcBorders>
              <w:top w:val="nil"/>
              <w:bottom w:val="nil"/>
            </w:tcBorders>
            <w:vAlign w:val="center"/>
            <w:hideMark/>
          </w:tcPr>
          <w:p w14:paraId="6C0F047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w:t>
            </w:r>
          </w:p>
        </w:tc>
      </w:tr>
      <w:tr w:rsidR="00AB238E" w:rsidRPr="00705903" w14:paraId="7009CFD0"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12C19D3"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Constant</w:t>
            </w:r>
          </w:p>
        </w:tc>
        <w:tc>
          <w:tcPr>
            <w:tcW w:w="1534" w:type="dxa"/>
            <w:tcBorders>
              <w:top w:val="nil"/>
              <w:bottom w:val="nil"/>
            </w:tcBorders>
            <w:vAlign w:val="center"/>
            <w:hideMark/>
          </w:tcPr>
          <w:p w14:paraId="63E776F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0.0558–0.0860</w:t>
            </w:r>
          </w:p>
        </w:tc>
        <w:tc>
          <w:tcPr>
            <w:tcW w:w="1534" w:type="dxa"/>
            <w:tcBorders>
              <w:top w:val="nil"/>
              <w:bottom w:val="nil"/>
            </w:tcBorders>
            <w:vAlign w:val="center"/>
            <w:hideMark/>
          </w:tcPr>
          <w:p w14:paraId="41CAB35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(varies by model)</w:t>
            </w:r>
          </w:p>
        </w:tc>
        <w:tc>
          <w:tcPr>
            <w:tcW w:w="1534" w:type="dxa"/>
            <w:tcBorders>
              <w:top w:val="nil"/>
              <w:bottom w:val="nil"/>
            </w:tcBorders>
            <w:vAlign w:val="center"/>
            <w:hideMark/>
          </w:tcPr>
          <w:p w14:paraId="185029B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w:t>
            </w:r>
          </w:p>
        </w:tc>
        <w:tc>
          <w:tcPr>
            <w:tcW w:w="1534" w:type="dxa"/>
            <w:tcBorders>
              <w:top w:val="nil"/>
              <w:bottom w:val="nil"/>
            </w:tcBorders>
            <w:vAlign w:val="center"/>
            <w:hideMark/>
          </w:tcPr>
          <w:p w14:paraId="565D220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0.000</w:t>
            </w:r>
          </w:p>
        </w:tc>
        <w:tc>
          <w:tcPr>
            <w:tcW w:w="1534" w:type="dxa"/>
            <w:tcBorders>
              <w:top w:val="nil"/>
              <w:bottom w:val="nil"/>
            </w:tcBorders>
            <w:vAlign w:val="center"/>
            <w:hideMark/>
          </w:tcPr>
          <w:p w14:paraId="4DEF4A7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w:t>
            </w:r>
          </w:p>
        </w:tc>
      </w:tr>
      <w:tr w:rsidR="00AB238E" w:rsidRPr="00705903" w14:paraId="572A8AA7"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3764B0F"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Covariance type</w:t>
            </w:r>
          </w:p>
        </w:tc>
        <w:tc>
          <w:tcPr>
            <w:tcW w:w="1534" w:type="dxa"/>
            <w:tcBorders>
              <w:top w:val="nil"/>
              <w:bottom w:val="nil"/>
            </w:tcBorders>
            <w:vAlign w:val="center"/>
            <w:hideMark/>
          </w:tcPr>
          <w:p w14:paraId="2C2A58E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HC3 robust</w:t>
            </w:r>
          </w:p>
        </w:tc>
        <w:tc>
          <w:tcPr>
            <w:tcW w:w="1534" w:type="dxa"/>
            <w:tcBorders>
              <w:top w:val="nil"/>
              <w:bottom w:val="nil"/>
            </w:tcBorders>
            <w:vAlign w:val="center"/>
            <w:hideMark/>
          </w:tcPr>
          <w:p w14:paraId="6FA0DF8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1534" w:type="dxa"/>
            <w:tcBorders>
              <w:top w:val="nil"/>
              <w:bottom w:val="nil"/>
            </w:tcBorders>
            <w:vAlign w:val="center"/>
            <w:hideMark/>
          </w:tcPr>
          <w:p w14:paraId="09ABD01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1534" w:type="dxa"/>
            <w:tcBorders>
              <w:top w:val="nil"/>
              <w:bottom w:val="nil"/>
            </w:tcBorders>
            <w:vAlign w:val="center"/>
            <w:hideMark/>
          </w:tcPr>
          <w:p w14:paraId="1F5B46B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1534" w:type="dxa"/>
            <w:tcBorders>
              <w:top w:val="nil"/>
              <w:bottom w:val="nil"/>
            </w:tcBorders>
            <w:vAlign w:val="center"/>
            <w:hideMark/>
          </w:tcPr>
          <w:p w14:paraId="0BB5C3F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r>
      <w:tr w:rsidR="00AB238E" w:rsidRPr="00705903" w14:paraId="5CCF14DE"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61618EA"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Observations</w:t>
            </w:r>
          </w:p>
        </w:tc>
        <w:tc>
          <w:tcPr>
            <w:tcW w:w="1534" w:type="dxa"/>
            <w:tcBorders>
              <w:top w:val="nil"/>
              <w:bottom w:val="nil"/>
            </w:tcBorders>
            <w:vAlign w:val="center"/>
            <w:hideMark/>
          </w:tcPr>
          <w:p w14:paraId="68C6803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45,199</w:t>
            </w:r>
          </w:p>
        </w:tc>
        <w:tc>
          <w:tcPr>
            <w:tcW w:w="1534" w:type="dxa"/>
            <w:tcBorders>
              <w:top w:val="nil"/>
              <w:bottom w:val="nil"/>
            </w:tcBorders>
            <w:vAlign w:val="center"/>
            <w:hideMark/>
          </w:tcPr>
          <w:p w14:paraId="22322C4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1534" w:type="dxa"/>
            <w:tcBorders>
              <w:top w:val="nil"/>
              <w:bottom w:val="nil"/>
            </w:tcBorders>
            <w:vAlign w:val="center"/>
            <w:hideMark/>
          </w:tcPr>
          <w:p w14:paraId="79D884C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1534" w:type="dxa"/>
            <w:tcBorders>
              <w:top w:val="nil"/>
              <w:bottom w:val="nil"/>
            </w:tcBorders>
            <w:vAlign w:val="center"/>
            <w:hideMark/>
          </w:tcPr>
          <w:p w14:paraId="026A342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1534" w:type="dxa"/>
            <w:tcBorders>
              <w:top w:val="nil"/>
              <w:bottom w:val="nil"/>
            </w:tcBorders>
            <w:vAlign w:val="center"/>
            <w:hideMark/>
          </w:tcPr>
          <w:p w14:paraId="3F5FE48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r>
      <w:tr w:rsidR="00AB238E" w:rsidRPr="00705903" w14:paraId="313397A2"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F6062DE"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R² (overall)</w:t>
            </w:r>
          </w:p>
        </w:tc>
        <w:tc>
          <w:tcPr>
            <w:tcW w:w="1534" w:type="dxa"/>
            <w:tcBorders>
              <w:top w:val="nil"/>
              <w:bottom w:val="nil"/>
            </w:tcBorders>
            <w:vAlign w:val="center"/>
            <w:hideMark/>
          </w:tcPr>
          <w:p w14:paraId="7FBD866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0.003</w:t>
            </w:r>
          </w:p>
        </w:tc>
        <w:tc>
          <w:tcPr>
            <w:tcW w:w="1534" w:type="dxa"/>
            <w:tcBorders>
              <w:top w:val="nil"/>
              <w:bottom w:val="nil"/>
            </w:tcBorders>
            <w:vAlign w:val="center"/>
            <w:hideMark/>
          </w:tcPr>
          <w:p w14:paraId="24DB3B7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1534" w:type="dxa"/>
            <w:tcBorders>
              <w:top w:val="nil"/>
              <w:bottom w:val="nil"/>
            </w:tcBorders>
            <w:vAlign w:val="center"/>
            <w:hideMark/>
          </w:tcPr>
          <w:p w14:paraId="0985613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1534" w:type="dxa"/>
            <w:tcBorders>
              <w:top w:val="nil"/>
              <w:bottom w:val="nil"/>
            </w:tcBorders>
            <w:vAlign w:val="center"/>
            <w:hideMark/>
          </w:tcPr>
          <w:p w14:paraId="5CEEF65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1534" w:type="dxa"/>
            <w:tcBorders>
              <w:top w:val="nil"/>
              <w:bottom w:val="nil"/>
            </w:tcBorders>
            <w:vAlign w:val="center"/>
            <w:hideMark/>
          </w:tcPr>
          <w:p w14:paraId="566D110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r>
      <w:tr w:rsidR="00AB238E" w:rsidRPr="00705903" w14:paraId="0FA1B40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234CE404"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Durbin–Watson</w:t>
            </w:r>
          </w:p>
        </w:tc>
        <w:tc>
          <w:tcPr>
            <w:tcW w:w="1534" w:type="dxa"/>
            <w:tcBorders>
              <w:top w:val="nil"/>
            </w:tcBorders>
            <w:vAlign w:val="center"/>
            <w:hideMark/>
          </w:tcPr>
          <w:p w14:paraId="57D42FD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2.139</w:t>
            </w:r>
          </w:p>
        </w:tc>
        <w:tc>
          <w:tcPr>
            <w:tcW w:w="1534" w:type="dxa"/>
            <w:tcBorders>
              <w:top w:val="nil"/>
            </w:tcBorders>
            <w:vAlign w:val="center"/>
            <w:hideMark/>
          </w:tcPr>
          <w:p w14:paraId="023C226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1534" w:type="dxa"/>
            <w:tcBorders>
              <w:top w:val="nil"/>
            </w:tcBorders>
            <w:vAlign w:val="center"/>
            <w:hideMark/>
          </w:tcPr>
          <w:p w14:paraId="58006DF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1534" w:type="dxa"/>
            <w:tcBorders>
              <w:top w:val="nil"/>
            </w:tcBorders>
            <w:vAlign w:val="center"/>
            <w:hideMark/>
          </w:tcPr>
          <w:p w14:paraId="2388289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1534" w:type="dxa"/>
            <w:tcBorders>
              <w:top w:val="nil"/>
            </w:tcBorders>
            <w:vAlign w:val="center"/>
            <w:hideMark/>
          </w:tcPr>
          <w:p w14:paraId="398A747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r>
    </w:tbl>
    <w:p w14:paraId="4983FAA8" w14:textId="77777777" w:rsidR="00AB238E" w:rsidRPr="00705903" w:rsidRDefault="00AB238E" w:rsidP="0097761F">
      <w:pPr>
        <w:spacing w:line="259" w:lineRule="auto"/>
        <w:ind w:firstLine="0"/>
        <w:jc w:val="both"/>
        <w:rPr>
          <w:sz w:val="20"/>
          <w:szCs w:val="20"/>
          <w:lang w:eastAsia="zh-CN"/>
        </w:rPr>
      </w:pPr>
    </w:p>
    <w:p w14:paraId="6733ECE0" w14:textId="77777777" w:rsidR="00AB238E" w:rsidRPr="00705903" w:rsidRDefault="00AB238E" w:rsidP="0097761F">
      <w:pPr>
        <w:spacing w:after="160" w:line="259" w:lineRule="auto"/>
        <w:ind w:firstLine="0"/>
        <w:jc w:val="both"/>
      </w:pPr>
      <w:r w:rsidRPr="00705903">
        <w:br w:type="page"/>
      </w:r>
    </w:p>
    <w:p w14:paraId="4E133227" w14:textId="77777777" w:rsidR="00AB238E" w:rsidRPr="00705903" w:rsidRDefault="00AB238E" w:rsidP="0097761F">
      <w:pPr>
        <w:pStyle w:val="Heading1"/>
      </w:pPr>
      <w:r w:rsidRPr="00705903">
        <w:t>Appendix G: Robustness Check — Firm and Year Fixed Effects (Panel Regression)</w:t>
      </w:r>
    </w:p>
    <w:p w14:paraId="5177E7C5" w14:textId="77777777" w:rsidR="00AB238E" w:rsidRPr="00705903" w:rsidRDefault="00AB238E" w:rsidP="0097761F">
      <w:pPr>
        <w:spacing w:line="259" w:lineRule="auto"/>
        <w:ind w:firstLine="0"/>
        <w:jc w:val="both"/>
        <w:rPr>
          <w:sz w:val="20"/>
          <w:szCs w:val="20"/>
          <w:lang w:eastAsia="zh-CN"/>
        </w:rPr>
      </w:pPr>
    </w:p>
    <w:p w14:paraId="00035619"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This table reports panel fixed‐effects regressions of stock returns on lagged ESG scores, controlling for firm‐specific and year‐specific effects. Standard errors are clustered by firm to account for serial correlation and heteroskedasticity. The coefficient on lagged ESG (−0.0021) remains negative and highly significant, confirming that the inverse ESG–return relationship is not driven by firm heterogeneity or time effects. These findings reinforce the robustness of the main results: ESG factors in China’s A-share market are contemporaneously priced but not predictive of future returns.</w:t>
      </w:r>
    </w:p>
    <w:p w14:paraId="1B0AB548" w14:textId="77777777" w:rsidR="00AB238E" w:rsidRPr="00705903" w:rsidRDefault="00AB238E" w:rsidP="0097761F">
      <w:pPr>
        <w:spacing w:line="259" w:lineRule="auto"/>
        <w:ind w:firstLine="0"/>
        <w:jc w:val="both"/>
        <w:rPr>
          <w:sz w:val="20"/>
          <w:szCs w:val="20"/>
          <w:lang w:eastAsia="zh-CN"/>
        </w:rPr>
      </w:pPr>
    </w:p>
    <w:p w14:paraId="04D9477B" w14:textId="77777777" w:rsidR="00AB238E" w:rsidRPr="00705903" w:rsidRDefault="00AB238E" w:rsidP="0097761F">
      <w:pPr>
        <w:spacing w:line="259" w:lineRule="auto"/>
        <w:ind w:firstLine="0"/>
        <w:jc w:val="both"/>
        <w:rPr>
          <w:sz w:val="20"/>
          <w:szCs w:val="20"/>
          <w:lang w:eastAsia="zh-CN"/>
        </w:rPr>
      </w:pPr>
    </w:p>
    <w:tbl>
      <w:tblPr>
        <w:tblStyle w:val="PlainTable2"/>
        <w:tblW w:w="0" w:type="auto"/>
        <w:tblLook w:val="04A0" w:firstRow="1" w:lastRow="0" w:firstColumn="1" w:lastColumn="0" w:noHBand="0" w:noVBand="1"/>
      </w:tblPr>
      <w:tblGrid>
        <w:gridCol w:w="2602"/>
        <w:gridCol w:w="1819"/>
        <w:gridCol w:w="1830"/>
        <w:gridCol w:w="679"/>
        <w:gridCol w:w="795"/>
        <w:gridCol w:w="1635"/>
      </w:tblGrid>
      <w:tr w:rsidR="00AB238E" w:rsidRPr="00705903" w14:paraId="1C6ABF3A"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7DD17" w14:textId="77777777" w:rsidR="00AB238E" w:rsidRPr="00705903" w:rsidRDefault="00AB238E" w:rsidP="0097761F">
            <w:pPr>
              <w:spacing w:line="259" w:lineRule="auto"/>
              <w:ind w:firstLine="0"/>
              <w:jc w:val="both"/>
              <w:rPr>
                <w:b w:val="0"/>
                <w:bCs w:val="0"/>
                <w:sz w:val="20"/>
                <w:szCs w:val="20"/>
                <w:lang w:val="en-US" w:eastAsia="zh-CN"/>
              </w:rPr>
            </w:pPr>
            <w:r w:rsidRPr="00705903">
              <w:rPr>
                <w:b w:val="0"/>
                <w:bCs w:val="0"/>
                <w:sz w:val="20"/>
                <w:szCs w:val="20"/>
                <w:lang w:val="en-US" w:eastAsia="zh-CN"/>
              </w:rPr>
              <w:t>Variable</w:t>
            </w:r>
          </w:p>
        </w:tc>
        <w:tc>
          <w:tcPr>
            <w:tcW w:w="0" w:type="auto"/>
            <w:vAlign w:val="center"/>
            <w:hideMark/>
          </w:tcPr>
          <w:p w14:paraId="43097B4F"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Coefficient</w:t>
            </w:r>
          </w:p>
        </w:tc>
        <w:tc>
          <w:tcPr>
            <w:tcW w:w="0" w:type="auto"/>
            <w:vAlign w:val="center"/>
            <w:hideMark/>
          </w:tcPr>
          <w:p w14:paraId="5DCC4D84"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Std. Error</w:t>
            </w:r>
          </w:p>
        </w:tc>
        <w:tc>
          <w:tcPr>
            <w:tcW w:w="0" w:type="auto"/>
            <w:vAlign w:val="center"/>
            <w:hideMark/>
          </w:tcPr>
          <w:p w14:paraId="01C6B1F3"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t-stat</w:t>
            </w:r>
          </w:p>
        </w:tc>
        <w:tc>
          <w:tcPr>
            <w:tcW w:w="0" w:type="auto"/>
            <w:vAlign w:val="center"/>
            <w:hideMark/>
          </w:tcPr>
          <w:p w14:paraId="3EA56775"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p-value</w:t>
            </w:r>
          </w:p>
        </w:tc>
        <w:tc>
          <w:tcPr>
            <w:tcW w:w="1635" w:type="dxa"/>
            <w:vAlign w:val="center"/>
            <w:hideMark/>
          </w:tcPr>
          <w:p w14:paraId="6A7EC57A"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Significance</w:t>
            </w:r>
          </w:p>
        </w:tc>
      </w:tr>
      <w:tr w:rsidR="00AB238E" w:rsidRPr="00705903" w14:paraId="76564763"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636C8BF"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Lagged Overall ESG Score (t−1)</w:t>
            </w:r>
          </w:p>
        </w:tc>
        <w:tc>
          <w:tcPr>
            <w:tcW w:w="0" w:type="auto"/>
            <w:tcBorders>
              <w:bottom w:val="nil"/>
            </w:tcBorders>
            <w:vAlign w:val="center"/>
            <w:hideMark/>
          </w:tcPr>
          <w:p w14:paraId="3EC0157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−0.0021</w:t>
            </w:r>
          </w:p>
        </w:tc>
        <w:tc>
          <w:tcPr>
            <w:tcW w:w="0" w:type="auto"/>
            <w:tcBorders>
              <w:bottom w:val="nil"/>
            </w:tcBorders>
            <w:vAlign w:val="center"/>
            <w:hideMark/>
          </w:tcPr>
          <w:p w14:paraId="6A04340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0.0003</w:t>
            </w:r>
          </w:p>
        </w:tc>
        <w:tc>
          <w:tcPr>
            <w:tcW w:w="0" w:type="auto"/>
            <w:tcBorders>
              <w:bottom w:val="nil"/>
            </w:tcBorders>
            <w:vAlign w:val="center"/>
            <w:hideMark/>
          </w:tcPr>
          <w:p w14:paraId="3E4D849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−6.60</w:t>
            </w:r>
          </w:p>
        </w:tc>
        <w:tc>
          <w:tcPr>
            <w:tcW w:w="0" w:type="auto"/>
            <w:tcBorders>
              <w:bottom w:val="nil"/>
            </w:tcBorders>
            <w:vAlign w:val="center"/>
            <w:hideMark/>
          </w:tcPr>
          <w:p w14:paraId="3EE401E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0.000</w:t>
            </w:r>
          </w:p>
        </w:tc>
        <w:tc>
          <w:tcPr>
            <w:tcW w:w="1635" w:type="dxa"/>
            <w:tcBorders>
              <w:bottom w:val="nil"/>
            </w:tcBorders>
            <w:vAlign w:val="center"/>
            <w:hideMark/>
          </w:tcPr>
          <w:p w14:paraId="4C29B01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w:t>
            </w:r>
          </w:p>
        </w:tc>
      </w:tr>
      <w:tr w:rsidR="00AB238E" w:rsidRPr="00705903" w14:paraId="0BDC4F4C" w14:textId="77777777" w:rsidTr="00A4523E">
        <w:tc>
          <w:tcPr>
            <w:cnfStyle w:val="001000000000" w:firstRow="0" w:lastRow="0" w:firstColumn="1" w:lastColumn="0" w:oddVBand="0" w:evenVBand="0" w:oddHBand="0" w:evenHBand="0" w:firstRowFirstColumn="0" w:firstRowLastColumn="0" w:lastRowFirstColumn="0" w:lastRowLastColumn="0"/>
            <w:tcW w:w="0" w:type="auto"/>
            <w:vMerge/>
            <w:hideMark/>
          </w:tcPr>
          <w:p w14:paraId="66FD8EA8" w14:textId="77777777" w:rsidR="00AB238E" w:rsidRPr="00705903" w:rsidRDefault="00AB238E" w:rsidP="0097761F">
            <w:pPr>
              <w:spacing w:line="259" w:lineRule="auto"/>
              <w:ind w:firstLine="0"/>
              <w:jc w:val="both"/>
              <w:rPr>
                <w:b w:val="0"/>
                <w:bCs w:val="0"/>
                <w:sz w:val="20"/>
                <w:szCs w:val="20"/>
                <w:lang w:val="en-US" w:eastAsia="zh-CN"/>
              </w:rPr>
            </w:pPr>
          </w:p>
        </w:tc>
        <w:tc>
          <w:tcPr>
            <w:tcW w:w="0" w:type="auto"/>
            <w:tcBorders>
              <w:top w:val="nil"/>
              <w:bottom w:val="nil"/>
            </w:tcBorders>
            <w:vAlign w:val="center"/>
            <w:hideMark/>
          </w:tcPr>
          <w:p w14:paraId="2856C03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i/>
                <w:iCs/>
                <w:sz w:val="20"/>
                <w:szCs w:val="20"/>
                <w:lang w:val="en-US" w:eastAsia="zh-CN"/>
              </w:rPr>
            </w:pPr>
            <w:r w:rsidRPr="00705903">
              <w:rPr>
                <w:i/>
                <w:iCs/>
                <w:sz w:val="20"/>
                <w:szCs w:val="20"/>
                <w:lang w:val="en-US" w:eastAsia="zh-CN"/>
              </w:rPr>
              <w:t>Constant</w:t>
            </w:r>
          </w:p>
        </w:tc>
        <w:tc>
          <w:tcPr>
            <w:tcW w:w="0" w:type="auto"/>
            <w:tcBorders>
              <w:top w:val="nil"/>
              <w:bottom w:val="nil"/>
            </w:tcBorders>
            <w:vAlign w:val="center"/>
            <w:hideMark/>
          </w:tcPr>
          <w:p w14:paraId="2319ABA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Included</w:t>
            </w:r>
          </w:p>
        </w:tc>
        <w:tc>
          <w:tcPr>
            <w:tcW w:w="0" w:type="auto"/>
            <w:tcBorders>
              <w:top w:val="nil"/>
              <w:bottom w:val="nil"/>
            </w:tcBorders>
            <w:vAlign w:val="center"/>
            <w:hideMark/>
          </w:tcPr>
          <w:p w14:paraId="2ADA975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0" w:type="auto"/>
            <w:tcBorders>
              <w:top w:val="nil"/>
              <w:bottom w:val="nil"/>
            </w:tcBorders>
            <w:vAlign w:val="center"/>
            <w:hideMark/>
          </w:tcPr>
          <w:p w14:paraId="1EED63A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1635" w:type="dxa"/>
            <w:tcBorders>
              <w:top w:val="nil"/>
              <w:bottom w:val="nil"/>
            </w:tcBorders>
            <w:vAlign w:val="center"/>
            <w:hideMark/>
          </w:tcPr>
          <w:p w14:paraId="14152FE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r>
      <w:tr w:rsidR="00AB238E" w:rsidRPr="00705903" w14:paraId="1EB346A4"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DDAD2EE" w14:textId="77777777" w:rsidR="00AB238E" w:rsidRPr="00705903" w:rsidRDefault="00AB238E" w:rsidP="0097761F">
            <w:pPr>
              <w:spacing w:line="259" w:lineRule="auto"/>
              <w:ind w:firstLine="0"/>
              <w:jc w:val="both"/>
              <w:rPr>
                <w:b w:val="0"/>
                <w:bCs w:val="0"/>
                <w:sz w:val="20"/>
                <w:szCs w:val="20"/>
                <w:lang w:val="en-US" w:eastAsia="zh-CN"/>
              </w:rPr>
            </w:pPr>
          </w:p>
        </w:tc>
        <w:tc>
          <w:tcPr>
            <w:tcW w:w="0" w:type="auto"/>
            <w:tcBorders>
              <w:top w:val="nil"/>
              <w:bottom w:val="nil"/>
            </w:tcBorders>
            <w:vAlign w:val="center"/>
            <w:hideMark/>
          </w:tcPr>
          <w:p w14:paraId="6EDAB06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i/>
                <w:iCs/>
                <w:sz w:val="20"/>
                <w:szCs w:val="20"/>
                <w:lang w:val="en-US" w:eastAsia="zh-CN"/>
              </w:rPr>
            </w:pPr>
            <w:r w:rsidRPr="00705903">
              <w:rPr>
                <w:i/>
                <w:iCs/>
                <w:sz w:val="20"/>
                <w:szCs w:val="20"/>
                <w:lang w:val="en-US" w:eastAsia="zh-CN"/>
              </w:rPr>
              <w:t>Firm Fixed Effects</w:t>
            </w:r>
          </w:p>
        </w:tc>
        <w:tc>
          <w:tcPr>
            <w:tcW w:w="0" w:type="auto"/>
            <w:tcBorders>
              <w:top w:val="nil"/>
              <w:bottom w:val="nil"/>
            </w:tcBorders>
            <w:vAlign w:val="center"/>
            <w:hideMark/>
          </w:tcPr>
          <w:p w14:paraId="56AE453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Yes</w:t>
            </w:r>
          </w:p>
        </w:tc>
        <w:tc>
          <w:tcPr>
            <w:tcW w:w="0" w:type="auto"/>
            <w:tcBorders>
              <w:top w:val="nil"/>
              <w:bottom w:val="nil"/>
            </w:tcBorders>
            <w:vAlign w:val="center"/>
            <w:hideMark/>
          </w:tcPr>
          <w:p w14:paraId="76A3560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0" w:type="auto"/>
            <w:tcBorders>
              <w:top w:val="nil"/>
              <w:bottom w:val="nil"/>
            </w:tcBorders>
            <w:vAlign w:val="center"/>
            <w:hideMark/>
          </w:tcPr>
          <w:p w14:paraId="73284A1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1635" w:type="dxa"/>
            <w:tcBorders>
              <w:top w:val="nil"/>
              <w:bottom w:val="nil"/>
            </w:tcBorders>
            <w:vAlign w:val="center"/>
            <w:hideMark/>
          </w:tcPr>
          <w:p w14:paraId="6BAE745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r>
      <w:tr w:rsidR="00AB238E" w:rsidRPr="00705903" w14:paraId="55C82434" w14:textId="77777777" w:rsidTr="00A4523E">
        <w:tc>
          <w:tcPr>
            <w:cnfStyle w:val="001000000000" w:firstRow="0" w:lastRow="0" w:firstColumn="1" w:lastColumn="0" w:oddVBand="0" w:evenVBand="0" w:oddHBand="0" w:evenHBand="0" w:firstRowFirstColumn="0" w:firstRowLastColumn="0" w:lastRowFirstColumn="0" w:lastRowLastColumn="0"/>
            <w:tcW w:w="0" w:type="auto"/>
            <w:vMerge/>
            <w:hideMark/>
          </w:tcPr>
          <w:p w14:paraId="5EA9CB3B" w14:textId="77777777" w:rsidR="00AB238E" w:rsidRPr="00705903" w:rsidRDefault="00AB238E" w:rsidP="0097761F">
            <w:pPr>
              <w:spacing w:line="259" w:lineRule="auto"/>
              <w:ind w:firstLine="0"/>
              <w:jc w:val="both"/>
              <w:rPr>
                <w:b w:val="0"/>
                <w:bCs w:val="0"/>
                <w:sz w:val="20"/>
                <w:szCs w:val="20"/>
                <w:lang w:val="en-US" w:eastAsia="zh-CN"/>
              </w:rPr>
            </w:pPr>
          </w:p>
        </w:tc>
        <w:tc>
          <w:tcPr>
            <w:tcW w:w="0" w:type="auto"/>
            <w:tcBorders>
              <w:top w:val="nil"/>
              <w:bottom w:val="nil"/>
            </w:tcBorders>
            <w:vAlign w:val="center"/>
            <w:hideMark/>
          </w:tcPr>
          <w:p w14:paraId="32E6857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i/>
                <w:iCs/>
                <w:sz w:val="20"/>
                <w:szCs w:val="20"/>
                <w:lang w:val="en-US" w:eastAsia="zh-CN"/>
              </w:rPr>
            </w:pPr>
            <w:r w:rsidRPr="00705903">
              <w:rPr>
                <w:i/>
                <w:iCs/>
                <w:sz w:val="20"/>
                <w:szCs w:val="20"/>
                <w:lang w:val="en-US" w:eastAsia="zh-CN"/>
              </w:rPr>
              <w:t>Year Fixed Effects</w:t>
            </w:r>
          </w:p>
        </w:tc>
        <w:tc>
          <w:tcPr>
            <w:tcW w:w="0" w:type="auto"/>
            <w:tcBorders>
              <w:top w:val="nil"/>
              <w:bottom w:val="nil"/>
            </w:tcBorders>
            <w:vAlign w:val="center"/>
            <w:hideMark/>
          </w:tcPr>
          <w:p w14:paraId="509B7A8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Yes</w:t>
            </w:r>
          </w:p>
        </w:tc>
        <w:tc>
          <w:tcPr>
            <w:tcW w:w="0" w:type="auto"/>
            <w:tcBorders>
              <w:top w:val="nil"/>
              <w:bottom w:val="nil"/>
            </w:tcBorders>
            <w:vAlign w:val="center"/>
            <w:hideMark/>
          </w:tcPr>
          <w:p w14:paraId="77B770E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0" w:type="auto"/>
            <w:tcBorders>
              <w:top w:val="nil"/>
              <w:bottom w:val="nil"/>
            </w:tcBorders>
            <w:vAlign w:val="center"/>
            <w:hideMark/>
          </w:tcPr>
          <w:p w14:paraId="5372C65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1635" w:type="dxa"/>
            <w:tcBorders>
              <w:top w:val="nil"/>
              <w:bottom w:val="nil"/>
            </w:tcBorders>
            <w:vAlign w:val="center"/>
            <w:hideMark/>
          </w:tcPr>
          <w:p w14:paraId="7530375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r>
      <w:tr w:rsidR="00AB238E" w:rsidRPr="00705903" w14:paraId="0CB9B92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A21B4D5" w14:textId="77777777" w:rsidR="00AB238E" w:rsidRPr="00705903" w:rsidRDefault="00AB238E" w:rsidP="0097761F">
            <w:pPr>
              <w:spacing w:line="259" w:lineRule="auto"/>
              <w:ind w:firstLine="0"/>
              <w:jc w:val="both"/>
              <w:rPr>
                <w:b w:val="0"/>
                <w:bCs w:val="0"/>
                <w:sz w:val="20"/>
                <w:szCs w:val="20"/>
                <w:lang w:val="en-US" w:eastAsia="zh-CN"/>
              </w:rPr>
            </w:pPr>
          </w:p>
        </w:tc>
        <w:tc>
          <w:tcPr>
            <w:tcW w:w="0" w:type="auto"/>
            <w:tcBorders>
              <w:top w:val="nil"/>
              <w:bottom w:val="nil"/>
            </w:tcBorders>
            <w:vAlign w:val="center"/>
            <w:hideMark/>
          </w:tcPr>
          <w:p w14:paraId="7A23365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i/>
                <w:iCs/>
                <w:sz w:val="20"/>
                <w:szCs w:val="20"/>
                <w:lang w:val="en-US" w:eastAsia="zh-CN"/>
              </w:rPr>
            </w:pPr>
            <w:r w:rsidRPr="00705903">
              <w:rPr>
                <w:i/>
                <w:iCs/>
                <w:sz w:val="20"/>
                <w:szCs w:val="20"/>
                <w:lang w:val="en-US" w:eastAsia="zh-CN"/>
              </w:rPr>
              <w:t>Covariance Type</w:t>
            </w:r>
          </w:p>
        </w:tc>
        <w:tc>
          <w:tcPr>
            <w:tcW w:w="0" w:type="auto"/>
            <w:tcBorders>
              <w:top w:val="nil"/>
              <w:bottom w:val="nil"/>
            </w:tcBorders>
            <w:vAlign w:val="center"/>
            <w:hideMark/>
          </w:tcPr>
          <w:p w14:paraId="33E8248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Clustered (firm-level)</w:t>
            </w:r>
          </w:p>
        </w:tc>
        <w:tc>
          <w:tcPr>
            <w:tcW w:w="0" w:type="auto"/>
            <w:tcBorders>
              <w:top w:val="nil"/>
              <w:bottom w:val="nil"/>
            </w:tcBorders>
            <w:vAlign w:val="center"/>
            <w:hideMark/>
          </w:tcPr>
          <w:p w14:paraId="6BCE648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0" w:type="auto"/>
            <w:tcBorders>
              <w:top w:val="nil"/>
              <w:bottom w:val="nil"/>
            </w:tcBorders>
            <w:vAlign w:val="center"/>
            <w:hideMark/>
          </w:tcPr>
          <w:p w14:paraId="67F350D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1635" w:type="dxa"/>
            <w:tcBorders>
              <w:top w:val="nil"/>
              <w:bottom w:val="nil"/>
            </w:tcBorders>
            <w:vAlign w:val="center"/>
            <w:hideMark/>
          </w:tcPr>
          <w:p w14:paraId="7C70C16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r>
      <w:tr w:rsidR="00AB238E" w:rsidRPr="00705903" w14:paraId="23BF8233" w14:textId="77777777" w:rsidTr="00A4523E">
        <w:tc>
          <w:tcPr>
            <w:cnfStyle w:val="001000000000" w:firstRow="0" w:lastRow="0" w:firstColumn="1" w:lastColumn="0" w:oddVBand="0" w:evenVBand="0" w:oddHBand="0" w:evenHBand="0" w:firstRowFirstColumn="0" w:firstRowLastColumn="0" w:lastRowFirstColumn="0" w:lastRowLastColumn="0"/>
            <w:tcW w:w="0" w:type="auto"/>
            <w:vMerge/>
            <w:hideMark/>
          </w:tcPr>
          <w:p w14:paraId="4C011ADB" w14:textId="77777777" w:rsidR="00AB238E" w:rsidRPr="00705903" w:rsidRDefault="00AB238E" w:rsidP="0097761F">
            <w:pPr>
              <w:spacing w:line="259" w:lineRule="auto"/>
              <w:ind w:firstLine="0"/>
              <w:jc w:val="both"/>
              <w:rPr>
                <w:b w:val="0"/>
                <w:bCs w:val="0"/>
                <w:sz w:val="20"/>
                <w:szCs w:val="20"/>
                <w:lang w:val="en-US" w:eastAsia="zh-CN"/>
              </w:rPr>
            </w:pPr>
          </w:p>
        </w:tc>
        <w:tc>
          <w:tcPr>
            <w:tcW w:w="0" w:type="auto"/>
            <w:tcBorders>
              <w:top w:val="nil"/>
              <w:bottom w:val="nil"/>
            </w:tcBorders>
            <w:vAlign w:val="center"/>
            <w:hideMark/>
          </w:tcPr>
          <w:p w14:paraId="61702FE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i/>
                <w:iCs/>
                <w:sz w:val="20"/>
                <w:szCs w:val="20"/>
                <w:lang w:val="en-US" w:eastAsia="zh-CN"/>
              </w:rPr>
            </w:pPr>
            <w:r w:rsidRPr="00705903">
              <w:rPr>
                <w:i/>
                <w:iCs/>
                <w:sz w:val="20"/>
                <w:szCs w:val="20"/>
                <w:lang w:val="en-US" w:eastAsia="zh-CN"/>
              </w:rPr>
              <w:t>Observations</w:t>
            </w:r>
          </w:p>
        </w:tc>
        <w:tc>
          <w:tcPr>
            <w:tcW w:w="0" w:type="auto"/>
            <w:tcBorders>
              <w:top w:val="nil"/>
              <w:bottom w:val="nil"/>
            </w:tcBorders>
            <w:vAlign w:val="center"/>
            <w:hideMark/>
          </w:tcPr>
          <w:p w14:paraId="27EAA3C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45,199</w:t>
            </w:r>
          </w:p>
        </w:tc>
        <w:tc>
          <w:tcPr>
            <w:tcW w:w="0" w:type="auto"/>
            <w:tcBorders>
              <w:top w:val="nil"/>
              <w:bottom w:val="nil"/>
            </w:tcBorders>
            <w:vAlign w:val="center"/>
            <w:hideMark/>
          </w:tcPr>
          <w:p w14:paraId="6F9A1AF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0" w:type="auto"/>
            <w:tcBorders>
              <w:top w:val="nil"/>
              <w:bottom w:val="nil"/>
            </w:tcBorders>
            <w:vAlign w:val="center"/>
            <w:hideMark/>
          </w:tcPr>
          <w:p w14:paraId="0608E0A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1635" w:type="dxa"/>
            <w:tcBorders>
              <w:top w:val="nil"/>
              <w:bottom w:val="nil"/>
            </w:tcBorders>
            <w:vAlign w:val="center"/>
            <w:hideMark/>
          </w:tcPr>
          <w:p w14:paraId="1DA0253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r>
      <w:tr w:rsidR="00AB238E" w:rsidRPr="00705903" w14:paraId="0C55A52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4F29741" w14:textId="77777777" w:rsidR="00AB238E" w:rsidRPr="00705903" w:rsidRDefault="00AB238E" w:rsidP="0097761F">
            <w:pPr>
              <w:spacing w:line="259" w:lineRule="auto"/>
              <w:ind w:firstLine="0"/>
              <w:jc w:val="both"/>
              <w:rPr>
                <w:b w:val="0"/>
                <w:bCs w:val="0"/>
                <w:sz w:val="20"/>
                <w:szCs w:val="20"/>
                <w:lang w:val="en-US" w:eastAsia="zh-CN"/>
              </w:rPr>
            </w:pPr>
          </w:p>
        </w:tc>
        <w:tc>
          <w:tcPr>
            <w:tcW w:w="0" w:type="auto"/>
            <w:tcBorders>
              <w:top w:val="nil"/>
              <w:bottom w:val="nil"/>
            </w:tcBorders>
            <w:vAlign w:val="center"/>
            <w:hideMark/>
          </w:tcPr>
          <w:p w14:paraId="69A138F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i/>
                <w:iCs/>
                <w:sz w:val="20"/>
                <w:szCs w:val="20"/>
                <w:lang w:val="en-US" w:eastAsia="zh-CN"/>
              </w:rPr>
            </w:pPr>
            <w:r w:rsidRPr="00705903">
              <w:rPr>
                <w:i/>
                <w:iCs/>
                <w:sz w:val="20"/>
                <w:szCs w:val="20"/>
                <w:lang w:val="en-US" w:eastAsia="zh-CN"/>
              </w:rPr>
              <w:t>Firms</w:t>
            </w:r>
          </w:p>
        </w:tc>
        <w:tc>
          <w:tcPr>
            <w:tcW w:w="0" w:type="auto"/>
            <w:tcBorders>
              <w:top w:val="nil"/>
              <w:bottom w:val="nil"/>
            </w:tcBorders>
            <w:vAlign w:val="center"/>
            <w:hideMark/>
          </w:tcPr>
          <w:p w14:paraId="6913E10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4,853</w:t>
            </w:r>
          </w:p>
        </w:tc>
        <w:tc>
          <w:tcPr>
            <w:tcW w:w="0" w:type="auto"/>
            <w:tcBorders>
              <w:top w:val="nil"/>
              <w:bottom w:val="nil"/>
            </w:tcBorders>
            <w:vAlign w:val="center"/>
            <w:hideMark/>
          </w:tcPr>
          <w:p w14:paraId="3AABCBD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0" w:type="auto"/>
            <w:tcBorders>
              <w:top w:val="nil"/>
              <w:bottom w:val="nil"/>
            </w:tcBorders>
            <w:vAlign w:val="center"/>
            <w:hideMark/>
          </w:tcPr>
          <w:p w14:paraId="6BB6CC5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1635" w:type="dxa"/>
            <w:tcBorders>
              <w:top w:val="nil"/>
              <w:bottom w:val="nil"/>
            </w:tcBorders>
            <w:vAlign w:val="center"/>
            <w:hideMark/>
          </w:tcPr>
          <w:p w14:paraId="5ECA276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r>
      <w:tr w:rsidR="00AB238E" w:rsidRPr="00705903" w14:paraId="3EEF7741" w14:textId="77777777" w:rsidTr="00A4523E">
        <w:tc>
          <w:tcPr>
            <w:cnfStyle w:val="001000000000" w:firstRow="0" w:lastRow="0" w:firstColumn="1" w:lastColumn="0" w:oddVBand="0" w:evenVBand="0" w:oddHBand="0" w:evenHBand="0" w:firstRowFirstColumn="0" w:firstRowLastColumn="0" w:lastRowFirstColumn="0" w:lastRowLastColumn="0"/>
            <w:tcW w:w="0" w:type="auto"/>
            <w:vMerge/>
            <w:hideMark/>
          </w:tcPr>
          <w:p w14:paraId="4CADBF1B" w14:textId="77777777" w:rsidR="00AB238E" w:rsidRPr="00705903" w:rsidRDefault="00AB238E" w:rsidP="0097761F">
            <w:pPr>
              <w:spacing w:line="259" w:lineRule="auto"/>
              <w:ind w:firstLine="0"/>
              <w:jc w:val="both"/>
              <w:rPr>
                <w:b w:val="0"/>
                <w:bCs w:val="0"/>
                <w:sz w:val="20"/>
                <w:szCs w:val="20"/>
                <w:lang w:val="en-US" w:eastAsia="zh-CN"/>
              </w:rPr>
            </w:pPr>
          </w:p>
        </w:tc>
        <w:tc>
          <w:tcPr>
            <w:tcW w:w="0" w:type="auto"/>
            <w:tcBorders>
              <w:top w:val="nil"/>
              <w:bottom w:val="nil"/>
            </w:tcBorders>
            <w:vAlign w:val="center"/>
            <w:hideMark/>
          </w:tcPr>
          <w:p w14:paraId="408944E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i/>
                <w:iCs/>
                <w:sz w:val="20"/>
                <w:szCs w:val="20"/>
                <w:lang w:val="en-US" w:eastAsia="zh-CN"/>
              </w:rPr>
            </w:pPr>
            <w:r w:rsidRPr="00705903">
              <w:rPr>
                <w:i/>
                <w:iCs/>
                <w:sz w:val="20"/>
                <w:szCs w:val="20"/>
                <w:lang w:val="en-US" w:eastAsia="zh-CN"/>
              </w:rPr>
              <w:t>Time Periods</w:t>
            </w:r>
          </w:p>
        </w:tc>
        <w:tc>
          <w:tcPr>
            <w:tcW w:w="0" w:type="auto"/>
            <w:tcBorders>
              <w:top w:val="nil"/>
              <w:bottom w:val="nil"/>
            </w:tcBorders>
            <w:vAlign w:val="center"/>
            <w:hideMark/>
          </w:tcPr>
          <w:p w14:paraId="6D25207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16</w:t>
            </w:r>
          </w:p>
        </w:tc>
        <w:tc>
          <w:tcPr>
            <w:tcW w:w="0" w:type="auto"/>
            <w:tcBorders>
              <w:top w:val="nil"/>
              <w:bottom w:val="nil"/>
            </w:tcBorders>
            <w:vAlign w:val="center"/>
            <w:hideMark/>
          </w:tcPr>
          <w:p w14:paraId="445A76A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0" w:type="auto"/>
            <w:tcBorders>
              <w:top w:val="nil"/>
              <w:bottom w:val="nil"/>
            </w:tcBorders>
            <w:vAlign w:val="center"/>
            <w:hideMark/>
          </w:tcPr>
          <w:p w14:paraId="5D87ACC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1635" w:type="dxa"/>
            <w:tcBorders>
              <w:top w:val="nil"/>
              <w:bottom w:val="nil"/>
            </w:tcBorders>
            <w:vAlign w:val="center"/>
            <w:hideMark/>
          </w:tcPr>
          <w:p w14:paraId="38FC37A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r>
      <w:tr w:rsidR="00AB238E" w:rsidRPr="00705903" w14:paraId="4B6C81F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3BEC8F1" w14:textId="77777777" w:rsidR="00AB238E" w:rsidRPr="00705903" w:rsidRDefault="00AB238E" w:rsidP="0097761F">
            <w:pPr>
              <w:spacing w:line="259" w:lineRule="auto"/>
              <w:ind w:firstLine="0"/>
              <w:jc w:val="both"/>
              <w:rPr>
                <w:b w:val="0"/>
                <w:bCs w:val="0"/>
                <w:sz w:val="20"/>
                <w:szCs w:val="20"/>
                <w:lang w:val="en-US" w:eastAsia="zh-CN"/>
              </w:rPr>
            </w:pPr>
          </w:p>
        </w:tc>
        <w:tc>
          <w:tcPr>
            <w:tcW w:w="0" w:type="auto"/>
            <w:tcBorders>
              <w:top w:val="nil"/>
              <w:bottom w:val="nil"/>
            </w:tcBorders>
            <w:vAlign w:val="center"/>
            <w:hideMark/>
          </w:tcPr>
          <w:p w14:paraId="492F6E3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i/>
                <w:iCs/>
                <w:sz w:val="20"/>
                <w:szCs w:val="20"/>
                <w:lang w:val="en-US" w:eastAsia="zh-CN"/>
              </w:rPr>
            </w:pPr>
            <w:r w:rsidRPr="00705903">
              <w:rPr>
                <w:i/>
                <w:iCs/>
                <w:sz w:val="20"/>
                <w:szCs w:val="20"/>
                <w:lang w:val="en-US" w:eastAsia="zh-CN"/>
              </w:rPr>
              <w:t>R² (Within)</w:t>
            </w:r>
          </w:p>
        </w:tc>
        <w:tc>
          <w:tcPr>
            <w:tcW w:w="0" w:type="auto"/>
            <w:tcBorders>
              <w:top w:val="nil"/>
              <w:bottom w:val="nil"/>
            </w:tcBorders>
            <w:vAlign w:val="center"/>
            <w:hideMark/>
          </w:tcPr>
          <w:p w14:paraId="3BA4E5D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0.0021</w:t>
            </w:r>
          </w:p>
        </w:tc>
        <w:tc>
          <w:tcPr>
            <w:tcW w:w="0" w:type="auto"/>
            <w:tcBorders>
              <w:top w:val="nil"/>
              <w:bottom w:val="nil"/>
            </w:tcBorders>
            <w:vAlign w:val="center"/>
            <w:hideMark/>
          </w:tcPr>
          <w:p w14:paraId="40122E1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0" w:type="auto"/>
            <w:tcBorders>
              <w:top w:val="nil"/>
              <w:bottom w:val="nil"/>
            </w:tcBorders>
            <w:vAlign w:val="center"/>
            <w:hideMark/>
          </w:tcPr>
          <w:p w14:paraId="147FF38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1635" w:type="dxa"/>
            <w:tcBorders>
              <w:top w:val="nil"/>
              <w:bottom w:val="nil"/>
            </w:tcBorders>
            <w:vAlign w:val="center"/>
            <w:hideMark/>
          </w:tcPr>
          <w:p w14:paraId="0BAEC94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r>
      <w:tr w:rsidR="00AB238E" w:rsidRPr="00705903" w14:paraId="28EBDE55" w14:textId="77777777" w:rsidTr="00A4523E">
        <w:tc>
          <w:tcPr>
            <w:cnfStyle w:val="001000000000" w:firstRow="0" w:lastRow="0" w:firstColumn="1" w:lastColumn="0" w:oddVBand="0" w:evenVBand="0" w:oddHBand="0" w:evenHBand="0" w:firstRowFirstColumn="0" w:firstRowLastColumn="0" w:lastRowFirstColumn="0" w:lastRowLastColumn="0"/>
            <w:tcW w:w="0" w:type="auto"/>
            <w:vMerge/>
            <w:hideMark/>
          </w:tcPr>
          <w:p w14:paraId="1CC273B1" w14:textId="77777777" w:rsidR="00AB238E" w:rsidRPr="00705903" w:rsidRDefault="00AB238E" w:rsidP="0097761F">
            <w:pPr>
              <w:spacing w:line="259" w:lineRule="auto"/>
              <w:ind w:firstLine="0"/>
              <w:jc w:val="both"/>
              <w:rPr>
                <w:b w:val="0"/>
                <w:bCs w:val="0"/>
                <w:sz w:val="20"/>
                <w:szCs w:val="20"/>
                <w:lang w:val="en-US" w:eastAsia="zh-CN"/>
              </w:rPr>
            </w:pPr>
          </w:p>
        </w:tc>
        <w:tc>
          <w:tcPr>
            <w:tcW w:w="0" w:type="auto"/>
            <w:tcBorders>
              <w:top w:val="nil"/>
              <w:bottom w:val="nil"/>
            </w:tcBorders>
            <w:vAlign w:val="center"/>
            <w:hideMark/>
          </w:tcPr>
          <w:p w14:paraId="6ADCFF0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i/>
                <w:iCs/>
                <w:sz w:val="20"/>
                <w:szCs w:val="20"/>
                <w:lang w:val="en-US" w:eastAsia="zh-CN"/>
              </w:rPr>
            </w:pPr>
            <w:r w:rsidRPr="00705903">
              <w:rPr>
                <w:i/>
                <w:iCs/>
                <w:sz w:val="20"/>
                <w:szCs w:val="20"/>
                <w:lang w:val="en-US" w:eastAsia="zh-CN"/>
              </w:rPr>
              <w:t>R² (Between)</w:t>
            </w:r>
          </w:p>
        </w:tc>
        <w:tc>
          <w:tcPr>
            <w:tcW w:w="0" w:type="auto"/>
            <w:tcBorders>
              <w:top w:val="nil"/>
              <w:bottom w:val="nil"/>
            </w:tcBorders>
            <w:vAlign w:val="center"/>
            <w:hideMark/>
          </w:tcPr>
          <w:p w14:paraId="3B3186F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−0.6712</w:t>
            </w:r>
          </w:p>
        </w:tc>
        <w:tc>
          <w:tcPr>
            <w:tcW w:w="0" w:type="auto"/>
            <w:tcBorders>
              <w:top w:val="nil"/>
              <w:bottom w:val="nil"/>
            </w:tcBorders>
            <w:vAlign w:val="center"/>
            <w:hideMark/>
          </w:tcPr>
          <w:p w14:paraId="761290B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0" w:type="auto"/>
            <w:tcBorders>
              <w:top w:val="nil"/>
              <w:bottom w:val="nil"/>
            </w:tcBorders>
            <w:vAlign w:val="center"/>
            <w:hideMark/>
          </w:tcPr>
          <w:p w14:paraId="414662B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1635" w:type="dxa"/>
            <w:tcBorders>
              <w:top w:val="nil"/>
              <w:bottom w:val="nil"/>
            </w:tcBorders>
            <w:vAlign w:val="center"/>
            <w:hideMark/>
          </w:tcPr>
          <w:p w14:paraId="444512B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r>
      <w:tr w:rsidR="00AB238E" w:rsidRPr="00705903" w14:paraId="1A04E2C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BBD3346" w14:textId="77777777" w:rsidR="00AB238E" w:rsidRPr="00705903" w:rsidRDefault="00AB238E" w:rsidP="0097761F">
            <w:pPr>
              <w:spacing w:line="259" w:lineRule="auto"/>
              <w:ind w:firstLine="0"/>
              <w:jc w:val="both"/>
              <w:rPr>
                <w:b w:val="0"/>
                <w:bCs w:val="0"/>
                <w:sz w:val="20"/>
                <w:szCs w:val="20"/>
                <w:lang w:val="en-US" w:eastAsia="zh-CN"/>
              </w:rPr>
            </w:pPr>
          </w:p>
        </w:tc>
        <w:tc>
          <w:tcPr>
            <w:tcW w:w="0" w:type="auto"/>
            <w:tcBorders>
              <w:top w:val="nil"/>
              <w:bottom w:val="nil"/>
            </w:tcBorders>
            <w:vAlign w:val="center"/>
            <w:hideMark/>
          </w:tcPr>
          <w:p w14:paraId="246500D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i/>
                <w:iCs/>
                <w:sz w:val="20"/>
                <w:szCs w:val="20"/>
                <w:lang w:val="en-US" w:eastAsia="zh-CN"/>
              </w:rPr>
            </w:pPr>
            <w:r w:rsidRPr="00705903">
              <w:rPr>
                <w:i/>
                <w:iCs/>
                <w:sz w:val="20"/>
                <w:szCs w:val="20"/>
                <w:lang w:val="en-US" w:eastAsia="zh-CN"/>
              </w:rPr>
              <w:t>R² (Overall)</w:t>
            </w:r>
          </w:p>
        </w:tc>
        <w:tc>
          <w:tcPr>
            <w:tcW w:w="0" w:type="auto"/>
            <w:tcBorders>
              <w:top w:val="nil"/>
              <w:bottom w:val="nil"/>
            </w:tcBorders>
            <w:vAlign w:val="center"/>
            <w:hideMark/>
          </w:tcPr>
          <w:p w14:paraId="51DCF31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−0.1737</w:t>
            </w:r>
          </w:p>
        </w:tc>
        <w:tc>
          <w:tcPr>
            <w:tcW w:w="0" w:type="auto"/>
            <w:tcBorders>
              <w:top w:val="nil"/>
              <w:bottom w:val="nil"/>
            </w:tcBorders>
            <w:vAlign w:val="center"/>
            <w:hideMark/>
          </w:tcPr>
          <w:p w14:paraId="2467B1A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0" w:type="auto"/>
            <w:tcBorders>
              <w:top w:val="nil"/>
              <w:bottom w:val="nil"/>
            </w:tcBorders>
            <w:vAlign w:val="center"/>
            <w:hideMark/>
          </w:tcPr>
          <w:p w14:paraId="3916E86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1635" w:type="dxa"/>
            <w:tcBorders>
              <w:top w:val="nil"/>
              <w:bottom w:val="nil"/>
            </w:tcBorders>
            <w:vAlign w:val="center"/>
            <w:hideMark/>
          </w:tcPr>
          <w:p w14:paraId="3EDF5D2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r>
      <w:tr w:rsidR="00AB238E" w:rsidRPr="00705903" w14:paraId="2232B8DE" w14:textId="77777777" w:rsidTr="00A4523E">
        <w:tc>
          <w:tcPr>
            <w:cnfStyle w:val="001000000000" w:firstRow="0" w:lastRow="0" w:firstColumn="1" w:lastColumn="0" w:oddVBand="0" w:evenVBand="0" w:oddHBand="0" w:evenHBand="0" w:firstRowFirstColumn="0" w:firstRowLastColumn="0" w:lastRowFirstColumn="0" w:lastRowLastColumn="0"/>
            <w:tcW w:w="0" w:type="auto"/>
            <w:vMerge/>
            <w:hideMark/>
          </w:tcPr>
          <w:p w14:paraId="487BD430" w14:textId="77777777" w:rsidR="00AB238E" w:rsidRPr="00705903" w:rsidRDefault="00AB238E" w:rsidP="0097761F">
            <w:pPr>
              <w:spacing w:line="259" w:lineRule="auto"/>
              <w:ind w:firstLine="0"/>
              <w:jc w:val="both"/>
              <w:rPr>
                <w:b w:val="0"/>
                <w:bCs w:val="0"/>
                <w:sz w:val="20"/>
                <w:szCs w:val="20"/>
                <w:lang w:val="en-US" w:eastAsia="zh-CN"/>
              </w:rPr>
            </w:pPr>
          </w:p>
        </w:tc>
        <w:tc>
          <w:tcPr>
            <w:tcW w:w="0" w:type="auto"/>
            <w:tcBorders>
              <w:top w:val="nil"/>
              <w:bottom w:val="nil"/>
            </w:tcBorders>
            <w:vAlign w:val="center"/>
            <w:hideMark/>
          </w:tcPr>
          <w:p w14:paraId="5188199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i/>
                <w:iCs/>
                <w:sz w:val="20"/>
                <w:szCs w:val="20"/>
                <w:lang w:val="en-US" w:eastAsia="zh-CN"/>
              </w:rPr>
            </w:pPr>
            <w:r w:rsidRPr="00705903">
              <w:rPr>
                <w:i/>
                <w:iCs/>
                <w:sz w:val="20"/>
                <w:szCs w:val="20"/>
                <w:lang w:val="en-US" w:eastAsia="zh-CN"/>
              </w:rPr>
              <w:t>F-statistic (robust)</w:t>
            </w:r>
          </w:p>
        </w:tc>
        <w:tc>
          <w:tcPr>
            <w:tcW w:w="0" w:type="auto"/>
            <w:tcBorders>
              <w:top w:val="nil"/>
              <w:bottom w:val="nil"/>
            </w:tcBorders>
            <w:vAlign w:val="center"/>
            <w:hideMark/>
          </w:tcPr>
          <w:p w14:paraId="6D4B969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43.52</w:t>
            </w:r>
          </w:p>
        </w:tc>
        <w:tc>
          <w:tcPr>
            <w:tcW w:w="0" w:type="auto"/>
            <w:tcBorders>
              <w:top w:val="nil"/>
              <w:bottom w:val="nil"/>
            </w:tcBorders>
            <w:vAlign w:val="center"/>
            <w:hideMark/>
          </w:tcPr>
          <w:p w14:paraId="07DE0B8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0" w:type="auto"/>
            <w:tcBorders>
              <w:top w:val="nil"/>
              <w:bottom w:val="nil"/>
            </w:tcBorders>
            <w:vAlign w:val="center"/>
            <w:hideMark/>
          </w:tcPr>
          <w:p w14:paraId="6C6D3C0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c>
          <w:tcPr>
            <w:tcW w:w="1635" w:type="dxa"/>
            <w:tcBorders>
              <w:top w:val="nil"/>
              <w:bottom w:val="nil"/>
            </w:tcBorders>
            <w:vAlign w:val="center"/>
            <w:hideMark/>
          </w:tcPr>
          <w:p w14:paraId="35A5517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
        </w:tc>
      </w:tr>
      <w:tr w:rsidR="00AB238E" w:rsidRPr="00705903" w14:paraId="23B8B2B2"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EEADB71" w14:textId="77777777" w:rsidR="00AB238E" w:rsidRPr="00705903" w:rsidRDefault="00AB238E" w:rsidP="0097761F">
            <w:pPr>
              <w:spacing w:line="259" w:lineRule="auto"/>
              <w:ind w:firstLine="0"/>
              <w:jc w:val="both"/>
              <w:rPr>
                <w:b w:val="0"/>
                <w:bCs w:val="0"/>
                <w:sz w:val="20"/>
                <w:szCs w:val="20"/>
                <w:lang w:val="en-US" w:eastAsia="zh-CN"/>
              </w:rPr>
            </w:pPr>
          </w:p>
        </w:tc>
        <w:tc>
          <w:tcPr>
            <w:tcW w:w="0" w:type="auto"/>
            <w:tcBorders>
              <w:top w:val="nil"/>
            </w:tcBorders>
            <w:vAlign w:val="center"/>
            <w:hideMark/>
          </w:tcPr>
          <w:p w14:paraId="62F139C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i/>
                <w:iCs/>
                <w:sz w:val="20"/>
                <w:szCs w:val="20"/>
                <w:lang w:val="en-US" w:eastAsia="zh-CN"/>
              </w:rPr>
            </w:pPr>
            <w:r w:rsidRPr="00705903">
              <w:rPr>
                <w:i/>
                <w:iCs/>
                <w:sz w:val="20"/>
                <w:szCs w:val="20"/>
                <w:lang w:val="en-US" w:eastAsia="zh-CN"/>
              </w:rPr>
              <w:t xml:space="preserve">F-test for </w:t>
            </w:r>
            <w:proofErr w:type="spellStart"/>
            <w:r w:rsidRPr="00705903">
              <w:rPr>
                <w:i/>
                <w:iCs/>
                <w:sz w:val="20"/>
                <w:szCs w:val="20"/>
                <w:lang w:val="en-US" w:eastAsia="zh-CN"/>
              </w:rPr>
              <w:t>Poolability</w:t>
            </w:r>
            <w:proofErr w:type="spellEnd"/>
          </w:p>
        </w:tc>
        <w:tc>
          <w:tcPr>
            <w:tcW w:w="0" w:type="auto"/>
            <w:tcBorders>
              <w:top w:val="nil"/>
            </w:tcBorders>
            <w:vAlign w:val="center"/>
            <w:hideMark/>
          </w:tcPr>
          <w:p w14:paraId="5B420B7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7.23 (p = 0.000)</w:t>
            </w:r>
          </w:p>
        </w:tc>
        <w:tc>
          <w:tcPr>
            <w:tcW w:w="0" w:type="auto"/>
            <w:tcBorders>
              <w:top w:val="nil"/>
            </w:tcBorders>
            <w:vAlign w:val="center"/>
            <w:hideMark/>
          </w:tcPr>
          <w:p w14:paraId="0FBF9AD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0" w:type="auto"/>
            <w:tcBorders>
              <w:top w:val="nil"/>
            </w:tcBorders>
            <w:vAlign w:val="center"/>
            <w:hideMark/>
          </w:tcPr>
          <w:p w14:paraId="44A4218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c>
          <w:tcPr>
            <w:tcW w:w="1635" w:type="dxa"/>
            <w:tcBorders>
              <w:top w:val="nil"/>
            </w:tcBorders>
            <w:vAlign w:val="center"/>
            <w:hideMark/>
          </w:tcPr>
          <w:p w14:paraId="67A7998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p>
        </w:tc>
      </w:tr>
    </w:tbl>
    <w:p w14:paraId="7FAC1F6A" w14:textId="77777777" w:rsidR="00AB238E" w:rsidRPr="00705903" w:rsidRDefault="00AB238E" w:rsidP="0097761F">
      <w:pPr>
        <w:spacing w:after="160" w:line="259" w:lineRule="auto"/>
        <w:ind w:firstLine="0"/>
        <w:jc w:val="both"/>
        <w:rPr>
          <w:sz w:val="20"/>
          <w:szCs w:val="20"/>
        </w:rPr>
      </w:pPr>
    </w:p>
    <w:p w14:paraId="093E3406" w14:textId="77777777" w:rsidR="00AB238E" w:rsidRPr="00705903" w:rsidRDefault="00AB238E" w:rsidP="0097761F">
      <w:pPr>
        <w:spacing w:after="160" w:line="259" w:lineRule="auto"/>
        <w:ind w:firstLine="0"/>
        <w:jc w:val="both"/>
      </w:pPr>
    </w:p>
    <w:p w14:paraId="325E903D" w14:textId="77777777" w:rsidR="00AB238E" w:rsidRPr="00705903" w:rsidRDefault="00AB238E" w:rsidP="0097761F">
      <w:pPr>
        <w:spacing w:after="160" w:line="259" w:lineRule="auto"/>
        <w:ind w:firstLine="0"/>
        <w:jc w:val="both"/>
        <w:rPr>
          <w:b/>
          <w:bCs/>
          <w:szCs w:val="24"/>
          <w:lang w:val="en-US" w:eastAsia="zh-CN"/>
        </w:rPr>
      </w:pPr>
      <w:r w:rsidRPr="00705903">
        <w:br w:type="page"/>
      </w:r>
    </w:p>
    <w:p w14:paraId="70D047A1" w14:textId="77777777" w:rsidR="00AB238E" w:rsidRPr="00705903" w:rsidRDefault="00AB238E" w:rsidP="0097761F">
      <w:pPr>
        <w:pStyle w:val="Heading1"/>
      </w:pPr>
      <w:r w:rsidRPr="00705903">
        <w:t>Table 1: ESG Rating Coverage Ratio by GICS Industry (2007–2022)</w:t>
      </w:r>
    </w:p>
    <w:p w14:paraId="0158D2AB" w14:textId="77777777" w:rsidR="00AB238E" w:rsidRPr="00705903" w:rsidRDefault="00AB238E" w:rsidP="0097761F">
      <w:pPr>
        <w:spacing w:line="276" w:lineRule="auto"/>
        <w:ind w:firstLine="0"/>
        <w:jc w:val="both"/>
        <w:rPr>
          <w:sz w:val="20"/>
          <w:szCs w:val="20"/>
          <w:lang w:val="en-US" w:eastAsia="zh-CN"/>
        </w:rPr>
      </w:pPr>
    </w:p>
    <w:p w14:paraId="4796A23E"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This table reports the ESG rating coverage ratio by GICS Level 1 industry classification based on Wind industry codes as of February 2025. The coverage ratio is defined as the proportion of firms within each industry that have available ESG ratings in the CNRDS database during the sample period from 2005 to 2024. A higher ratio indicates broader ESG data availability and reporting penetration within the industry.</w:t>
      </w:r>
    </w:p>
    <w:p w14:paraId="78DB003C" w14:textId="77777777" w:rsidR="00AB238E" w:rsidRPr="00705903" w:rsidRDefault="00AB238E" w:rsidP="0097761F">
      <w:pPr>
        <w:spacing w:line="276" w:lineRule="auto"/>
        <w:ind w:firstLine="0"/>
        <w:jc w:val="both"/>
        <w:rPr>
          <w:sz w:val="20"/>
          <w:szCs w:val="20"/>
          <w:lang w:val="en-US" w:eastAsia="zh-CN"/>
        </w:rPr>
      </w:pPr>
    </w:p>
    <w:p w14:paraId="04A4EFB1" w14:textId="77777777" w:rsidR="00AB238E" w:rsidRPr="00705903" w:rsidRDefault="00AB238E" w:rsidP="0097761F">
      <w:pPr>
        <w:spacing w:line="276" w:lineRule="auto"/>
        <w:ind w:firstLine="0"/>
        <w:jc w:val="both"/>
        <w:rPr>
          <w:sz w:val="20"/>
          <w:szCs w:val="20"/>
          <w:lang w:eastAsia="zh-CN"/>
        </w:rPr>
      </w:pPr>
    </w:p>
    <w:tbl>
      <w:tblPr>
        <w:tblStyle w:val="PlainTable2"/>
        <w:tblW w:w="0" w:type="auto"/>
        <w:tblLook w:val="04A0" w:firstRow="1" w:lastRow="0" w:firstColumn="1" w:lastColumn="0" w:noHBand="0" w:noVBand="1"/>
      </w:tblPr>
      <w:tblGrid>
        <w:gridCol w:w="1890"/>
        <w:gridCol w:w="4410"/>
        <w:gridCol w:w="2790"/>
      </w:tblGrid>
      <w:tr w:rsidR="00AB238E" w:rsidRPr="00705903" w14:paraId="1B38FD39"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bottom w:val="single" w:sz="4" w:space="0" w:color="auto"/>
            </w:tcBorders>
            <w:hideMark/>
          </w:tcPr>
          <w:p w14:paraId="468C105F" w14:textId="77777777" w:rsidR="00AB238E" w:rsidRPr="00705903" w:rsidRDefault="00AB238E" w:rsidP="0097761F">
            <w:pPr>
              <w:spacing w:line="276" w:lineRule="auto"/>
              <w:ind w:firstLine="0"/>
              <w:jc w:val="both"/>
              <w:rPr>
                <w:b w:val="0"/>
                <w:bCs w:val="0"/>
                <w:sz w:val="18"/>
                <w:szCs w:val="18"/>
                <w:lang w:val="en-US" w:eastAsia="zh-CN"/>
              </w:rPr>
            </w:pPr>
            <w:r w:rsidRPr="00705903">
              <w:rPr>
                <w:b w:val="0"/>
                <w:bCs w:val="0"/>
                <w:sz w:val="18"/>
                <w:szCs w:val="18"/>
                <w:lang w:val="en-US" w:eastAsia="zh-CN"/>
              </w:rPr>
              <w:t>GICS Code</w:t>
            </w:r>
          </w:p>
        </w:tc>
        <w:tc>
          <w:tcPr>
            <w:tcW w:w="4410" w:type="dxa"/>
            <w:tcBorders>
              <w:bottom w:val="single" w:sz="4" w:space="0" w:color="auto"/>
            </w:tcBorders>
            <w:hideMark/>
          </w:tcPr>
          <w:p w14:paraId="065CF9C3" w14:textId="77777777" w:rsidR="00AB238E" w:rsidRPr="00705903" w:rsidRDefault="00AB238E"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Industry (Level 1)</w:t>
            </w:r>
          </w:p>
        </w:tc>
        <w:tc>
          <w:tcPr>
            <w:tcW w:w="2790" w:type="dxa"/>
            <w:tcBorders>
              <w:bottom w:val="single" w:sz="4" w:space="0" w:color="auto"/>
            </w:tcBorders>
            <w:hideMark/>
          </w:tcPr>
          <w:p w14:paraId="37E65ADF" w14:textId="77777777" w:rsidR="00AB238E" w:rsidRPr="00705903" w:rsidRDefault="00AB238E" w:rsidP="0097761F">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Coverage Ratio</w:t>
            </w:r>
          </w:p>
        </w:tc>
      </w:tr>
      <w:tr w:rsidR="00AB238E" w:rsidRPr="00705903" w14:paraId="30D4CEC8"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bottom w:val="nil"/>
            </w:tcBorders>
            <w:hideMark/>
          </w:tcPr>
          <w:p w14:paraId="74572FDF"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10</w:t>
            </w:r>
          </w:p>
        </w:tc>
        <w:tc>
          <w:tcPr>
            <w:tcW w:w="4410" w:type="dxa"/>
            <w:tcBorders>
              <w:top w:val="single" w:sz="4" w:space="0" w:color="auto"/>
              <w:bottom w:val="nil"/>
            </w:tcBorders>
            <w:hideMark/>
          </w:tcPr>
          <w:p w14:paraId="4FD478BE"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Energy</w:t>
            </w:r>
          </w:p>
        </w:tc>
        <w:tc>
          <w:tcPr>
            <w:tcW w:w="2790" w:type="dxa"/>
            <w:tcBorders>
              <w:top w:val="single" w:sz="4" w:space="0" w:color="auto"/>
              <w:bottom w:val="nil"/>
            </w:tcBorders>
            <w:hideMark/>
          </w:tcPr>
          <w:p w14:paraId="2528FF3F"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0.650617</w:t>
            </w:r>
          </w:p>
        </w:tc>
      </w:tr>
      <w:tr w:rsidR="00AB238E" w:rsidRPr="00705903" w14:paraId="7C94C63A" w14:textId="77777777" w:rsidTr="00A4523E">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6F0D9FA7"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15</w:t>
            </w:r>
          </w:p>
        </w:tc>
        <w:tc>
          <w:tcPr>
            <w:tcW w:w="4410" w:type="dxa"/>
            <w:tcBorders>
              <w:top w:val="nil"/>
              <w:bottom w:val="nil"/>
            </w:tcBorders>
            <w:hideMark/>
          </w:tcPr>
          <w:p w14:paraId="78B2B111"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Materials</w:t>
            </w:r>
          </w:p>
        </w:tc>
        <w:tc>
          <w:tcPr>
            <w:tcW w:w="2790" w:type="dxa"/>
            <w:tcBorders>
              <w:top w:val="nil"/>
              <w:bottom w:val="nil"/>
            </w:tcBorders>
            <w:hideMark/>
          </w:tcPr>
          <w:p w14:paraId="7A3FCC7D"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0.481439</w:t>
            </w:r>
          </w:p>
        </w:tc>
      </w:tr>
      <w:tr w:rsidR="00AB238E" w:rsidRPr="00705903" w14:paraId="228AED3C"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728591C8"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20</w:t>
            </w:r>
          </w:p>
        </w:tc>
        <w:tc>
          <w:tcPr>
            <w:tcW w:w="4410" w:type="dxa"/>
            <w:tcBorders>
              <w:top w:val="nil"/>
              <w:bottom w:val="nil"/>
            </w:tcBorders>
            <w:hideMark/>
          </w:tcPr>
          <w:p w14:paraId="0936A975"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Industrials</w:t>
            </w:r>
          </w:p>
        </w:tc>
        <w:tc>
          <w:tcPr>
            <w:tcW w:w="2790" w:type="dxa"/>
            <w:tcBorders>
              <w:top w:val="nil"/>
              <w:bottom w:val="nil"/>
            </w:tcBorders>
            <w:hideMark/>
          </w:tcPr>
          <w:p w14:paraId="110FB477"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0.428281</w:t>
            </w:r>
          </w:p>
        </w:tc>
      </w:tr>
      <w:tr w:rsidR="00AB238E" w:rsidRPr="00705903" w14:paraId="5082450D" w14:textId="77777777" w:rsidTr="00A4523E">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46BBCC85"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25</w:t>
            </w:r>
          </w:p>
        </w:tc>
        <w:tc>
          <w:tcPr>
            <w:tcW w:w="4410" w:type="dxa"/>
            <w:tcBorders>
              <w:top w:val="nil"/>
              <w:bottom w:val="nil"/>
            </w:tcBorders>
            <w:hideMark/>
          </w:tcPr>
          <w:p w14:paraId="2DA1ED39"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Consumer Discretionary</w:t>
            </w:r>
          </w:p>
        </w:tc>
        <w:tc>
          <w:tcPr>
            <w:tcW w:w="2790" w:type="dxa"/>
            <w:tcBorders>
              <w:top w:val="nil"/>
              <w:bottom w:val="nil"/>
            </w:tcBorders>
            <w:hideMark/>
          </w:tcPr>
          <w:p w14:paraId="3816748E"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0.467552</w:t>
            </w:r>
          </w:p>
        </w:tc>
      </w:tr>
      <w:tr w:rsidR="00AB238E" w:rsidRPr="00705903" w14:paraId="3F99A2E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309FD8EB"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30</w:t>
            </w:r>
          </w:p>
        </w:tc>
        <w:tc>
          <w:tcPr>
            <w:tcW w:w="4410" w:type="dxa"/>
            <w:tcBorders>
              <w:top w:val="nil"/>
              <w:bottom w:val="nil"/>
            </w:tcBorders>
            <w:hideMark/>
          </w:tcPr>
          <w:p w14:paraId="7F517700"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Consumer Staples</w:t>
            </w:r>
          </w:p>
        </w:tc>
        <w:tc>
          <w:tcPr>
            <w:tcW w:w="2790" w:type="dxa"/>
            <w:tcBorders>
              <w:top w:val="nil"/>
              <w:bottom w:val="nil"/>
            </w:tcBorders>
            <w:hideMark/>
          </w:tcPr>
          <w:p w14:paraId="734F2DB6"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0.497683</w:t>
            </w:r>
          </w:p>
        </w:tc>
      </w:tr>
      <w:tr w:rsidR="00AB238E" w:rsidRPr="00705903" w14:paraId="608E108E" w14:textId="77777777" w:rsidTr="00A4523E">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040BD855"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35</w:t>
            </w:r>
          </w:p>
        </w:tc>
        <w:tc>
          <w:tcPr>
            <w:tcW w:w="4410" w:type="dxa"/>
            <w:tcBorders>
              <w:top w:val="nil"/>
              <w:bottom w:val="nil"/>
            </w:tcBorders>
            <w:hideMark/>
          </w:tcPr>
          <w:p w14:paraId="5576E8E1"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Health Care</w:t>
            </w:r>
          </w:p>
        </w:tc>
        <w:tc>
          <w:tcPr>
            <w:tcW w:w="2790" w:type="dxa"/>
            <w:tcBorders>
              <w:top w:val="nil"/>
              <w:bottom w:val="nil"/>
            </w:tcBorders>
            <w:hideMark/>
          </w:tcPr>
          <w:p w14:paraId="4DD0DBD3"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0.417248</w:t>
            </w:r>
          </w:p>
        </w:tc>
      </w:tr>
      <w:tr w:rsidR="00AB238E" w:rsidRPr="00705903" w14:paraId="3A11EA37"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451E0ECC"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40</w:t>
            </w:r>
          </w:p>
        </w:tc>
        <w:tc>
          <w:tcPr>
            <w:tcW w:w="4410" w:type="dxa"/>
            <w:tcBorders>
              <w:top w:val="nil"/>
              <w:bottom w:val="nil"/>
            </w:tcBorders>
            <w:hideMark/>
          </w:tcPr>
          <w:p w14:paraId="2D2A8193"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Financials</w:t>
            </w:r>
          </w:p>
        </w:tc>
        <w:tc>
          <w:tcPr>
            <w:tcW w:w="2790" w:type="dxa"/>
            <w:tcBorders>
              <w:top w:val="nil"/>
              <w:bottom w:val="nil"/>
            </w:tcBorders>
            <w:hideMark/>
          </w:tcPr>
          <w:p w14:paraId="52B9B998"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0.520661</w:t>
            </w:r>
          </w:p>
        </w:tc>
      </w:tr>
      <w:tr w:rsidR="00AB238E" w:rsidRPr="00705903" w14:paraId="5E666847" w14:textId="77777777" w:rsidTr="00A4523E">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5C530C55"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45</w:t>
            </w:r>
          </w:p>
        </w:tc>
        <w:tc>
          <w:tcPr>
            <w:tcW w:w="4410" w:type="dxa"/>
            <w:tcBorders>
              <w:top w:val="nil"/>
              <w:bottom w:val="nil"/>
            </w:tcBorders>
            <w:hideMark/>
          </w:tcPr>
          <w:p w14:paraId="790CF63D"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Information Technology</w:t>
            </w:r>
          </w:p>
        </w:tc>
        <w:tc>
          <w:tcPr>
            <w:tcW w:w="2790" w:type="dxa"/>
            <w:tcBorders>
              <w:top w:val="nil"/>
              <w:bottom w:val="nil"/>
            </w:tcBorders>
            <w:hideMark/>
          </w:tcPr>
          <w:p w14:paraId="014F6871"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0.351297</w:t>
            </w:r>
          </w:p>
        </w:tc>
      </w:tr>
      <w:tr w:rsidR="00AB238E" w:rsidRPr="00705903" w14:paraId="4469A41D"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19BB5299"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50</w:t>
            </w:r>
          </w:p>
        </w:tc>
        <w:tc>
          <w:tcPr>
            <w:tcW w:w="4410" w:type="dxa"/>
            <w:tcBorders>
              <w:top w:val="nil"/>
              <w:bottom w:val="nil"/>
            </w:tcBorders>
            <w:hideMark/>
          </w:tcPr>
          <w:p w14:paraId="425C7E9D"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Telecommunication Services</w:t>
            </w:r>
          </w:p>
        </w:tc>
        <w:tc>
          <w:tcPr>
            <w:tcW w:w="2790" w:type="dxa"/>
            <w:tcBorders>
              <w:top w:val="nil"/>
              <w:bottom w:val="nil"/>
            </w:tcBorders>
            <w:hideMark/>
          </w:tcPr>
          <w:p w14:paraId="71722E5D"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0.331250</w:t>
            </w:r>
          </w:p>
        </w:tc>
      </w:tr>
      <w:tr w:rsidR="00AB238E" w:rsidRPr="00705903" w14:paraId="5361356E" w14:textId="77777777" w:rsidTr="00A4523E">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23C9CFF8"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55</w:t>
            </w:r>
          </w:p>
        </w:tc>
        <w:tc>
          <w:tcPr>
            <w:tcW w:w="4410" w:type="dxa"/>
            <w:tcBorders>
              <w:top w:val="nil"/>
              <w:bottom w:val="nil"/>
            </w:tcBorders>
            <w:hideMark/>
          </w:tcPr>
          <w:p w14:paraId="103C11FF"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Utilities</w:t>
            </w:r>
          </w:p>
        </w:tc>
        <w:tc>
          <w:tcPr>
            <w:tcW w:w="2790" w:type="dxa"/>
            <w:tcBorders>
              <w:top w:val="nil"/>
              <w:bottom w:val="nil"/>
            </w:tcBorders>
            <w:hideMark/>
          </w:tcPr>
          <w:p w14:paraId="6B8B2040"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0.596691</w:t>
            </w:r>
          </w:p>
        </w:tc>
      </w:tr>
      <w:tr w:rsidR="00AB238E" w:rsidRPr="00705903" w14:paraId="258B897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single" w:sz="4" w:space="0" w:color="auto"/>
            </w:tcBorders>
            <w:hideMark/>
          </w:tcPr>
          <w:p w14:paraId="534B924E" w14:textId="77777777" w:rsidR="00AB238E" w:rsidRPr="00705903" w:rsidRDefault="00AB238E" w:rsidP="0097761F">
            <w:pPr>
              <w:spacing w:line="276" w:lineRule="auto"/>
              <w:ind w:firstLine="0"/>
              <w:jc w:val="both"/>
              <w:rPr>
                <w:b w:val="0"/>
                <w:bCs w:val="0"/>
                <w:i/>
                <w:iCs/>
                <w:sz w:val="18"/>
                <w:szCs w:val="18"/>
                <w:lang w:val="en-US" w:eastAsia="zh-CN"/>
              </w:rPr>
            </w:pPr>
            <w:r w:rsidRPr="00705903">
              <w:rPr>
                <w:b w:val="0"/>
                <w:bCs w:val="0"/>
                <w:i/>
                <w:iCs/>
                <w:sz w:val="18"/>
                <w:szCs w:val="18"/>
                <w:lang w:val="en-US" w:eastAsia="zh-CN"/>
              </w:rPr>
              <w:t>60</w:t>
            </w:r>
          </w:p>
        </w:tc>
        <w:tc>
          <w:tcPr>
            <w:tcW w:w="4410" w:type="dxa"/>
            <w:tcBorders>
              <w:top w:val="nil"/>
              <w:bottom w:val="single" w:sz="4" w:space="0" w:color="auto"/>
            </w:tcBorders>
            <w:hideMark/>
          </w:tcPr>
          <w:p w14:paraId="15388FE8"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Real Estate</w:t>
            </w:r>
          </w:p>
        </w:tc>
        <w:tc>
          <w:tcPr>
            <w:tcW w:w="2790" w:type="dxa"/>
            <w:tcBorders>
              <w:top w:val="nil"/>
              <w:bottom w:val="single" w:sz="4" w:space="0" w:color="auto"/>
            </w:tcBorders>
            <w:hideMark/>
          </w:tcPr>
          <w:p w14:paraId="35F57B64"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0.761000</w:t>
            </w:r>
          </w:p>
        </w:tc>
      </w:tr>
    </w:tbl>
    <w:p w14:paraId="75246CEB" w14:textId="77777777" w:rsidR="00AB238E" w:rsidRPr="00705903" w:rsidRDefault="00AB238E" w:rsidP="0097761F">
      <w:pPr>
        <w:spacing w:line="276" w:lineRule="auto"/>
        <w:ind w:firstLine="0"/>
        <w:jc w:val="both"/>
        <w:rPr>
          <w:lang w:eastAsia="zh-CN"/>
        </w:rPr>
      </w:pPr>
    </w:p>
    <w:p w14:paraId="11736E68" w14:textId="77777777" w:rsidR="00AB238E" w:rsidRPr="00705903" w:rsidRDefault="00AB238E" w:rsidP="0097761F">
      <w:pPr>
        <w:spacing w:after="160" w:line="259" w:lineRule="auto"/>
        <w:ind w:firstLine="0"/>
        <w:jc w:val="both"/>
        <w:rPr>
          <w:b/>
          <w:bCs/>
          <w:szCs w:val="24"/>
          <w:lang w:eastAsia="zh-CN"/>
        </w:rPr>
      </w:pPr>
      <w:r w:rsidRPr="00705903">
        <w:br w:type="page"/>
      </w:r>
    </w:p>
    <w:p w14:paraId="145F4927" w14:textId="77777777" w:rsidR="00AB238E" w:rsidRPr="00705903" w:rsidRDefault="00AB238E" w:rsidP="0097761F">
      <w:pPr>
        <w:pStyle w:val="Heading1"/>
      </w:pPr>
      <w:r w:rsidRPr="00705903">
        <w:t xml:space="preserve">Table 2. </w:t>
      </w:r>
      <w:bookmarkStart w:id="4" w:name="_Hlk212673606"/>
      <w:bookmarkStart w:id="5" w:name="_Hlk212403413"/>
      <w:r w:rsidRPr="00705903">
        <w:t xml:space="preserve">Time Trend of ESG Rating Coverage and Scores </w:t>
      </w:r>
      <w:bookmarkEnd w:id="4"/>
      <w:r w:rsidRPr="00705903">
        <w:t>(2007–2022)</w:t>
      </w:r>
      <w:bookmarkEnd w:id="5"/>
    </w:p>
    <w:p w14:paraId="26860794" w14:textId="77777777" w:rsidR="00AB238E" w:rsidRPr="00705903" w:rsidRDefault="00AB238E" w:rsidP="0097761F">
      <w:pPr>
        <w:spacing w:after="160" w:line="259" w:lineRule="auto"/>
        <w:ind w:firstLine="0"/>
        <w:jc w:val="both"/>
        <w:rPr>
          <w:lang w:val="en-US"/>
        </w:rPr>
      </w:pPr>
    </w:p>
    <w:p w14:paraId="7EDD8B42" w14:textId="77777777" w:rsidR="00AB238E" w:rsidRPr="00705903" w:rsidRDefault="00AB238E" w:rsidP="0097761F">
      <w:pPr>
        <w:spacing w:line="259" w:lineRule="auto"/>
        <w:ind w:firstLine="0"/>
        <w:jc w:val="both"/>
        <w:rPr>
          <w:sz w:val="20"/>
          <w:szCs w:val="20"/>
          <w:lang w:val="en-US"/>
        </w:rPr>
      </w:pPr>
      <w:r w:rsidRPr="00705903">
        <w:rPr>
          <w:sz w:val="20"/>
          <w:szCs w:val="20"/>
        </w:rPr>
        <w:t>This table reports the annual ESG rating coverage ratio and average ESG component scores across</w:t>
      </w:r>
      <w:r w:rsidRPr="00705903">
        <w:rPr>
          <w:sz w:val="20"/>
          <w:szCs w:val="20"/>
          <w:lang w:eastAsia="zh-CN"/>
        </w:rPr>
        <w:t xml:space="preserve"> all rated companies</w:t>
      </w:r>
      <w:r w:rsidRPr="00705903">
        <w:rPr>
          <w:sz w:val="20"/>
          <w:szCs w:val="20"/>
        </w:rPr>
        <w:t xml:space="preserve">. </w:t>
      </w:r>
      <w:proofErr w:type="gramStart"/>
      <w:r w:rsidRPr="00705903">
        <w:rPr>
          <w:sz w:val="20"/>
          <w:szCs w:val="20"/>
          <w:lang w:val="en-US"/>
        </w:rPr>
        <w:t>he</w:t>
      </w:r>
      <w:proofErr w:type="gramEnd"/>
      <w:r w:rsidRPr="00705903">
        <w:rPr>
          <w:sz w:val="20"/>
          <w:szCs w:val="20"/>
          <w:lang w:val="en-US"/>
        </w:rPr>
        <w:t xml:space="preserve"> coverage ratio represents the proportion of firms that have ESG ratings available in the CNRDS database each year. The sample spans from 2007 to 2022, capturing a period of rapid expansion in ESG disclosure and rating coverage.</w:t>
      </w:r>
    </w:p>
    <w:p w14:paraId="143462A8" w14:textId="77777777" w:rsidR="00AB238E" w:rsidRPr="00705903" w:rsidRDefault="00AB238E" w:rsidP="0097761F">
      <w:pPr>
        <w:spacing w:line="259" w:lineRule="auto"/>
        <w:ind w:firstLine="0"/>
        <w:jc w:val="both"/>
        <w:rPr>
          <w:sz w:val="20"/>
          <w:szCs w:val="20"/>
          <w:lang w:val="en-US"/>
        </w:rPr>
      </w:pPr>
    </w:p>
    <w:p w14:paraId="38B98E4A"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Over the sample period, the ESG coverage ratio increased substantially from 27.5% in 2007 to 95.5% in 2022, corresponding to a total growth of 247% and a compound annual growth rate (CAGR) of 8.65%, reflecting broader ESG data availability and deeper integration of ESG reporting practices across industries.</w:t>
      </w:r>
    </w:p>
    <w:p w14:paraId="41947CC2" w14:textId="77777777" w:rsidR="00AB238E" w:rsidRPr="00705903" w:rsidRDefault="00AB238E" w:rsidP="0097761F">
      <w:pPr>
        <w:spacing w:line="259" w:lineRule="auto"/>
        <w:ind w:firstLine="0"/>
        <w:jc w:val="both"/>
        <w:rPr>
          <w:sz w:val="20"/>
          <w:szCs w:val="20"/>
          <w:lang w:val="en-US"/>
        </w:rPr>
      </w:pPr>
    </w:p>
    <w:p w14:paraId="7882EA13"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In terms of ESG performance, the average overall ESG score rose from 18.74 to 31.62 (+68.7% total growth, 3.55% CAGR). This improvement was primarily driven by the remarkable growth in the Environmental (E) dimension, which surged from 6.07 to 37.06 (+510.5%, 12.82% CAGR), suggesting heightened corporate attention to environmental management and disclosure. The Social (S) score also doubled from 13.00 to 26.12 (+100.9%, 4.76% CAGR), indicating steady progress in social responsibility and employee-related practices. In contrast, the Governance (G) score declined modestly from 25.36 to 20.53 (–19.1%, –1.40% CAGR), implying a potential plateau or shifting emphasis away from traditional governance metrics.</w:t>
      </w:r>
    </w:p>
    <w:p w14:paraId="515AE5AB" w14:textId="77777777" w:rsidR="00AB238E" w:rsidRPr="00705903" w:rsidRDefault="00AB238E" w:rsidP="0097761F">
      <w:pPr>
        <w:spacing w:line="259" w:lineRule="auto"/>
        <w:ind w:firstLine="0"/>
        <w:jc w:val="both"/>
        <w:rPr>
          <w:sz w:val="20"/>
          <w:szCs w:val="20"/>
          <w:lang w:val="en-US"/>
        </w:rPr>
      </w:pPr>
    </w:p>
    <w:p w14:paraId="2729BA3F"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Collectively, these trends highlight a pronounced and asymmetric evolution of ESG dimensions in China’s capital market—marked by the dominance of environmental improvements, stable social performance, and relative stagnation in governance quality—underpinned by the expanding breadth of ESG coverage and regulatory encouragement for sustainability reporting.</w:t>
      </w:r>
    </w:p>
    <w:p w14:paraId="06DAD6A9" w14:textId="77777777" w:rsidR="00AB238E" w:rsidRPr="00705903" w:rsidRDefault="00AB238E" w:rsidP="0097761F">
      <w:pPr>
        <w:spacing w:line="259" w:lineRule="auto"/>
        <w:ind w:firstLine="0"/>
        <w:jc w:val="both"/>
        <w:rPr>
          <w:sz w:val="20"/>
          <w:szCs w:val="20"/>
          <w:lang w:val="en-US"/>
        </w:rPr>
      </w:pPr>
    </w:p>
    <w:tbl>
      <w:tblPr>
        <w:tblStyle w:val="PlainTable2"/>
        <w:tblW w:w="0" w:type="auto"/>
        <w:tblLook w:val="04A0" w:firstRow="1" w:lastRow="0" w:firstColumn="1" w:lastColumn="0" w:noHBand="0" w:noVBand="1"/>
      </w:tblPr>
      <w:tblGrid>
        <w:gridCol w:w="616"/>
        <w:gridCol w:w="1249"/>
        <w:gridCol w:w="1249"/>
        <w:gridCol w:w="1249"/>
        <w:gridCol w:w="1249"/>
        <w:gridCol w:w="1249"/>
        <w:gridCol w:w="1249"/>
        <w:gridCol w:w="1250"/>
      </w:tblGrid>
      <w:tr w:rsidR="00AB238E" w:rsidRPr="00705903" w14:paraId="12FCD8FE"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hideMark/>
          </w:tcPr>
          <w:p w14:paraId="1469C7B8"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Year</w:t>
            </w:r>
          </w:p>
        </w:tc>
        <w:tc>
          <w:tcPr>
            <w:tcW w:w="1249" w:type="dxa"/>
            <w:hideMark/>
          </w:tcPr>
          <w:p w14:paraId="391FABC5"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Total Firms</w:t>
            </w:r>
          </w:p>
        </w:tc>
        <w:tc>
          <w:tcPr>
            <w:tcW w:w="1249" w:type="dxa"/>
            <w:hideMark/>
          </w:tcPr>
          <w:p w14:paraId="0F0D7AD0"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Firms with ESG</w:t>
            </w:r>
          </w:p>
        </w:tc>
        <w:tc>
          <w:tcPr>
            <w:tcW w:w="1249" w:type="dxa"/>
            <w:hideMark/>
          </w:tcPr>
          <w:p w14:paraId="132D33AA"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Coverage Ratio (%)</w:t>
            </w:r>
          </w:p>
        </w:tc>
        <w:tc>
          <w:tcPr>
            <w:tcW w:w="1249" w:type="dxa"/>
          </w:tcPr>
          <w:p w14:paraId="4823B9C7"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Average ESG Score</w:t>
            </w:r>
          </w:p>
        </w:tc>
        <w:tc>
          <w:tcPr>
            <w:tcW w:w="1249" w:type="dxa"/>
          </w:tcPr>
          <w:p w14:paraId="1D9AE9E7"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Average E Score</w:t>
            </w:r>
          </w:p>
        </w:tc>
        <w:tc>
          <w:tcPr>
            <w:tcW w:w="1249" w:type="dxa"/>
          </w:tcPr>
          <w:p w14:paraId="5B0BF7E4"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Average S Score</w:t>
            </w:r>
          </w:p>
        </w:tc>
        <w:tc>
          <w:tcPr>
            <w:tcW w:w="1250" w:type="dxa"/>
          </w:tcPr>
          <w:p w14:paraId="7531CFC6"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Average G Score</w:t>
            </w:r>
          </w:p>
        </w:tc>
      </w:tr>
      <w:tr w:rsidR="00AB238E" w:rsidRPr="00705903" w14:paraId="35FEDF18"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bottom w:val="nil"/>
            </w:tcBorders>
            <w:hideMark/>
          </w:tcPr>
          <w:p w14:paraId="091D37B5"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2007</w:t>
            </w:r>
          </w:p>
        </w:tc>
        <w:tc>
          <w:tcPr>
            <w:tcW w:w="1249" w:type="dxa"/>
            <w:tcBorders>
              <w:bottom w:val="nil"/>
            </w:tcBorders>
            <w:hideMark/>
          </w:tcPr>
          <w:p w14:paraId="40EECD6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5,076</w:t>
            </w:r>
          </w:p>
        </w:tc>
        <w:tc>
          <w:tcPr>
            <w:tcW w:w="1249" w:type="dxa"/>
            <w:tcBorders>
              <w:bottom w:val="nil"/>
            </w:tcBorders>
            <w:hideMark/>
          </w:tcPr>
          <w:p w14:paraId="244AE08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1,396</w:t>
            </w:r>
          </w:p>
        </w:tc>
        <w:tc>
          <w:tcPr>
            <w:tcW w:w="1249" w:type="dxa"/>
            <w:tcBorders>
              <w:bottom w:val="nil"/>
            </w:tcBorders>
            <w:hideMark/>
          </w:tcPr>
          <w:p w14:paraId="67947B6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27.50</w:t>
            </w:r>
          </w:p>
        </w:tc>
        <w:tc>
          <w:tcPr>
            <w:tcW w:w="1249" w:type="dxa"/>
            <w:tcBorders>
              <w:bottom w:val="nil"/>
            </w:tcBorders>
          </w:tcPr>
          <w:p w14:paraId="464EE88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18.74</w:t>
            </w:r>
          </w:p>
        </w:tc>
        <w:tc>
          <w:tcPr>
            <w:tcW w:w="1249" w:type="dxa"/>
            <w:tcBorders>
              <w:bottom w:val="nil"/>
            </w:tcBorders>
          </w:tcPr>
          <w:p w14:paraId="5C3B28C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6.07</w:t>
            </w:r>
          </w:p>
        </w:tc>
        <w:tc>
          <w:tcPr>
            <w:tcW w:w="1249" w:type="dxa"/>
            <w:tcBorders>
              <w:bottom w:val="nil"/>
            </w:tcBorders>
          </w:tcPr>
          <w:p w14:paraId="649955A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13.00</w:t>
            </w:r>
          </w:p>
        </w:tc>
        <w:tc>
          <w:tcPr>
            <w:tcW w:w="1250" w:type="dxa"/>
            <w:tcBorders>
              <w:bottom w:val="nil"/>
            </w:tcBorders>
          </w:tcPr>
          <w:p w14:paraId="6977DA4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25.36</w:t>
            </w:r>
          </w:p>
        </w:tc>
      </w:tr>
      <w:tr w:rsidR="00AB238E" w:rsidRPr="00705903" w14:paraId="4E042430" w14:textId="77777777" w:rsidTr="00A4523E">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0DC15FC2"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2008</w:t>
            </w:r>
          </w:p>
        </w:tc>
        <w:tc>
          <w:tcPr>
            <w:tcW w:w="1249" w:type="dxa"/>
            <w:tcBorders>
              <w:top w:val="nil"/>
              <w:bottom w:val="nil"/>
            </w:tcBorders>
            <w:hideMark/>
          </w:tcPr>
          <w:p w14:paraId="4E83464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5,076</w:t>
            </w:r>
          </w:p>
        </w:tc>
        <w:tc>
          <w:tcPr>
            <w:tcW w:w="1249" w:type="dxa"/>
            <w:tcBorders>
              <w:top w:val="nil"/>
              <w:bottom w:val="nil"/>
            </w:tcBorders>
            <w:hideMark/>
          </w:tcPr>
          <w:p w14:paraId="1D2B0EF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1,454</w:t>
            </w:r>
          </w:p>
        </w:tc>
        <w:tc>
          <w:tcPr>
            <w:tcW w:w="1249" w:type="dxa"/>
            <w:tcBorders>
              <w:top w:val="nil"/>
              <w:bottom w:val="nil"/>
            </w:tcBorders>
            <w:hideMark/>
          </w:tcPr>
          <w:p w14:paraId="17EA146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28.64</w:t>
            </w:r>
          </w:p>
        </w:tc>
        <w:tc>
          <w:tcPr>
            <w:tcW w:w="1249" w:type="dxa"/>
            <w:tcBorders>
              <w:top w:val="nil"/>
              <w:bottom w:val="nil"/>
            </w:tcBorders>
          </w:tcPr>
          <w:p w14:paraId="0A1D011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21.11</w:t>
            </w:r>
          </w:p>
        </w:tc>
        <w:tc>
          <w:tcPr>
            <w:tcW w:w="1249" w:type="dxa"/>
            <w:tcBorders>
              <w:top w:val="nil"/>
              <w:bottom w:val="nil"/>
            </w:tcBorders>
          </w:tcPr>
          <w:p w14:paraId="15BEC09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7.68</w:t>
            </w:r>
          </w:p>
        </w:tc>
        <w:tc>
          <w:tcPr>
            <w:tcW w:w="1249" w:type="dxa"/>
            <w:tcBorders>
              <w:top w:val="nil"/>
              <w:bottom w:val="nil"/>
            </w:tcBorders>
          </w:tcPr>
          <w:p w14:paraId="51F0464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15.95</w:t>
            </w:r>
          </w:p>
        </w:tc>
        <w:tc>
          <w:tcPr>
            <w:tcW w:w="1250" w:type="dxa"/>
            <w:tcBorders>
              <w:top w:val="nil"/>
              <w:bottom w:val="nil"/>
            </w:tcBorders>
          </w:tcPr>
          <w:p w14:paraId="09C4628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26.19</w:t>
            </w:r>
          </w:p>
        </w:tc>
      </w:tr>
      <w:tr w:rsidR="00AB238E" w:rsidRPr="00705903" w14:paraId="4734750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0FED3529"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2009</w:t>
            </w:r>
          </w:p>
        </w:tc>
        <w:tc>
          <w:tcPr>
            <w:tcW w:w="1249" w:type="dxa"/>
            <w:tcBorders>
              <w:top w:val="nil"/>
              <w:bottom w:val="nil"/>
            </w:tcBorders>
            <w:hideMark/>
          </w:tcPr>
          <w:p w14:paraId="1A1D12B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5,076</w:t>
            </w:r>
          </w:p>
        </w:tc>
        <w:tc>
          <w:tcPr>
            <w:tcW w:w="1249" w:type="dxa"/>
            <w:tcBorders>
              <w:top w:val="nil"/>
              <w:bottom w:val="nil"/>
            </w:tcBorders>
            <w:hideMark/>
          </w:tcPr>
          <w:p w14:paraId="68634EB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1,592</w:t>
            </w:r>
          </w:p>
        </w:tc>
        <w:tc>
          <w:tcPr>
            <w:tcW w:w="1249" w:type="dxa"/>
            <w:tcBorders>
              <w:top w:val="nil"/>
              <w:bottom w:val="nil"/>
            </w:tcBorders>
            <w:hideMark/>
          </w:tcPr>
          <w:p w14:paraId="44CECB3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31.36</w:t>
            </w:r>
          </w:p>
        </w:tc>
        <w:tc>
          <w:tcPr>
            <w:tcW w:w="1249" w:type="dxa"/>
            <w:tcBorders>
              <w:top w:val="nil"/>
              <w:bottom w:val="nil"/>
            </w:tcBorders>
          </w:tcPr>
          <w:p w14:paraId="4C56106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20.83</w:t>
            </w:r>
          </w:p>
        </w:tc>
        <w:tc>
          <w:tcPr>
            <w:tcW w:w="1249" w:type="dxa"/>
            <w:tcBorders>
              <w:top w:val="nil"/>
              <w:bottom w:val="nil"/>
            </w:tcBorders>
          </w:tcPr>
          <w:p w14:paraId="1CC05E6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7.85</w:t>
            </w:r>
          </w:p>
        </w:tc>
        <w:tc>
          <w:tcPr>
            <w:tcW w:w="1249" w:type="dxa"/>
            <w:tcBorders>
              <w:top w:val="nil"/>
              <w:bottom w:val="nil"/>
            </w:tcBorders>
          </w:tcPr>
          <w:p w14:paraId="1AF2F34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16.29</w:t>
            </w:r>
          </w:p>
        </w:tc>
        <w:tc>
          <w:tcPr>
            <w:tcW w:w="1250" w:type="dxa"/>
            <w:tcBorders>
              <w:top w:val="nil"/>
              <w:bottom w:val="nil"/>
            </w:tcBorders>
          </w:tcPr>
          <w:p w14:paraId="756BE4C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24.36</w:t>
            </w:r>
          </w:p>
        </w:tc>
      </w:tr>
      <w:tr w:rsidR="00AB238E" w:rsidRPr="00705903" w14:paraId="2298E25E" w14:textId="77777777" w:rsidTr="00A4523E">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427AFD3D"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2010</w:t>
            </w:r>
          </w:p>
        </w:tc>
        <w:tc>
          <w:tcPr>
            <w:tcW w:w="1249" w:type="dxa"/>
            <w:tcBorders>
              <w:top w:val="nil"/>
              <w:bottom w:val="nil"/>
            </w:tcBorders>
            <w:hideMark/>
          </w:tcPr>
          <w:p w14:paraId="0351E9A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5,076</w:t>
            </w:r>
          </w:p>
        </w:tc>
        <w:tc>
          <w:tcPr>
            <w:tcW w:w="1249" w:type="dxa"/>
            <w:tcBorders>
              <w:top w:val="nil"/>
              <w:bottom w:val="nil"/>
            </w:tcBorders>
            <w:hideMark/>
          </w:tcPr>
          <w:p w14:paraId="787C582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1,924</w:t>
            </w:r>
          </w:p>
        </w:tc>
        <w:tc>
          <w:tcPr>
            <w:tcW w:w="1249" w:type="dxa"/>
            <w:tcBorders>
              <w:top w:val="nil"/>
              <w:bottom w:val="nil"/>
            </w:tcBorders>
            <w:hideMark/>
          </w:tcPr>
          <w:p w14:paraId="554E660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37.90</w:t>
            </w:r>
          </w:p>
        </w:tc>
        <w:tc>
          <w:tcPr>
            <w:tcW w:w="1249" w:type="dxa"/>
            <w:tcBorders>
              <w:top w:val="nil"/>
              <w:bottom w:val="nil"/>
            </w:tcBorders>
          </w:tcPr>
          <w:p w14:paraId="3BADCCC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18.60</w:t>
            </w:r>
          </w:p>
        </w:tc>
        <w:tc>
          <w:tcPr>
            <w:tcW w:w="1249" w:type="dxa"/>
            <w:tcBorders>
              <w:top w:val="nil"/>
              <w:bottom w:val="nil"/>
            </w:tcBorders>
          </w:tcPr>
          <w:p w14:paraId="1595AFC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7.29</w:t>
            </w:r>
          </w:p>
        </w:tc>
        <w:tc>
          <w:tcPr>
            <w:tcW w:w="1249" w:type="dxa"/>
            <w:tcBorders>
              <w:top w:val="nil"/>
              <w:bottom w:val="nil"/>
            </w:tcBorders>
          </w:tcPr>
          <w:p w14:paraId="2A855C0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17.52</w:t>
            </w:r>
          </w:p>
        </w:tc>
        <w:tc>
          <w:tcPr>
            <w:tcW w:w="1250" w:type="dxa"/>
            <w:tcBorders>
              <w:top w:val="nil"/>
              <w:bottom w:val="nil"/>
            </w:tcBorders>
          </w:tcPr>
          <w:p w14:paraId="59295B1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19.27</w:t>
            </w:r>
          </w:p>
        </w:tc>
      </w:tr>
      <w:tr w:rsidR="00AB238E" w:rsidRPr="00705903" w14:paraId="2C3375B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5E30F588"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2011</w:t>
            </w:r>
          </w:p>
        </w:tc>
        <w:tc>
          <w:tcPr>
            <w:tcW w:w="1249" w:type="dxa"/>
            <w:tcBorders>
              <w:top w:val="nil"/>
              <w:bottom w:val="nil"/>
            </w:tcBorders>
            <w:hideMark/>
          </w:tcPr>
          <w:p w14:paraId="174843E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5,076</w:t>
            </w:r>
          </w:p>
        </w:tc>
        <w:tc>
          <w:tcPr>
            <w:tcW w:w="1249" w:type="dxa"/>
            <w:tcBorders>
              <w:top w:val="nil"/>
              <w:bottom w:val="nil"/>
            </w:tcBorders>
            <w:hideMark/>
          </w:tcPr>
          <w:p w14:paraId="4A61415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2,158</w:t>
            </w:r>
          </w:p>
        </w:tc>
        <w:tc>
          <w:tcPr>
            <w:tcW w:w="1249" w:type="dxa"/>
            <w:tcBorders>
              <w:top w:val="nil"/>
              <w:bottom w:val="nil"/>
            </w:tcBorders>
            <w:hideMark/>
          </w:tcPr>
          <w:p w14:paraId="10158E3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42.51</w:t>
            </w:r>
          </w:p>
        </w:tc>
        <w:tc>
          <w:tcPr>
            <w:tcW w:w="1249" w:type="dxa"/>
            <w:tcBorders>
              <w:top w:val="nil"/>
              <w:bottom w:val="nil"/>
            </w:tcBorders>
          </w:tcPr>
          <w:p w14:paraId="25FC958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18.88</w:t>
            </w:r>
          </w:p>
        </w:tc>
        <w:tc>
          <w:tcPr>
            <w:tcW w:w="1249" w:type="dxa"/>
            <w:tcBorders>
              <w:top w:val="nil"/>
              <w:bottom w:val="nil"/>
            </w:tcBorders>
          </w:tcPr>
          <w:p w14:paraId="6600A6C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7.18</w:t>
            </w:r>
          </w:p>
        </w:tc>
        <w:tc>
          <w:tcPr>
            <w:tcW w:w="1249" w:type="dxa"/>
            <w:tcBorders>
              <w:top w:val="nil"/>
              <w:bottom w:val="nil"/>
            </w:tcBorders>
          </w:tcPr>
          <w:p w14:paraId="420AA7C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18.01</w:t>
            </w:r>
          </w:p>
        </w:tc>
        <w:tc>
          <w:tcPr>
            <w:tcW w:w="1250" w:type="dxa"/>
            <w:tcBorders>
              <w:top w:val="nil"/>
              <w:bottom w:val="nil"/>
            </w:tcBorders>
          </w:tcPr>
          <w:p w14:paraId="2DD3AA2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19.61</w:t>
            </w:r>
          </w:p>
        </w:tc>
      </w:tr>
      <w:tr w:rsidR="00AB238E" w:rsidRPr="00705903" w14:paraId="787488BC" w14:textId="77777777" w:rsidTr="00A4523E">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4D385F6C"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2012</w:t>
            </w:r>
          </w:p>
        </w:tc>
        <w:tc>
          <w:tcPr>
            <w:tcW w:w="1249" w:type="dxa"/>
            <w:tcBorders>
              <w:top w:val="nil"/>
              <w:bottom w:val="nil"/>
            </w:tcBorders>
            <w:hideMark/>
          </w:tcPr>
          <w:p w14:paraId="06B19FE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5,076</w:t>
            </w:r>
          </w:p>
        </w:tc>
        <w:tc>
          <w:tcPr>
            <w:tcW w:w="1249" w:type="dxa"/>
            <w:tcBorders>
              <w:top w:val="nil"/>
              <w:bottom w:val="nil"/>
            </w:tcBorders>
            <w:hideMark/>
          </w:tcPr>
          <w:p w14:paraId="6751444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2,281</w:t>
            </w:r>
          </w:p>
        </w:tc>
        <w:tc>
          <w:tcPr>
            <w:tcW w:w="1249" w:type="dxa"/>
            <w:tcBorders>
              <w:top w:val="nil"/>
              <w:bottom w:val="nil"/>
            </w:tcBorders>
            <w:hideMark/>
          </w:tcPr>
          <w:p w14:paraId="33B62BD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44.94</w:t>
            </w:r>
          </w:p>
        </w:tc>
        <w:tc>
          <w:tcPr>
            <w:tcW w:w="1249" w:type="dxa"/>
            <w:tcBorders>
              <w:top w:val="nil"/>
              <w:bottom w:val="nil"/>
            </w:tcBorders>
          </w:tcPr>
          <w:p w14:paraId="6EBBD5B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22.75</w:t>
            </w:r>
          </w:p>
        </w:tc>
        <w:tc>
          <w:tcPr>
            <w:tcW w:w="1249" w:type="dxa"/>
            <w:tcBorders>
              <w:top w:val="nil"/>
              <w:bottom w:val="nil"/>
            </w:tcBorders>
          </w:tcPr>
          <w:p w14:paraId="37023FF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8.37</w:t>
            </w:r>
          </w:p>
        </w:tc>
        <w:tc>
          <w:tcPr>
            <w:tcW w:w="1249" w:type="dxa"/>
            <w:tcBorders>
              <w:top w:val="nil"/>
              <w:bottom w:val="nil"/>
            </w:tcBorders>
          </w:tcPr>
          <w:p w14:paraId="6C5DD8C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21.89</w:t>
            </w:r>
          </w:p>
        </w:tc>
        <w:tc>
          <w:tcPr>
            <w:tcW w:w="1250" w:type="dxa"/>
            <w:tcBorders>
              <w:top w:val="nil"/>
              <w:bottom w:val="nil"/>
            </w:tcBorders>
          </w:tcPr>
          <w:p w14:paraId="67530F0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23.52</w:t>
            </w:r>
          </w:p>
        </w:tc>
      </w:tr>
      <w:tr w:rsidR="00AB238E" w:rsidRPr="00705903" w14:paraId="6A172733"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29AE848B"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2013</w:t>
            </w:r>
          </w:p>
        </w:tc>
        <w:tc>
          <w:tcPr>
            <w:tcW w:w="1249" w:type="dxa"/>
            <w:tcBorders>
              <w:top w:val="nil"/>
              <w:bottom w:val="nil"/>
            </w:tcBorders>
            <w:hideMark/>
          </w:tcPr>
          <w:p w14:paraId="271F7FD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5,076</w:t>
            </w:r>
          </w:p>
        </w:tc>
        <w:tc>
          <w:tcPr>
            <w:tcW w:w="1249" w:type="dxa"/>
            <w:tcBorders>
              <w:top w:val="nil"/>
              <w:bottom w:val="nil"/>
            </w:tcBorders>
            <w:hideMark/>
          </w:tcPr>
          <w:p w14:paraId="7E794A6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2,330</w:t>
            </w:r>
          </w:p>
        </w:tc>
        <w:tc>
          <w:tcPr>
            <w:tcW w:w="1249" w:type="dxa"/>
            <w:tcBorders>
              <w:top w:val="nil"/>
              <w:bottom w:val="nil"/>
            </w:tcBorders>
            <w:hideMark/>
          </w:tcPr>
          <w:p w14:paraId="0E283AB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45.90</w:t>
            </w:r>
          </w:p>
        </w:tc>
        <w:tc>
          <w:tcPr>
            <w:tcW w:w="1249" w:type="dxa"/>
            <w:tcBorders>
              <w:top w:val="nil"/>
              <w:bottom w:val="nil"/>
            </w:tcBorders>
          </w:tcPr>
          <w:p w14:paraId="38607A1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23.77</w:t>
            </w:r>
          </w:p>
        </w:tc>
        <w:tc>
          <w:tcPr>
            <w:tcW w:w="1249" w:type="dxa"/>
            <w:tcBorders>
              <w:top w:val="nil"/>
              <w:bottom w:val="nil"/>
            </w:tcBorders>
          </w:tcPr>
          <w:p w14:paraId="6838530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9.07</w:t>
            </w:r>
          </w:p>
        </w:tc>
        <w:tc>
          <w:tcPr>
            <w:tcW w:w="1249" w:type="dxa"/>
            <w:tcBorders>
              <w:top w:val="nil"/>
              <w:bottom w:val="nil"/>
            </w:tcBorders>
          </w:tcPr>
          <w:p w14:paraId="53D6978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22.83</w:t>
            </w:r>
          </w:p>
        </w:tc>
        <w:tc>
          <w:tcPr>
            <w:tcW w:w="1250" w:type="dxa"/>
            <w:tcBorders>
              <w:top w:val="nil"/>
              <w:bottom w:val="nil"/>
            </w:tcBorders>
          </w:tcPr>
          <w:p w14:paraId="6A80CBC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25.60</w:t>
            </w:r>
          </w:p>
        </w:tc>
      </w:tr>
      <w:tr w:rsidR="00AB238E" w:rsidRPr="00705903" w14:paraId="767E2B71" w14:textId="77777777" w:rsidTr="00A4523E">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1547C46B"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2014</w:t>
            </w:r>
          </w:p>
        </w:tc>
        <w:tc>
          <w:tcPr>
            <w:tcW w:w="1249" w:type="dxa"/>
            <w:tcBorders>
              <w:top w:val="nil"/>
              <w:bottom w:val="nil"/>
            </w:tcBorders>
            <w:hideMark/>
          </w:tcPr>
          <w:p w14:paraId="7D46FE2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5,076</w:t>
            </w:r>
          </w:p>
        </w:tc>
        <w:tc>
          <w:tcPr>
            <w:tcW w:w="1249" w:type="dxa"/>
            <w:tcBorders>
              <w:top w:val="nil"/>
              <w:bottom w:val="nil"/>
            </w:tcBorders>
            <w:hideMark/>
          </w:tcPr>
          <w:p w14:paraId="2790403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2,446</w:t>
            </w:r>
          </w:p>
        </w:tc>
        <w:tc>
          <w:tcPr>
            <w:tcW w:w="1249" w:type="dxa"/>
            <w:tcBorders>
              <w:top w:val="nil"/>
              <w:bottom w:val="nil"/>
            </w:tcBorders>
            <w:hideMark/>
          </w:tcPr>
          <w:p w14:paraId="63FC13C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48.19</w:t>
            </w:r>
          </w:p>
        </w:tc>
        <w:tc>
          <w:tcPr>
            <w:tcW w:w="1249" w:type="dxa"/>
            <w:tcBorders>
              <w:top w:val="nil"/>
              <w:bottom w:val="nil"/>
            </w:tcBorders>
          </w:tcPr>
          <w:p w14:paraId="588FDA6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23.87</w:t>
            </w:r>
          </w:p>
        </w:tc>
        <w:tc>
          <w:tcPr>
            <w:tcW w:w="1249" w:type="dxa"/>
            <w:tcBorders>
              <w:top w:val="nil"/>
              <w:bottom w:val="nil"/>
            </w:tcBorders>
          </w:tcPr>
          <w:p w14:paraId="21B9F60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9.70</w:t>
            </w:r>
          </w:p>
        </w:tc>
        <w:tc>
          <w:tcPr>
            <w:tcW w:w="1249" w:type="dxa"/>
            <w:tcBorders>
              <w:top w:val="nil"/>
              <w:bottom w:val="nil"/>
            </w:tcBorders>
          </w:tcPr>
          <w:p w14:paraId="76208A9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22.98</w:t>
            </w:r>
          </w:p>
        </w:tc>
        <w:tc>
          <w:tcPr>
            <w:tcW w:w="1250" w:type="dxa"/>
            <w:tcBorders>
              <w:top w:val="nil"/>
              <w:bottom w:val="nil"/>
            </w:tcBorders>
          </w:tcPr>
          <w:p w14:paraId="59719C1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25.79</w:t>
            </w:r>
          </w:p>
        </w:tc>
      </w:tr>
      <w:tr w:rsidR="00AB238E" w:rsidRPr="00705903" w14:paraId="1A504E03"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61558F60"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2015</w:t>
            </w:r>
          </w:p>
        </w:tc>
        <w:tc>
          <w:tcPr>
            <w:tcW w:w="1249" w:type="dxa"/>
            <w:tcBorders>
              <w:top w:val="nil"/>
              <w:bottom w:val="nil"/>
            </w:tcBorders>
            <w:hideMark/>
          </w:tcPr>
          <w:p w14:paraId="2A6A437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5,084</w:t>
            </w:r>
          </w:p>
        </w:tc>
        <w:tc>
          <w:tcPr>
            <w:tcW w:w="1249" w:type="dxa"/>
            <w:tcBorders>
              <w:top w:val="nil"/>
              <w:bottom w:val="nil"/>
            </w:tcBorders>
            <w:hideMark/>
          </w:tcPr>
          <w:p w14:paraId="49AC2F0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2,644</w:t>
            </w:r>
          </w:p>
        </w:tc>
        <w:tc>
          <w:tcPr>
            <w:tcW w:w="1249" w:type="dxa"/>
            <w:tcBorders>
              <w:top w:val="nil"/>
              <w:bottom w:val="nil"/>
            </w:tcBorders>
            <w:hideMark/>
          </w:tcPr>
          <w:p w14:paraId="6D9451B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52.01</w:t>
            </w:r>
          </w:p>
        </w:tc>
        <w:tc>
          <w:tcPr>
            <w:tcW w:w="1249" w:type="dxa"/>
            <w:tcBorders>
              <w:top w:val="nil"/>
              <w:bottom w:val="nil"/>
            </w:tcBorders>
          </w:tcPr>
          <w:p w14:paraId="6E0ED7B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24.55</w:t>
            </w:r>
          </w:p>
        </w:tc>
        <w:tc>
          <w:tcPr>
            <w:tcW w:w="1249" w:type="dxa"/>
            <w:tcBorders>
              <w:top w:val="nil"/>
              <w:bottom w:val="nil"/>
            </w:tcBorders>
          </w:tcPr>
          <w:p w14:paraId="4A75FD8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10.03</w:t>
            </w:r>
          </w:p>
        </w:tc>
        <w:tc>
          <w:tcPr>
            <w:tcW w:w="1249" w:type="dxa"/>
            <w:tcBorders>
              <w:top w:val="nil"/>
              <w:bottom w:val="nil"/>
            </w:tcBorders>
          </w:tcPr>
          <w:p w14:paraId="2B8B84C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24.34</w:t>
            </w:r>
          </w:p>
        </w:tc>
        <w:tc>
          <w:tcPr>
            <w:tcW w:w="1250" w:type="dxa"/>
            <w:tcBorders>
              <w:top w:val="nil"/>
              <w:bottom w:val="nil"/>
            </w:tcBorders>
          </w:tcPr>
          <w:p w14:paraId="227269C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25.70</w:t>
            </w:r>
          </w:p>
        </w:tc>
      </w:tr>
      <w:tr w:rsidR="00AB238E" w:rsidRPr="00705903" w14:paraId="39754433" w14:textId="77777777" w:rsidTr="00A4523E">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15CD7959"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2016</w:t>
            </w:r>
          </w:p>
        </w:tc>
        <w:tc>
          <w:tcPr>
            <w:tcW w:w="1249" w:type="dxa"/>
            <w:tcBorders>
              <w:top w:val="nil"/>
              <w:bottom w:val="nil"/>
            </w:tcBorders>
            <w:hideMark/>
          </w:tcPr>
          <w:p w14:paraId="06B4FDE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5,084</w:t>
            </w:r>
          </w:p>
        </w:tc>
        <w:tc>
          <w:tcPr>
            <w:tcW w:w="1249" w:type="dxa"/>
            <w:tcBorders>
              <w:top w:val="nil"/>
              <w:bottom w:val="nil"/>
            </w:tcBorders>
            <w:hideMark/>
          </w:tcPr>
          <w:p w14:paraId="687D9E6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2,955</w:t>
            </w:r>
          </w:p>
        </w:tc>
        <w:tc>
          <w:tcPr>
            <w:tcW w:w="1249" w:type="dxa"/>
            <w:tcBorders>
              <w:top w:val="nil"/>
              <w:bottom w:val="nil"/>
            </w:tcBorders>
            <w:hideMark/>
          </w:tcPr>
          <w:p w14:paraId="363379B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58.12</w:t>
            </w:r>
          </w:p>
        </w:tc>
        <w:tc>
          <w:tcPr>
            <w:tcW w:w="1249" w:type="dxa"/>
            <w:tcBorders>
              <w:top w:val="nil"/>
              <w:bottom w:val="nil"/>
            </w:tcBorders>
          </w:tcPr>
          <w:p w14:paraId="6FD12B3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24.75</w:t>
            </w:r>
          </w:p>
        </w:tc>
        <w:tc>
          <w:tcPr>
            <w:tcW w:w="1249" w:type="dxa"/>
            <w:tcBorders>
              <w:top w:val="nil"/>
              <w:bottom w:val="nil"/>
            </w:tcBorders>
          </w:tcPr>
          <w:p w14:paraId="4673864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10.48</w:t>
            </w:r>
          </w:p>
        </w:tc>
        <w:tc>
          <w:tcPr>
            <w:tcW w:w="1249" w:type="dxa"/>
            <w:tcBorders>
              <w:top w:val="nil"/>
              <w:bottom w:val="nil"/>
            </w:tcBorders>
          </w:tcPr>
          <w:p w14:paraId="58F2BBD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24.92</w:t>
            </w:r>
          </w:p>
        </w:tc>
        <w:tc>
          <w:tcPr>
            <w:tcW w:w="1250" w:type="dxa"/>
            <w:tcBorders>
              <w:top w:val="nil"/>
              <w:bottom w:val="nil"/>
            </w:tcBorders>
          </w:tcPr>
          <w:p w14:paraId="731CF87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24.32</w:t>
            </w:r>
          </w:p>
        </w:tc>
      </w:tr>
      <w:tr w:rsidR="00AB238E" w:rsidRPr="00705903" w14:paraId="7743787E"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62C6374F"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2017</w:t>
            </w:r>
          </w:p>
        </w:tc>
        <w:tc>
          <w:tcPr>
            <w:tcW w:w="1249" w:type="dxa"/>
            <w:tcBorders>
              <w:top w:val="nil"/>
              <w:bottom w:val="nil"/>
            </w:tcBorders>
            <w:hideMark/>
          </w:tcPr>
          <w:p w14:paraId="6944C94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5,084</w:t>
            </w:r>
          </w:p>
        </w:tc>
        <w:tc>
          <w:tcPr>
            <w:tcW w:w="1249" w:type="dxa"/>
            <w:tcBorders>
              <w:top w:val="nil"/>
              <w:bottom w:val="nil"/>
            </w:tcBorders>
            <w:hideMark/>
          </w:tcPr>
          <w:p w14:paraId="0EEACB7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3,311</w:t>
            </w:r>
          </w:p>
        </w:tc>
        <w:tc>
          <w:tcPr>
            <w:tcW w:w="1249" w:type="dxa"/>
            <w:tcBorders>
              <w:top w:val="nil"/>
              <w:bottom w:val="nil"/>
            </w:tcBorders>
            <w:hideMark/>
          </w:tcPr>
          <w:p w14:paraId="608C54D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65.13</w:t>
            </w:r>
          </w:p>
        </w:tc>
        <w:tc>
          <w:tcPr>
            <w:tcW w:w="1249" w:type="dxa"/>
            <w:tcBorders>
              <w:top w:val="nil"/>
              <w:bottom w:val="nil"/>
            </w:tcBorders>
          </w:tcPr>
          <w:p w14:paraId="029EC5C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26.00</w:t>
            </w:r>
          </w:p>
        </w:tc>
        <w:tc>
          <w:tcPr>
            <w:tcW w:w="1249" w:type="dxa"/>
            <w:tcBorders>
              <w:top w:val="nil"/>
              <w:bottom w:val="nil"/>
            </w:tcBorders>
          </w:tcPr>
          <w:p w14:paraId="2016DDD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12.10</w:t>
            </w:r>
          </w:p>
        </w:tc>
        <w:tc>
          <w:tcPr>
            <w:tcW w:w="1249" w:type="dxa"/>
            <w:tcBorders>
              <w:top w:val="nil"/>
              <w:bottom w:val="nil"/>
            </w:tcBorders>
          </w:tcPr>
          <w:p w14:paraId="2849DDA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26.54</w:t>
            </w:r>
          </w:p>
        </w:tc>
        <w:tc>
          <w:tcPr>
            <w:tcW w:w="1250" w:type="dxa"/>
            <w:tcBorders>
              <w:top w:val="nil"/>
              <w:bottom w:val="nil"/>
            </w:tcBorders>
          </w:tcPr>
          <w:p w14:paraId="34C7FD0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24.37</w:t>
            </w:r>
          </w:p>
        </w:tc>
      </w:tr>
      <w:tr w:rsidR="00AB238E" w:rsidRPr="00705903" w14:paraId="2E5E7421" w14:textId="77777777" w:rsidTr="00A4523E">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72727062"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2018</w:t>
            </w:r>
          </w:p>
        </w:tc>
        <w:tc>
          <w:tcPr>
            <w:tcW w:w="1249" w:type="dxa"/>
            <w:tcBorders>
              <w:top w:val="nil"/>
              <w:bottom w:val="nil"/>
            </w:tcBorders>
            <w:hideMark/>
          </w:tcPr>
          <w:p w14:paraId="2B4E4E1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5,084</w:t>
            </w:r>
          </w:p>
        </w:tc>
        <w:tc>
          <w:tcPr>
            <w:tcW w:w="1249" w:type="dxa"/>
            <w:tcBorders>
              <w:top w:val="nil"/>
              <w:bottom w:val="nil"/>
            </w:tcBorders>
            <w:hideMark/>
          </w:tcPr>
          <w:p w14:paraId="7617D21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3,414</w:t>
            </w:r>
          </w:p>
        </w:tc>
        <w:tc>
          <w:tcPr>
            <w:tcW w:w="1249" w:type="dxa"/>
            <w:tcBorders>
              <w:top w:val="nil"/>
              <w:bottom w:val="nil"/>
            </w:tcBorders>
            <w:hideMark/>
          </w:tcPr>
          <w:p w14:paraId="0AE41D4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67.15</w:t>
            </w:r>
          </w:p>
        </w:tc>
        <w:tc>
          <w:tcPr>
            <w:tcW w:w="1249" w:type="dxa"/>
            <w:tcBorders>
              <w:top w:val="nil"/>
              <w:bottom w:val="nil"/>
            </w:tcBorders>
          </w:tcPr>
          <w:p w14:paraId="6C4484C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27.21</w:t>
            </w:r>
          </w:p>
        </w:tc>
        <w:tc>
          <w:tcPr>
            <w:tcW w:w="1249" w:type="dxa"/>
            <w:tcBorders>
              <w:top w:val="nil"/>
              <w:bottom w:val="nil"/>
            </w:tcBorders>
          </w:tcPr>
          <w:p w14:paraId="1BA7ECB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13.24</w:t>
            </w:r>
          </w:p>
        </w:tc>
        <w:tc>
          <w:tcPr>
            <w:tcW w:w="1249" w:type="dxa"/>
            <w:tcBorders>
              <w:top w:val="nil"/>
              <w:bottom w:val="nil"/>
            </w:tcBorders>
          </w:tcPr>
          <w:p w14:paraId="1431EC1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27.35</w:t>
            </w:r>
          </w:p>
        </w:tc>
        <w:tc>
          <w:tcPr>
            <w:tcW w:w="1250" w:type="dxa"/>
            <w:tcBorders>
              <w:top w:val="nil"/>
              <w:bottom w:val="nil"/>
            </w:tcBorders>
          </w:tcPr>
          <w:p w14:paraId="5A3B41F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25.53</w:t>
            </w:r>
          </w:p>
        </w:tc>
      </w:tr>
      <w:tr w:rsidR="00AB238E" w:rsidRPr="00705903" w14:paraId="0E0AED3D"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7899CFD4"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2019</w:t>
            </w:r>
          </w:p>
        </w:tc>
        <w:tc>
          <w:tcPr>
            <w:tcW w:w="1249" w:type="dxa"/>
            <w:tcBorders>
              <w:top w:val="nil"/>
              <w:bottom w:val="nil"/>
            </w:tcBorders>
            <w:hideMark/>
          </w:tcPr>
          <w:p w14:paraId="3FC700E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5,084</w:t>
            </w:r>
          </w:p>
        </w:tc>
        <w:tc>
          <w:tcPr>
            <w:tcW w:w="1249" w:type="dxa"/>
            <w:tcBorders>
              <w:top w:val="nil"/>
              <w:bottom w:val="nil"/>
            </w:tcBorders>
            <w:hideMark/>
          </w:tcPr>
          <w:p w14:paraId="507ABF1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3,647</w:t>
            </w:r>
          </w:p>
        </w:tc>
        <w:tc>
          <w:tcPr>
            <w:tcW w:w="1249" w:type="dxa"/>
            <w:tcBorders>
              <w:top w:val="nil"/>
              <w:bottom w:val="nil"/>
            </w:tcBorders>
            <w:hideMark/>
          </w:tcPr>
          <w:p w14:paraId="1001A40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71.73</w:t>
            </w:r>
          </w:p>
        </w:tc>
        <w:tc>
          <w:tcPr>
            <w:tcW w:w="1249" w:type="dxa"/>
            <w:tcBorders>
              <w:top w:val="nil"/>
              <w:bottom w:val="nil"/>
            </w:tcBorders>
          </w:tcPr>
          <w:p w14:paraId="29FE961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27.32</w:t>
            </w:r>
          </w:p>
        </w:tc>
        <w:tc>
          <w:tcPr>
            <w:tcW w:w="1249" w:type="dxa"/>
            <w:tcBorders>
              <w:top w:val="nil"/>
              <w:bottom w:val="nil"/>
            </w:tcBorders>
          </w:tcPr>
          <w:p w14:paraId="26D1636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13.29</w:t>
            </w:r>
          </w:p>
        </w:tc>
        <w:tc>
          <w:tcPr>
            <w:tcW w:w="1249" w:type="dxa"/>
            <w:tcBorders>
              <w:top w:val="nil"/>
              <w:bottom w:val="nil"/>
            </w:tcBorders>
          </w:tcPr>
          <w:p w14:paraId="49E0095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25.43</w:t>
            </w:r>
          </w:p>
        </w:tc>
        <w:tc>
          <w:tcPr>
            <w:tcW w:w="1250" w:type="dxa"/>
            <w:tcBorders>
              <w:top w:val="nil"/>
              <w:bottom w:val="nil"/>
            </w:tcBorders>
          </w:tcPr>
          <w:p w14:paraId="32D41A8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27.56</w:t>
            </w:r>
          </w:p>
        </w:tc>
      </w:tr>
      <w:tr w:rsidR="00AB238E" w:rsidRPr="00705903" w14:paraId="55A9DC54" w14:textId="77777777" w:rsidTr="00A4523E">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543BED1D"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2020</w:t>
            </w:r>
          </w:p>
        </w:tc>
        <w:tc>
          <w:tcPr>
            <w:tcW w:w="1249" w:type="dxa"/>
            <w:tcBorders>
              <w:top w:val="nil"/>
              <w:bottom w:val="nil"/>
            </w:tcBorders>
            <w:hideMark/>
          </w:tcPr>
          <w:p w14:paraId="1A0454F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5,084</w:t>
            </w:r>
          </w:p>
        </w:tc>
        <w:tc>
          <w:tcPr>
            <w:tcW w:w="1249" w:type="dxa"/>
            <w:tcBorders>
              <w:top w:val="nil"/>
              <w:bottom w:val="nil"/>
            </w:tcBorders>
            <w:hideMark/>
          </w:tcPr>
          <w:p w14:paraId="333C62F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4,179</w:t>
            </w:r>
          </w:p>
        </w:tc>
        <w:tc>
          <w:tcPr>
            <w:tcW w:w="1249" w:type="dxa"/>
            <w:tcBorders>
              <w:top w:val="nil"/>
              <w:bottom w:val="nil"/>
            </w:tcBorders>
            <w:hideMark/>
          </w:tcPr>
          <w:p w14:paraId="2EAE8D4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82.20</w:t>
            </w:r>
          </w:p>
        </w:tc>
        <w:tc>
          <w:tcPr>
            <w:tcW w:w="1249" w:type="dxa"/>
            <w:tcBorders>
              <w:top w:val="nil"/>
              <w:bottom w:val="nil"/>
            </w:tcBorders>
          </w:tcPr>
          <w:p w14:paraId="796DCE6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27.48</w:t>
            </w:r>
          </w:p>
        </w:tc>
        <w:tc>
          <w:tcPr>
            <w:tcW w:w="1249" w:type="dxa"/>
            <w:tcBorders>
              <w:top w:val="nil"/>
              <w:bottom w:val="nil"/>
            </w:tcBorders>
          </w:tcPr>
          <w:p w14:paraId="0495274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14.66</w:t>
            </w:r>
          </w:p>
        </w:tc>
        <w:tc>
          <w:tcPr>
            <w:tcW w:w="1249" w:type="dxa"/>
            <w:tcBorders>
              <w:top w:val="nil"/>
              <w:bottom w:val="nil"/>
            </w:tcBorders>
          </w:tcPr>
          <w:p w14:paraId="6911B0F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25.41</w:t>
            </w:r>
          </w:p>
        </w:tc>
        <w:tc>
          <w:tcPr>
            <w:tcW w:w="1250" w:type="dxa"/>
            <w:tcBorders>
              <w:top w:val="nil"/>
              <w:bottom w:val="nil"/>
            </w:tcBorders>
          </w:tcPr>
          <w:p w14:paraId="66BF584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26.30</w:t>
            </w:r>
          </w:p>
        </w:tc>
      </w:tr>
      <w:tr w:rsidR="00AB238E" w:rsidRPr="00705903" w14:paraId="7610803D"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7076621F"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2021</w:t>
            </w:r>
          </w:p>
        </w:tc>
        <w:tc>
          <w:tcPr>
            <w:tcW w:w="1249" w:type="dxa"/>
            <w:tcBorders>
              <w:top w:val="nil"/>
              <w:bottom w:val="nil"/>
            </w:tcBorders>
            <w:hideMark/>
          </w:tcPr>
          <w:p w14:paraId="089F36C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5,084</w:t>
            </w:r>
          </w:p>
        </w:tc>
        <w:tc>
          <w:tcPr>
            <w:tcW w:w="1249" w:type="dxa"/>
            <w:tcBorders>
              <w:top w:val="nil"/>
              <w:bottom w:val="nil"/>
            </w:tcBorders>
            <w:hideMark/>
          </w:tcPr>
          <w:p w14:paraId="5F0518F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4,615</w:t>
            </w:r>
          </w:p>
        </w:tc>
        <w:tc>
          <w:tcPr>
            <w:tcW w:w="1249" w:type="dxa"/>
            <w:tcBorders>
              <w:top w:val="nil"/>
              <w:bottom w:val="nil"/>
            </w:tcBorders>
            <w:hideMark/>
          </w:tcPr>
          <w:p w14:paraId="619C20D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90.77</w:t>
            </w:r>
          </w:p>
        </w:tc>
        <w:tc>
          <w:tcPr>
            <w:tcW w:w="1249" w:type="dxa"/>
            <w:tcBorders>
              <w:top w:val="nil"/>
              <w:bottom w:val="nil"/>
            </w:tcBorders>
          </w:tcPr>
          <w:p w14:paraId="3DA5834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28.69</w:t>
            </w:r>
          </w:p>
        </w:tc>
        <w:tc>
          <w:tcPr>
            <w:tcW w:w="1249" w:type="dxa"/>
            <w:tcBorders>
              <w:top w:val="nil"/>
              <w:bottom w:val="nil"/>
            </w:tcBorders>
          </w:tcPr>
          <w:p w14:paraId="11AAB94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16.99</w:t>
            </w:r>
          </w:p>
        </w:tc>
        <w:tc>
          <w:tcPr>
            <w:tcW w:w="1249" w:type="dxa"/>
            <w:tcBorders>
              <w:top w:val="nil"/>
              <w:bottom w:val="nil"/>
            </w:tcBorders>
          </w:tcPr>
          <w:p w14:paraId="5D91A06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26.27</w:t>
            </w:r>
          </w:p>
        </w:tc>
        <w:tc>
          <w:tcPr>
            <w:tcW w:w="1250" w:type="dxa"/>
            <w:tcBorders>
              <w:top w:val="nil"/>
              <w:bottom w:val="nil"/>
            </w:tcBorders>
          </w:tcPr>
          <w:p w14:paraId="36C31BD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rPr>
              <w:t>24.16</w:t>
            </w:r>
          </w:p>
        </w:tc>
      </w:tr>
      <w:tr w:rsidR="00AB238E" w:rsidRPr="00705903" w14:paraId="49C89596" w14:textId="77777777" w:rsidTr="00A4523E">
        <w:tc>
          <w:tcPr>
            <w:cnfStyle w:val="001000000000" w:firstRow="0" w:lastRow="0" w:firstColumn="1" w:lastColumn="0" w:oddVBand="0" w:evenVBand="0" w:oddHBand="0" w:evenHBand="0" w:firstRowFirstColumn="0" w:firstRowLastColumn="0" w:lastRowFirstColumn="0" w:lastRowLastColumn="0"/>
            <w:tcW w:w="616" w:type="dxa"/>
            <w:tcBorders>
              <w:top w:val="nil"/>
            </w:tcBorders>
            <w:hideMark/>
          </w:tcPr>
          <w:p w14:paraId="7214A2A3"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2022</w:t>
            </w:r>
          </w:p>
        </w:tc>
        <w:tc>
          <w:tcPr>
            <w:tcW w:w="1249" w:type="dxa"/>
            <w:tcBorders>
              <w:top w:val="nil"/>
            </w:tcBorders>
            <w:hideMark/>
          </w:tcPr>
          <w:p w14:paraId="1CB0386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5,084</w:t>
            </w:r>
          </w:p>
        </w:tc>
        <w:tc>
          <w:tcPr>
            <w:tcW w:w="1249" w:type="dxa"/>
            <w:tcBorders>
              <w:top w:val="nil"/>
            </w:tcBorders>
            <w:hideMark/>
          </w:tcPr>
          <w:p w14:paraId="2F71BF7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4,853</w:t>
            </w:r>
          </w:p>
        </w:tc>
        <w:tc>
          <w:tcPr>
            <w:tcW w:w="1249" w:type="dxa"/>
            <w:tcBorders>
              <w:top w:val="nil"/>
            </w:tcBorders>
            <w:hideMark/>
          </w:tcPr>
          <w:p w14:paraId="39CBC4A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95.46</w:t>
            </w:r>
          </w:p>
        </w:tc>
        <w:tc>
          <w:tcPr>
            <w:tcW w:w="1249" w:type="dxa"/>
            <w:tcBorders>
              <w:top w:val="nil"/>
            </w:tcBorders>
          </w:tcPr>
          <w:p w14:paraId="5942FA0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31.62</w:t>
            </w:r>
          </w:p>
        </w:tc>
        <w:tc>
          <w:tcPr>
            <w:tcW w:w="1249" w:type="dxa"/>
            <w:tcBorders>
              <w:top w:val="nil"/>
            </w:tcBorders>
          </w:tcPr>
          <w:p w14:paraId="797EB87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37.06</w:t>
            </w:r>
          </w:p>
        </w:tc>
        <w:tc>
          <w:tcPr>
            <w:tcW w:w="1249" w:type="dxa"/>
            <w:tcBorders>
              <w:top w:val="nil"/>
            </w:tcBorders>
          </w:tcPr>
          <w:p w14:paraId="0D77392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26.12</w:t>
            </w:r>
          </w:p>
        </w:tc>
        <w:tc>
          <w:tcPr>
            <w:tcW w:w="1250" w:type="dxa"/>
            <w:tcBorders>
              <w:top w:val="nil"/>
            </w:tcBorders>
          </w:tcPr>
          <w:p w14:paraId="31D815C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rPr>
              <w:t>20.53</w:t>
            </w:r>
          </w:p>
        </w:tc>
      </w:tr>
    </w:tbl>
    <w:p w14:paraId="2F1F85F7" w14:textId="77777777" w:rsidR="00AB238E" w:rsidRPr="00705903" w:rsidRDefault="00AB238E" w:rsidP="0097761F">
      <w:pPr>
        <w:spacing w:line="259" w:lineRule="auto"/>
        <w:ind w:firstLine="0"/>
        <w:jc w:val="both"/>
        <w:rPr>
          <w:sz w:val="20"/>
          <w:szCs w:val="20"/>
        </w:rPr>
      </w:pPr>
    </w:p>
    <w:p w14:paraId="676332D7" w14:textId="77777777" w:rsidR="00AB238E" w:rsidRPr="00705903" w:rsidRDefault="00AB238E" w:rsidP="0097761F">
      <w:pPr>
        <w:spacing w:after="160" w:line="259" w:lineRule="auto"/>
        <w:ind w:firstLine="0"/>
        <w:jc w:val="both"/>
        <w:rPr>
          <w:sz w:val="20"/>
          <w:szCs w:val="20"/>
          <w:lang w:val="en-US"/>
        </w:rPr>
      </w:pPr>
    </w:p>
    <w:p w14:paraId="63A24156" w14:textId="77777777" w:rsidR="00AB238E" w:rsidRPr="00705903" w:rsidRDefault="00AB238E" w:rsidP="0097761F">
      <w:pPr>
        <w:spacing w:after="160" w:line="259" w:lineRule="auto"/>
        <w:ind w:firstLine="0"/>
        <w:jc w:val="both"/>
        <w:rPr>
          <w:sz w:val="20"/>
          <w:szCs w:val="20"/>
          <w:lang w:val="en-US"/>
        </w:rPr>
      </w:pPr>
    </w:p>
    <w:p w14:paraId="62B17B46" w14:textId="77777777" w:rsidR="00AB238E" w:rsidRPr="00705903" w:rsidRDefault="00AB238E" w:rsidP="0097761F">
      <w:pPr>
        <w:spacing w:after="160" w:line="259" w:lineRule="auto"/>
        <w:ind w:firstLine="0"/>
        <w:jc w:val="both"/>
        <w:rPr>
          <w:b/>
          <w:bCs/>
          <w:sz w:val="20"/>
          <w:szCs w:val="20"/>
          <w:lang w:val="en-US" w:eastAsia="zh-CN"/>
        </w:rPr>
      </w:pPr>
      <w:r w:rsidRPr="00705903">
        <w:rPr>
          <w:sz w:val="20"/>
          <w:szCs w:val="20"/>
          <w:lang w:val="en-US"/>
        </w:rPr>
        <w:br w:type="page"/>
      </w:r>
    </w:p>
    <w:p w14:paraId="4DD31002" w14:textId="77777777" w:rsidR="00AB238E" w:rsidRPr="00705903" w:rsidRDefault="00AB238E" w:rsidP="0097761F">
      <w:pPr>
        <w:pStyle w:val="Heading1"/>
      </w:pPr>
      <w:r w:rsidRPr="00705903">
        <w:t xml:space="preserve">Table 3. </w:t>
      </w:r>
      <w:bookmarkStart w:id="6" w:name="_Hlk212673792"/>
      <w:r w:rsidRPr="00705903">
        <w:t>Annual ESG Rating Coverage Ratio by GICS Industry (2007–2022)</w:t>
      </w:r>
      <w:bookmarkEnd w:id="6"/>
    </w:p>
    <w:p w14:paraId="351A05ED" w14:textId="77777777" w:rsidR="00AB238E" w:rsidRPr="00705903" w:rsidRDefault="00AB238E" w:rsidP="0097761F">
      <w:pPr>
        <w:spacing w:line="276" w:lineRule="auto"/>
        <w:ind w:firstLine="0"/>
        <w:jc w:val="both"/>
        <w:rPr>
          <w:sz w:val="20"/>
          <w:szCs w:val="20"/>
          <w:lang w:val="en-US"/>
        </w:rPr>
      </w:pPr>
    </w:p>
    <w:p w14:paraId="42622FD6" w14:textId="77777777" w:rsidR="00AB238E" w:rsidRPr="00705903" w:rsidRDefault="00AB238E" w:rsidP="0097761F">
      <w:pPr>
        <w:spacing w:line="276" w:lineRule="auto"/>
        <w:ind w:firstLine="0"/>
        <w:jc w:val="both"/>
        <w:rPr>
          <w:sz w:val="20"/>
          <w:szCs w:val="20"/>
          <w:lang w:val="en-US"/>
        </w:rPr>
      </w:pPr>
      <w:r w:rsidRPr="00705903">
        <w:rPr>
          <w:sz w:val="20"/>
          <w:szCs w:val="20"/>
          <w:lang w:val="en-US"/>
        </w:rPr>
        <w:t xml:space="preserve">This table reports the annual ESG rating coverage ratio for firms across 11 GICS </w:t>
      </w:r>
      <w:proofErr w:type="gramStart"/>
      <w:r w:rsidRPr="00705903">
        <w:rPr>
          <w:sz w:val="20"/>
          <w:szCs w:val="20"/>
          <w:lang w:val="en-US"/>
        </w:rPr>
        <w:t>Level-1</w:t>
      </w:r>
      <w:proofErr w:type="gramEnd"/>
      <w:r w:rsidRPr="00705903">
        <w:rPr>
          <w:sz w:val="20"/>
          <w:szCs w:val="20"/>
          <w:lang w:val="en-US"/>
        </w:rPr>
        <w:t xml:space="preserve"> industries, based on Wind industry classification as of February 2025. The coverage ratio is defined as the proportion of firms within each industry that have available ESG ratings in the CNRDS database </w:t>
      </w:r>
      <w:proofErr w:type="gramStart"/>
      <w:r w:rsidRPr="00705903">
        <w:rPr>
          <w:sz w:val="20"/>
          <w:szCs w:val="20"/>
          <w:lang w:val="en-US"/>
        </w:rPr>
        <w:t>in a given year</w:t>
      </w:r>
      <w:proofErr w:type="gramEnd"/>
      <w:r w:rsidRPr="00705903">
        <w:rPr>
          <w:sz w:val="20"/>
          <w:szCs w:val="20"/>
          <w:lang w:val="en-US"/>
        </w:rPr>
        <w:t>. The sample period spans from 2007 to 2022 and captures the evolution of ESG data penetration across industries over time.</w:t>
      </w:r>
    </w:p>
    <w:p w14:paraId="4BD1FD4F" w14:textId="77777777" w:rsidR="00AB238E" w:rsidRPr="00705903" w:rsidRDefault="00AB238E" w:rsidP="0097761F">
      <w:pPr>
        <w:spacing w:line="276" w:lineRule="auto"/>
        <w:ind w:firstLine="0"/>
        <w:jc w:val="both"/>
        <w:rPr>
          <w:sz w:val="20"/>
          <w:szCs w:val="20"/>
          <w:lang w:val="en-US"/>
        </w:rPr>
      </w:pPr>
    </w:p>
    <w:p w14:paraId="51EF8E00" w14:textId="77777777" w:rsidR="00AB238E" w:rsidRPr="00705903" w:rsidRDefault="00AB238E" w:rsidP="0097761F">
      <w:pPr>
        <w:spacing w:line="276" w:lineRule="auto"/>
        <w:ind w:firstLine="0"/>
        <w:jc w:val="both"/>
        <w:rPr>
          <w:sz w:val="20"/>
          <w:szCs w:val="20"/>
          <w:lang w:val="en-US"/>
        </w:rPr>
      </w:pPr>
      <w:r w:rsidRPr="00705903">
        <w:rPr>
          <w:sz w:val="20"/>
          <w:szCs w:val="20"/>
          <w:lang w:val="en-US"/>
        </w:rPr>
        <w:t>Over the fifteen-year sample period, ESG coverage expanded substantially across all industries, reflecting the rapid diffusion of sustainability disclosure practices in China’s capital market. The average coverage ratio increased from 0.43 in 2007 to 0.96 in 2022, corresponding to a +123% relative improvement.</w:t>
      </w:r>
    </w:p>
    <w:p w14:paraId="6E2768B8" w14:textId="77777777" w:rsidR="00AB238E" w:rsidRPr="00705903" w:rsidRDefault="00AB238E" w:rsidP="0097761F">
      <w:pPr>
        <w:spacing w:line="276" w:lineRule="auto"/>
        <w:ind w:firstLine="0"/>
        <w:jc w:val="both"/>
        <w:rPr>
          <w:sz w:val="20"/>
          <w:szCs w:val="20"/>
          <w:lang w:val="en-US"/>
        </w:rPr>
      </w:pPr>
      <w:r w:rsidRPr="00705903">
        <w:rPr>
          <w:sz w:val="20"/>
          <w:szCs w:val="20"/>
          <w:lang w:val="en-US"/>
        </w:rPr>
        <w:br/>
        <w:t>Among industries, Information Technology (+0.79) and Telecommunication Services (+0.75) experienced the most pronounced increases, driven by regulatory encouragement for digital governance and information transparency. Health Care (+0.73) and Industrials (+0.70) also showed rapid adoption, consistent with heightened environmental and safety reporting standards.</w:t>
      </w:r>
      <w:r w:rsidRPr="00705903">
        <w:rPr>
          <w:sz w:val="20"/>
          <w:szCs w:val="20"/>
          <w:lang w:val="en-US" w:eastAsia="zh-CN"/>
        </w:rPr>
        <w:t xml:space="preserve"> </w:t>
      </w:r>
      <w:r w:rsidRPr="00705903">
        <w:rPr>
          <w:sz w:val="20"/>
          <w:szCs w:val="20"/>
          <w:lang w:val="en-US"/>
        </w:rPr>
        <w:t>In contrast, Real Estate (+0.12) and Utilities (+0.38) exhibited slower growth, suggesting relatively stable or already high disclosure levels at the beginning of the sample period. The narrowing dispersion in 2022 — when nearly all industries achieved over 90% coverage — underscores the institutionalization of ESG reporting under China’s green finance and sustainability initiatives.</w:t>
      </w:r>
    </w:p>
    <w:p w14:paraId="78E9490F" w14:textId="77777777" w:rsidR="00AB238E" w:rsidRPr="00705903" w:rsidRDefault="00AB238E" w:rsidP="0097761F">
      <w:pPr>
        <w:spacing w:line="276" w:lineRule="auto"/>
        <w:ind w:firstLine="0"/>
        <w:jc w:val="both"/>
        <w:rPr>
          <w:sz w:val="20"/>
          <w:szCs w:val="20"/>
          <w:lang w:val="en-US"/>
        </w:rPr>
      </w:pPr>
    </w:p>
    <w:p w14:paraId="28A4CC25"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 xml:space="preserve">Panel A: Industries’ Annual ESG Rating Coverage Ratio </w:t>
      </w:r>
    </w:p>
    <w:tbl>
      <w:tblPr>
        <w:tblStyle w:val="PlainTable2"/>
        <w:tblW w:w="0" w:type="auto"/>
        <w:tblLayout w:type="fixed"/>
        <w:tblLook w:val="04A0" w:firstRow="1" w:lastRow="0" w:firstColumn="1" w:lastColumn="0" w:noHBand="0" w:noVBand="1"/>
      </w:tblPr>
      <w:tblGrid>
        <w:gridCol w:w="630"/>
        <w:gridCol w:w="793"/>
        <w:gridCol w:w="794"/>
        <w:gridCol w:w="793"/>
        <w:gridCol w:w="794"/>
        <w:gridCol w:w="794"/>
        <w:gridCol w:w="793"/>
        <w:gridCol w:w="794"/>
        <w:gridCol w:w="794"/>
        <w:gridCol w:w="793"/>
        <w:gridCol w:w="794"/>
        <w:gridCol w:w="794"/>
      </w:tblGrid>
      <w:tr w:rsidR="00AB238E" w:rsidRPr="00705903" w14:paraId="076442AE" w14:textId="77777777" w:rsidTr="00A4523E">
        <w:trPr>
          <w:cnfStyle w:val="100000000000" w:firstRow="1" w:lastRow="0" w:firstColumn="0" w:lastColumn="0" w:oddVBand="0" w:evenVBand="0" w:oddHBand="0" w:evenHBand="0" w:firstRowFirstColumn="0" w:firstRowLastColumn="0" w:lastRowFirstColumn="0" w:lastRowLastColumn="0"/>
          <w:cantSplit/>
          <w:trHeight w:val="1286"/>
        </w:trPr>
        <w:tc>
          <w:tcPr>
            <w:cnfStyle w:val="001000000000" w:firstRow="0" w:lastRow="0" w:firstColumn="1" w:lastColumn="0" w:oddVBand="0" w:evenVBand="0" w:oddHBand="0" w:evenHBand="0" w:firstRowFirstColumn="0" w:firstRowLastColumn="0" w:lastRowFirstColumn="0" w:lastRowLastColumn="0"/>
            <w:tcW w:w="630" w:type="dxa"/>
            <w:textDirection w:val="btLr"/>
            <w:hideMark/>
          </w:tcPr>
          <w:p w14:paraId="55387F7B" w14:textId="77777777" w:rsidR="00AB238E" w:rsidRPr="00705903" w:rsidRDefault="00AB238E" w:rsidP="0097761F">
            <w:pPr>
              <w:spacing w:line="276" w:lineRule="auto"/>
              <w:ind w:left="113" w:right="113" w:firstLine="0"/>
              <w:jc w:val="both"/>
              <w:rPr>
                <w:b w:val="0"/>
                <w:bCs w:val="0"/>
                <w:sz w:val="18"/>
                <w:szCs w:val="18"/>
                <w:lang w:val="en-US"/>
              </w:rPr>
            </w:pPr>
            <w:bookmarkStart w:id="7" w:name="_Hlk211098131"/>
            <w:r w:rsidRPr="00705903">
              <w:rPr>
                <w:b w:val="0"/>
                <w:bCs w:val="0"/>
                <w:sz w:val="18"/>
                <w:szCs w:val="18"/>
                <w:lang w:val="en-US"/>
              </w:rPr>
              <w:t>Year</w:t>
            </w:r>
          </w:p>
        </w:tc>
        <w:tc>
          <w:tcPr>
            <w:tcW w:w="793" w:type="dxa"/>
            <w:textDirection w:val="btLr"/>
            <w:hideMark/>
          </w:tcPr>
          <w:p w14:paraId="737F7BEE" w14:textId="77777777" w:rsidR="00AB238E" w:rsidRPr="00705903" w:rsidRDefault="00AB238E" w:rsidP="0097761F">
            <w:pPr>
              <w:spacing w:line="276"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Energy</w:t>
            </w:r>
          </w:p>
        </w:tc>
        <w:tc>
          <w:tcPr>
            <w:tcW w:w="794" w:type="dxa"/>
            <w:textDirection w:val="btLr"/>
            <w:hideMark/>
          </w:tcPr>
          <w:p w14:paraId="7CC24907" w14:textId="77777777" w:rsidR="00AB238E" w:rsidRPr="00705903" w:rsidRDefault="00AB238E" w:rsidP="0097761F">
            <w:pPr>
              <w:spacing w:line="276"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Materials</w:t>
            </w:r>
          </w:p>
        </w:tc>
        <w:tc>
          <w:tcPr>
            <w:tcW w:w="793" w:type="dxa"/>
            <w:textDirection w:val="btLr"/>
            <w:hideMark/>
          </w:tcPr>
          <w:p w14:paraId="44787D37" w14:textId="77777777" w:rsidR="00AB238E" w:rsidRPr="00705903" w:rsidRDefault="00AB238E" w:rsidP="0097761F">
            <w:pPr>
              <w:spacing w:line="276"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Industrials</w:t>
            </w:r>
          </w:p>
        </w:tc>
        <w:tc>
          <w:tcPr>
            <w:tcW w:w="794" w:type="dxa"/>
            <w:textDirection w:val="btLr"/>
            <w:hideMark/>
          </w:tcPr>
          <w:p w14:paraId="5D688191" w14:textId="77777777" w:rsidR="00AB238E" w:rsidRPr="00705903" w:rsidRDefault="00AB238E" w:rsidP="0097761F">
            <w:pPr>
              <w:spacing w:line="276"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Consumer Discretionary</w:t>
            </w:r>
          </w:p>
        </w:tc>
        <w:tc>
          <w:tcPr>
            <w:tcW w:w="794" w:type="dxa"/>
            <w:textDirection w:val="btLr"/>
            <w:hideMark/>
          </w:tcPr>
          <w:p w14:paraId="0D3F88AC" w14:textId="77777777" w:rsidR="00AB238E" w:rsidRPr="00705903" w:rsidRDefault="00AB238E" w:rsidP="0097761F">
            <w:pPr>
              <w:spacing w:line="276"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Consumer Staples</w:t>
            </w:r>
          </w:p>
        </w:tc>
        <w:tc>
          <w:tcPr>
            <w:tcW w:w="793" w:type="dxa"/>
            <w:textDirection w:val="btLr"/>
            <w:hideMark/>
          </w:tcPr>
          <w:p w14:paraId="596ADEA9" w14:textId="77777777" w:rsidR="00AB238E" w:rsidRPr="00705903" w:rsidRDefault="00AB238E" w:rsidP="0097761F">
            <w:pPr>
              <w:spacing w:line="276"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Health Care</w:t>
            </w:r>
          </w:p>
        </w:tc>
        <w:tc>
          <w:tcPr>
            <w:tcW w:w="794" w:type="dxa"/>
            <w:textDirection w:val="btLr"/>
            <w:hideMark/>
          </w:tcPr>
          <w:p w14:paraId="73ECF1BA" w14:textId="77777777" w:rsidR="00AB238E" w:rsidRPr="00705903" w:rsidRDefault="00AB238E" w:rsidP="0097761F">
            <w:pPr>
              <w:spacing w:line="276"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Financials</w:t>
            </w:r>
          </w:p>
        </w:tc>
        <w:tc>
          <w:tcPr>
            <w:tcW w:w="794" w:type="dxa"/>
            <w:textDirection w:val="btLr"/>
            <w:hideMark/>
          </w:tcPr>
          <w:p w14:paraId="640261D5" w14:textId="77777777" w:rsidR="00AB238E" w:rsidRPr="00705903" w:rsidRDefault="00AB238E" w:rsidP="0097761F">
            <w:pPr>
              <w:spacing w:line="276"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Information Technology</w:t>
            </w:r>
          </w:p>
        </w:tc>
        <w:tc>
          <w:tcPr>
            <w:tcW w:w="793" w:type="dxa"/>
            <w:textDirection w:val="btLr"/>
            <w:hideMark/>
          </w:tcPr>
          <w:p w14:paraId="4A700C8F" w14:textId="77777777" w:rsidR="00AB238E" w:rsidRPr="00705903" w:rsidRDefault="00AB238E" w:rsidP="0097761F">
            <w:pPr>
              <w:spacing w:line="276"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Telecommunication Services</w:t>
            </w:r>
          </w:p>
        </w:tc>
        <w:tc>
          <w:tcPr>
            <w:tcW w:w="794" w:type="dxa"/>
            <w:textDirection w:val="btLr"/>
            <w:hideMark/>
          </w:tcPr>
          <w:p w14:paraId="479E9E2B" w14:textId="77777777" w:rsidR="00AB238E" w:rsidRPr="00705903" w:rsidRDefault="00AB238E" w:rsidP="0097761F">
            <w:pPr>
              <w:spacing w:line="276"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Utilities</w:t>
            </w:r>
          </w:p>
        </w:tc>
        <w:tc>
          <w:tcPr>
            <w:tcW w:w="794" w:type="dxa"/>
            <w:textDirection w:val="btLr"/>
            <w:hideMark/>
          </w:tcPr>
          <w:p w14:paraId="2B26B7C1" w14:textId="77777777" w:rsidR="00AB238E" w:rsidRPr="00705903" w:rsidRDefault="00AB238E" w:rsidP="0097761F">
            <w:pPr>
              <w:spacing w:line="276"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Real Estate</w:t>
            </w:r>
          </w:p>
        </w:tc>
      </w:tr>
      <w:tr w:rsidR="00AB238E" w:rsidRPr="00705903" w14:paraId="1B5C72BE"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bottom w:val="nil"/>
            </w:tcBorders>
            <w:hideMark/>
          </w:tcPr>
          <w:p w14:paraId="2C5EBF57"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2007</w:t>
            </w:r>
          </w:p>
        </w:tc>
        <w:tc>
          <w:tcPr>
            <w:tcW w:w="793" w:type="dxa"/>
            <w:tcBorders>
              <w:bottom w:val="nil"/>
            </w:tcBorders>
            <w:hideMark/>
          </w:tcPr>
          <w:p w14:paraId="49DF33F0"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0.593</w:t>
            </w:r>
          </w:p>
        </w:tc>
        <w:tc>
          <w:tcPr>
            <w:tcW w:w="794" w:type="dxa"/>
            <w:tcBorders>
              <w:bottom w:val="nil"/>
            </w:tcBorders>
            <w:hideMark/>
          </w:tcPr>
          <w:p w14:paraId="12D85508"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0.326</w:t>
            </w:r>
          </w:p>
        </w:tc>
        <w:tc>
          <w:tcPr>
            <w:tcW w:w="793" w:type="dxa"/>
            <w:tcBorders>
              <w:bottom w:val="nil"/>
            </w:tcBorders>
            <w:hideMark/>
          </w:tcPr>
          <w:p w14:paraId="1042DB64"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0.239</w:t>
            </w:r>
          </w:p>
        </w:tc>
        <w:tc>
          <w:tcPr>
            <w:tcW w:w="794" w:type="dxa"/>
            <w:tcBorders>
              <w:bottom w:val="nil"/>
            </w:tcBorders>
            <w:hideMark/>
          </w:tcPr>
          <w:p w14:paraId="6FE749BE"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0.287</w:t>
            </w:r>
          </w:p>
        </w:tc>
        <w:tc>
          <w:tcPr>
            <w:tcW w:w="794" w:type="dxa"/>
            <w:tcBorders>
              <w:bottom w:val="nil"/>
            </w:tcBorders>
            <w:hideMark/>
          </w:tcPr>
          <w:p w14:paraId="1704E3A1"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0.355</w:t>
            </w:r>
          </w:p>
        </w:tc>
        <w:tc>
          <w:tcPr>
            <w:tcW w:w="793" w:type="dxa"/>
            <w:tcBorders>
              <w:bottom w:val="nil"/>
            </w:tcBorders>
            <w:hideMark/>
          </w:tcPr>
          <w:p w14:paraId="319D56A7"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0.244</w:t>
            </w:r>
          </w:p>
        </w:tc>
        <w:tc>
          <w:tcPr>
            <w:tcW w:w="794" w:type="dxa"/>
            <w:tcBorders>
              <w:bottom w:val="nil"/>
            </w:tcBorders>
            <w:hideMark/>
          </w:tcPr>
          <w:p w14:paraId="7C122339"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0.405</w:t>
            </w:r>
          </w:p>
        </w:tc>
        <w:tc>
          <w:tcPr>
            <w:tcW w:w="794" w:type="dxa"/>
            <w:tcBorders>
              <w:bottom w:val="nil"/>
            </w:tcBorders>
            <w:hideMark/>
          </w:tcPr>
          <w:p w14:paraId="5EDE4AC0"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0.132</w:t>
            </w:r>
          </w:p>
        </w:tc>
        <w:tc>
          <w:tcPr>
            <w:tcW w:w="793" w:type="dxa"/>
            <w:tcBorders>
              <w:bottom w:val="nil"/>
            </w:tcBorders>
            <w:hideMark/>
          </w:tcPr>
          <w:p w14:paraId="10E68A22"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0.250</w:t>
            </w:r>
          </w:p>
        </w:tc>
        <w:tc>
          <w:tcPr>
            <w:tcW w:w="794" w:type="dxa"/>
            <w:tcBorders>
              <w:bottom w:val="nil"/>
            </w:tcBorders>
            <w:hideMark/>
          </w:tcPr>
          <w:p w14:paraId="774E00C8"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0.596</w:t>
            </w:r>
          </w:p>
        </w:tc>
        <w:tc>
          <w:tcPr>
            <w:tcW w:w="794" w:type="dxa"/>
            <w:tcBorders>
              <w:bottom w:val="nil"/>
            </w:tcBorders>
            <w:hideMark/>
          </w:tcPr>
          <w:p w14:paraId="0680EEF9"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0.880</w:t>
            </w:r>
          </w:p>
        </w:tc>
      </w:tr>
      <w:tr w:rsidR="00AB238E" w:rsidRPr="00705903" w14:paraId="50A90B22" w14:textId="77777777" w:rsidTr="00A4523E">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44AAA3E9"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2008</w:t>
            </w:r>
          </w:p>
        </w:tc>
        <w:tc>
          <w:tcPr>
            <w:tcW w:w="793" w:type="dxa"/>
            <w:tcBorders>
              <w:top w:val="nil"/>
              <w:bottom w:val="nil"/>
            </w:tcBorders>
            <w:hideMark/>
          </w:tcPr>
          <w:p w14:paraId="615F0705"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0.617</w:t>
            </w:r>
          </w:p>
        </w:tc>
        <w:tc>
          <w:tcPr>
            <w:tcW w:w="794" w:type="dxa"/>
            <w:tcBorders>
              <w:top w:val="nil"/>
              <w:bottom w:val="nil"/>
            </w:tcBorders>
            <w:hideMark/>
          </w:tcPr>
          <w:p w14:paraId="159D41CE"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0.350</w:t>
            </w:r>
          </w:p>
        </w:tc>
        <w:tc>
          <w:tcPr>
            <w:tcW w:w="793" w:type="dxa"/>
            <w:tcBorders>
              <w:top w:val="nil"/>
              <w:bottom w:val="nil"/>
            </w:tcBorders>
            <w:hideMark/>
          </w:tcPr>
          <w:p w14:paraId="4CF24065"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0.250</w:t>
            </w:r>
          </w:p>
        </w:tc>
        <w:tc>
          <w:tcPr>
            <w:tcW w:w="794" w:type="dxa"/>
            <w:tcBorders>
              <w:top w:val="nil"/>
              <w:bottom w:val="nil"/>
            </w:tcBorders>
            <w:hideMark/>
          </w:tcPr>
          <w:p w14:paraId="049D4441"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0.293</w:t>
            </w:r>
          </w:p>
        </w:tc>
        <w:tc>
          <w:tcPr>
            <w:tcW w:w="794" w:type="dxa"/>
            <w:tcBorders>
              <w:top w:val="nil"/>
              <w:bottom w:val="nil"/>
            </w:tcBorders>
            <w:hideMark/>
          </w:tcPr>
          <w:p w14:paraId="205011C3"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0.363</w:t>
            </w:r>
          </w:p>
        </w:tc>
        <w:tc>
          <w:tcPr>
            <w:tcW w:w="793" w:type="dxa"/>
            <w:tcBorders>
              <w:top w:val="nil"/>
              <w:bottom w:val="nil"/>
            </w:tcBorders>
            <w:hideMark/>
          </w:tcPr>
          <w:p w14:paraId="3AC61665"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0.253</w:t>
            </w:r>
          </w:p>
        </w:tc>
        <w:tc>
          <w:tcPr>
            <w:tcW w:w="794" w:type="dxa"/>
            <w:tcBorders>
              <w:top w:val="nil"/>
              <w:bottom w:val="nil"/>
            </w:tcBorders>
            <w:hideMark/>
          </w:tcPr>
          <w:p w14:paraId="5C55EF24"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0.405</w:t>
            </w:r>
          </w:p>
        </w:tc>
        <w:tc>
          <w:tcPr>
            <w:tcW w:w="794" w:type="dxa"/>
            <w:tcBorders>
              <w:top w:val="nil"/>
              <w:bottom w:val="nil"/>
            </w:tcBorders>
            <w:hideMark/>
          </w:tcPr>
          <w:p w14:paraId="67C418BC"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0.143</w:t>
            </w:r>
          </w:p>
        </w:tc>
        <w:tc>
          <w:tcPr>
            <w:tcW w:w="793" w:type="dxa"/>
            <w:tcBorders>
              <w:top w:val="nil"/>
              <w:bottom w:val="nil"/>
            </w:tcBorders>
            <w:hideMark/>
          </w:tcPr>
          <w:p w14:paraId="68F5CA46"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0.250</w:t>
            </w:r>
          </w:p>
        </w:tc>
        <w:tc>
          <w:tcPr>
            <w:tcW w:w="794" w:type="dxa"/>
            <w:tcBorders>
              <w:top w:val="nil"/>
              <w:bottom w:val="nil"/>
            </w:tcBorders>
            <w:hideMark/>
          </w:tcPr>
          <w:p w14:paraId="385DC170"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0.603</w:t>
            </w:r>
          </w:p>
        </w:tc>
        <w:tc>
          <w:tcPr>
            <w:tcW w:w="794" w:type="dxa"/>
            <w:tcBorders>
              <w:top w:val="nil"/>
              <w:bottom w:val="nil"/>
            </w:tcBorders>
            <w:hideMark/>
          </w:tcPr>
          <w:p w14:paraId="7FD2AFA3"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0.890</w:t>
            </w:r>
          </w:p>
        </w:tc>
      </w:tr>
      <w:tr w:rsidR="00AB238E" w:rsidRPr="00705903" w14:paraId="2717F67F"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001CE834"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2009</w:t>
            </w:r>
          </w:p>
        </w:tc>
        <w:tc>
          <w:tcPr>
            <w:tcW w:w="793" w:type="dxa"/>
            <w:tcBorders>
              <w:top w:val="nil"/>
              <w:bottom w:val="nil"/>
            </w:tcBorders>
            <w:hideMark/>
          </w:tcPr>
          <w:p w14:paraId="7004C5FD"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0.642</w:t>
            </w:r>
          </w:p>
        </w:tc>
        <w:tc>
          <w:tcPr>
            <w:tcW w:w="794" w:type="dxa"/>
            <w:tcBorders>
              <w:top w:val="nil"/>
              <w:bottom w:val="nil"/>
            </w:tcBorders>
            <w:hideMark/>
          </w:tcPr>
          <w:p w14:paraId="022C7679"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0.370</w:t>
            </w:r>
          </w:p>
        </w:tc>
        <w:tc>
          <w:tcPr>
            <w:tcW w:w="793" w:type="dxa"/>
            <w:tcBorders>
              <w:top w:val="nil"/>
              <w:bottom w:val="nil"/>
            </w:tcBorders>
            <w:hideMark/>
          </w:tcPr>
          <w:p w14:paraId="7EC9AFAF"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0.282</w:t>
            </w:r>
          </w:p>
        </w:tc>
        <w:tc>
          <w:tcPr>
            <w:tcW w:w="794" w:type="dxa"/>
            <w:tcBorders>
              <w:top w:val="nil"/>
              <w:bottom w:val="nil"/>
            </w:tcBorders>
            <w:hideMark/>
          </w:tcPr>
          <w:p w14:paraId="1A65C178"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0.323</w:t>
            </w:r>
          </w:p>
        </w:tc>
        <w:tc>
          <w:tcPr>
            <w:tcW w:w="794" w:type="dxa"/>
            <w:tcBorders>
              <w:top w:val="nil"/>
              <w:bottom w:val="nil"/>
            </w:tcBorders>
            <w:hideMark/>
          </w:tcPr>
          <w:p w14:paraId="4CBBCA92"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0.390</w:t>
            </w:r>
          </w:p>
        </w:tc>
        <w:tc>
          <w:tcPr>
            <w:tcW w:w="793" w:type="dxa"/>
            <w:tcBorders>
              <w:top w:val="nil"/>
              <w:bottom w:val="nil"/>
            </w:tcBorders>
            <w:hideMark/>
          </w:tcPr>
          <w:p w14:paraId="5B5722CC"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0.281</w:t>
            </w:r>
          </w:p>
        </w:tc>
        <w:tc>
          <w:tcPr>
            <w:tcW w:w="794" w:type="dxa"/>
            <w:tcBorders>
              <w:top w:val="nil"/>
              <w:bottom w:val="nil"/>
            </w:tcBorders>
            <w:hideMark/>
          </w:tcPr>
          <w:p w14:paraId="38DECB32"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0.430</w:t>
            </w:r>
          </w:p>
        </w:tc>
        <w:tc>
          <w:tcPr>
            <w:tcW w:w="794" w:type="dxa"/>
            <w:tcBorders>
              <w:top w:val="nil"/>
              <w:bottom w:val="nil"/>
            </w:tcBorders>
            <w:hideMark/>
          </w:tcPr>
          <w:p w14:paraId="562603E5"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0.169</w:t>
            </w:r>
          </w:p>
        </w:tc>
        <w:tc>
          <w:tcPr>
            <w:tcW w:w="793" w:type="dxa"/>
            <w:tcBorders>
              <w:top w:val="nil"/>
              <w:bottom w:val="nil"/>
            </w:tcBorders>
            <w:hideMark/>
          </w:tcPr>
          <w:p w14:paraId="0B705404"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0.250</w:t>
            </w:r>
          </w:p>
        </w:tc>
        <w:tc>
          <w:tcPr>
            <w:tcW w:w="794" w:type="dxa"/>
            <w:tcBorders>
              <w:top w:val="nil"/>
              <w:bottom w:val="nil"/>
            </w:tcBorders>
            <w:hideMark/>
          </w:tcPr>
          <w:p w14:paraId="6F53DF8A"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0.610</w:t>
            </w:r>
          </w:p>
        </w:tc>
        <w:tc>
          <w:tcPr>
            <w:tcW w:w="794" w:type="dxa"/>
            <w:tcBorders>
              <w:top w:val="nil"/>
              <w:bottom w:val="nil"/>
            </w:tcBorders>
            <w:hideMark/>
          </w:tcPr>
          <w:p w14:paraId="7FB392E9"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0.920</w:t>
            </w:r>
          </w:p>
        </w:tc>
      </w:tr>
      <w:tr w:rsidR="00AB238E" w:rsidRPr="00705903" w14:paraId="1D791935" w14:textId="77777777" w:rsidTr="00A4523E">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5D5837BB"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2010</w:t>
            </w:r>
          </w:p>
        </w:tc>
        <w:tc>
          <w:tcPr>
            <w:tcW w:w="793" w:type="dxa"/>
            <w:tcBorders>
              <w:top w:val="nil"/>
              <w:bottom w:val="nil"/>
            </w:tcBorders>
            <w:hideMark/>
          </w:tcPr>
          <w:p w14:paraId="1C5EF9B8"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0.691</w:t>
            </w:r>
          </w:p>
        </w:tc>
        <w:tc>
          <w:tcPr>
            <w:tcW w:w="794" w:type="dxa"/>
            <w:tcBorders>
              <w:top w:val="nil"/>
              <w:bottom w:val="nil"/>
            </w:tcBorders>
            <w:hideMark/>
          </w:tcPr>
          <w:p w14:paraId="029EDA32"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0.451</w:t>
            </w:r>
          </w:p>
        </w:tc>
        <w:tc>
          <w:tcPr>
            <w:tcW w:w="793" w:type="dxa"/>
            <w:tcBorders>
              <w:top w:val="nil"/>
              <w:bottom w:val="nil"/>
            </w:tcBorders>
            <w:hideMark/>
          </w:tcPr>
          <w:p w14:paraId="2325552E"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0.350</w:t>
            </w:r>
          </w:p>
        </w:tc>
        <w:tc>
          <w:tcPr>
            <w:tcW w:w="794" w:type="dxa"/>
            <w:tcBorders>
              <w:top w:val="nil"/>
              <w:bottom w:val="nil"/>
            </w:tcBorders>
            <w:hideMark/>
          </w:tcPr>
          <w:p w14:paraId="6A419536"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0.382</w:t>
            </w:r>
          </w:p>
        </w:tc>
        <w:tc>
          <w:tcPr>
            <w:tcW w:w="794" w:type="dxa"/>
            <w:tcBorders>
              <w:top w:val="nil"/>
              <w:bottom w:val="nil"/>
            </w:tcBorders>
            <w:hideMark/>
          </w:tcPr>
          <w:p w14:paraId="71061EBE"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0.459</w:t>
            </w:r>
          </w:p>
        </w:tc>
        <w:tc>
          <w:tcPr>
            <w:tcW w:w="793" w:type="dxa"/>
            <w:tcBorders>
              <w:top w:val="nil"/>
              <w:bottom w:val="nil"/>
            </w:tcBorders>
            <w:hideMark/>
          </w:tcPr>
          <w:p w14:paraId="12D64EF8"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0.341</w:t>
            </w:r>
          </w:p>
        </w:tc>
        <w:tc>
          <w:tcPr>
            <w:tcW w:w="794" w:type="dxa"/>
            <w:tcBorders>
              <w:top w:val="nil"/>
              <w:bottom w:val="nil"/>
            </w:tcBorders>
            <w:hideMark/>
          </w:tcPr>
          <w:p w14:paraId="42A041F5"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0.479</w:t>
            </w:r>
          </w:p>
        </w:tc>
        <w:tc>
          <w:tcPr>
            <w:tcW w:w="794" w:type="dxa"/>
            <w:tcBorders>
              <w:top w:val="nil"/>
              <w:bottom w:val="nil"/>
            </w:tcBorders>
            <w:hideMark/>
          </w:tcPr>
          <w:p w14:paraId="190F20E2"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0.240</w:t>
            </w:r>
          </w:p>
        </w:tc>
        <w:tc>
          <w:tcPr>
            <w:tcW w:w="793" w:type="dxa"/>
            <w:tcBorders>
              <w:top w:val="nil"/>
              <w:bottom w:val="nil"/>
            </w:tcBorders>
            <w:hideMark/>
          </w:tcPr>
          <w:p w14:paraId="746D3F83"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0.250</w:t>
            </w:r>
          </w:p>
        </w:tc>
        <w:tc>
          <w:tcPr>
            <w:tcW w:w="794" w:type="dxa"/>
            <w:tcBorders>
              <w:top w:val="nil"/>
              <w:bottom w:val="nil"/>
            </w:tcBorders>
            <w:hideMark/>
          </w:tcPr>
          <w:p w14:paraId="1E2A7463"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0.632</w:t>
            </w:r>
          </w:p>
        </w:tc>
        <w:tc>
          <w:tcPr>
            <w:tcW w:w="794" w:type="dxa"/>
            <w:tcBorders>
              <w:top w:val="nil"/>
              <w:bottom w:val="nil"/>
            </w:tcBorders>
            <w:hideMark/>
          </w:tcPr>
          <w:p w14:paraId="5DBFADBD"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0.930</w:t>
            </w:r>
          </w:p>
        </w:tc>
      </w:tr>
      <w:tr w:rsidR="00AB238E" w:rsidRPr="00705903" w14:paraId="5FF9446D"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49C8CF29"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2011</w:t>
            </w:r>
          </w:p>
        </w:tc>
        <w:tc>
          <w:tcPr>
            <w:tcW w:w="793" w:type="dxa"/>
            <w:tcBorders>
              <w:top w:val="nil"/>
              <w:bottom w:val="nil"/>
            </w:tcBorders>
            <w:hideMark/>
          </w:tcPr>
          <w:p w14:paraId="37C0279E"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0.753</w:t>
            </w:r>
          </w:p>
        </w:tc>
        <w:tc>
          <w:tcPr>
            <w:tcW w:w="794" w:type="dxa"/>
            <w:tcBorders>
              <w:top w:val="nil"/>
              <w:bottom w:val="nil"/>
            </w:tcBorders>
            <w:hideMark/>
          </w:tcPr>
          <w:p w14:paraId="61BCBC6D"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0.490</w:t>
            </w:r>
          </w:p>
        </w:tc>
        <w:tc>
          <w:tcPr>
            <w:tcW w:w="793" w:type="dxa"/>
            <w:tcBorders>
              <w:top w:val="nil"/>
              <w:bottom w:val="nil"/>
            </w:tcBorders>
            <w:hideMark/>
          </w:tcPr>
          <w:p w14:paraId="20958E3F"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0.400</w:t>
            </w:r>
          </w:p>
        </w:tc>
        <w:tc>
          <w:tcPr>
            <w:tcW w:w="794" w:type="dxa"/>
            <w:tcBorders>
              <w:top w:val="nil"/>
              <w:bottom w:val="nil"/>
            </w:tcBorders>
            <w:hideMark/>
          </w:tcPr>
          <w:p w14:paraId="247EC8E7"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0.430</w:t>
            </w:r>
          </w:p>
        </w:tc>
        <w:tc>
          <w:tcPr>
            <w:tcW w:w="794" w:type="dxa"/>
            <w:tcBorders>
              <w:top w:val="nil"/>
              <w:bottom w:val="nil"/>
            </w:tcBorders>
            <w:hideMark/>
          </w:tcPr>
          <w:p w14:paraId="2EEDFA5F"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0.498</w:t>
            </w:r>
          </w:p>
        </w:tc>
        <w:tc>
          <w:tcPr>
            <w:tcW w:w="793" w:type="dxa"/>
            <w:tcBorders>
              <w:top w:val="nil"/>
              <w:bottom w:val="nil"/>
            </w:tcBorders>
            <w:hideMark/>
          </w:tcPr>
          <w:p w14:paraId="7AAAC7AE"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0.390</w:t>
            </w:r>
          </w:p>
        </w:tc>
        <w:tc>
          <w:tcPr>
            <w:tcW w:w="794" w:type="dxa"/>
            <w:tcBorders>
              <w:top w:val="nil"/>
              <w:bottom w:val="nil"/>
            </w:tcBorders>
            <w:hideMark/>
          </w:tcPr>
          <w:p w14:paraId="04BB4EC2"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0.512</w:t>
            </w:r>
          </w:p>
        </w:tc>
        <w:tc>
          <w:tcPr>
            <w:tcW w:w="794" w:type="dxa"/>
            <w:tcBorders>
              <w:top w:val="nil"/>
              <w:bottom w:val="nil"/>
            </w:tcBorders>
            <w:hideMark/>
          </w:tcPr>
          <w:p w14:paraId="20C9155C"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0.295</w:t>
            </w:r>
          </w:p>
        </w:tc>
        <w:tc>
          <w:tcPr>
            <w:tcW w:w="793" w:type="dxa"/>
            <w:tcBorders>
              <w:top w:val="nil"/>
              <w:bottom w:val="nil"/>
            </w:tcBorders>
            <w:hideMark/>
          </w:tcPr>
          <w:p w14:paraId="5D453CB1"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0.250</w:t>
            </w:r>
          </w:p>
        </w:tc>
        <w:tc>
          <w:tcPr>
            <w:tcW w:w="794" w:type="dxa"/>
            <w:tcBorders>
              <w:top w:val="nil"/>
              <w:bottom w:val="nil"/>
            </w:tcBorders>
            <w:hideMark/>
          </w:tcPr>
          <w:p w14:paraId="44363D13"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0.654</w:t>
            </w:r>
          </w:p>
        </w:tc>
        <w:tc>
          <w:tcPr>
            <w:tcW w:w="794" w:type="dxa"/>
            <w:tcBorders>
              <w:top w:val="nil"/>
              <w:bottom w:val="nil"/>
            </w:tcBorders>
            <w:hideMark/>
          </w:tcPr>
          <w:p w14:paraId="6FD1D585"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0.930</w:t>
            </w:r>
          </w:p>
        </w:tc>
      </w:tr>
      <w:tr w:rsidR="00AB238E" w:rsidRPr="00705903" w14:paraId="5BD9D5F8" w14:textId="77777777" w:rsidTr="00A4523E">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78C30633"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2012</w:t>
            </w:r>
          </w:p>
        </w:tc>
        <w:tc>
          <w:tcPr>
            <w:tcW w:w="793" w:type="dxa"/>
            <w:tcBorders>
              <w:top w:val="nil"/>
              <w:bottom w:val="nil"/>
            </w:tcBorders>
            <w:hideMark/>
          </w:tcPr>
          <w:p w14:paraId="6CD1D55A"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0.765</w:t>
            </w:r>
          </w:p>
        </w:tc>
        <w:tc>
          <w:tcPr>
            <w:tcW w:w="794" w:type="dxa"/>
            <w:tcBorders>
              <w:top w:val="nil"/>
              <w:bottom w:val="nil"/>
            </w:tcBorders>
            <w:hideMark/>
          </w:tcPr>
          <w:p w14:paraId="48F2BD3B"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0.512</w:t>
            </w:r>
          </w:p>
        </w:tc>
        <w:tc>
          <w:tcPr>
            <w:tcW w:w="793" w:type="dxa"/>
            <w:tcBorders>
              <w:top w:val="nil"/>
              <w:bottom w:val="nil"/>
            </w:tcBorders>
            <w:hideMark/>
          </w:tcPr>
          <w:p w14:paraId="23524AB1"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0.420</w:t>
            </w:r>
          </w:p>
        </w:tc>
        <w:tc>
          <w:tcPr>
            <w:tcW w:w="794" w:type="dxa"/>
            <w:tcBorders>
              <w:top w:val="nil"/>
              <w:bottom w:val="nil"/>
            </w:tcBorders>
            <w:hideMark/>
          </w:tcPr>
          <w:p w14:paraId="27081C01"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0.466</w:t>
            </w:r>
          </w:p>
        </w:tc>
        <w:tc>
          <w:tcPr>
            <w:tcW w:w="794" w:type="dxa"/>
            <w:tcBorders>
              <w:top w:val="nil"/>
              <w:bottom w:val="nil"/>
            </w:tcBorders>
            <w:hideMark/>
          </w:tcPr>
          <w:p w14:paraId="7D271293"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0.521</w:t>
            </w:r>
          </w:p>
        </w:tc>
        <w:tc>
          <w:tcPr>
            <w:tcW w:w="793" w:type="dxa"/>
            <w:tcBorders>
              <w:top w:val="nil"/>
              <w:bottom w:val="nil"/>
            </w:tcBorders>
            <w:hideMark/>
          </w:tcPr>
          <w:p w14:paraId="5F0084CA"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0.407</w:t>
            </w:r>
          </w:p>
        </w:tc>
        <w:tc>
          <w:tcPr>
            <w:tcW w:w="794" w:type="dxa"/>
            <w:tcBorders>
              <w:top w:val="nil"/>
              <w:bottom w:val="nil"/>
            </w:tcBorders>
            <w:hideMark/>
          </w:tcPr>
          <w:p w14:paraId="31F32F19"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0.529</w:t>
            </w:r>
          </w:p>
        </w:tc>
        <w:tc>
          <w:tcPr>
            <w:tcW w:w="794" w:type="dxa"/>
            <w:tcBorders>
              <w:top w:val="nil"/>
              <w:bottom w:val="nil"/>
            </w:tcBorders>
            <w:hideMark/>
          </w:tcPr>
          <w:p w14:paraId="59629345"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0.325</w:t>
            </w:r>
          </w:p>
        </w:tc>
        <w:tc>
          <w:tcPr>
            <w:tcW w:w="793" w:type="dxa"/>
            <w:tcBorders>
              <w:top w:val="nil"/>
              <w:bottom w:val="nil"/>
            </w:tcBorders>
            <w:hideMark/>
          </w:tcPr>
          <w:p w14:paraId="35B898F5"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0.250</w:t>
            </w:r>
          </w:p>
        </w:tc>
        <w:tc>
          <w:tcPr>
            <w:tcW w:w="794" w:type="dxa"/>
            <w:tcBorders>
              <w:top w:val="nil"/>
              <w:bottom w:val="nil"/>
            </w:tcBorders>
            <w:hideMark/>
          </w:tcPr>
          <w:p w14:paraId="05D0AF25"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0.676</w:t>
            </w:r>
          </w:p>
        </w:tc>
        <w:tc>
          <w:tcPr>
            <w:tcW w:w="794" w:type="dxa"/>
            <w:tcBorders>
              <w:top w:val="nil"/>
              <w:bottom w:val="nil"/>
            </w:tcBorders>
            <w:hideMark/>
          </w:tcPr>
          <w:p w14:paraId="31DBE480"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0.940</w:t>
            </w:r>
          </w:p>
        </w:tc>
      </w:tr>
      <w:tr w:rsidR="00AB238E" w:rsidRPr="00705903" w14:paraId="267AC77F"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4EF27245"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2013</w:t>
            </w:r>
          </w:p>
        </w:tc>
        <w:tc>
          <w:tcPr>
            <w:tcW w:w="793" w:type="dxa"/>
            <w:tcBorders>
              <w:top w:val="nil"/>
              <w:bottom w:val="nil"/>
            </w:tcBorders>
            <w:hideMark/>
          </w:tcPr>
          <w:p w14:paraId="46169F7A"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0.778</w:t>
            </w:r>
          </w:p>
        </w:tc>
        <w:tc>
          <w:tcPr>
            <w:tcW w:w="794" w:type="dxa"/>
            <w:tcBorders>
              <w:top w:val="nil"/>
              <w:bottom w:val="nil"/>
            </w:tcBorders>
            <w:hideMark/>
          </w:tcPr>
          <w:p w14:paraId="6CF0E010"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0.515</w:t>
            </w:r>
          </w:p>
        </w:tc>
        <w:tc>
          <w:tcPr>
            <w:tcW w:w="793" w:type="dxa"/>
            <w:tcBorders>
              <w:top w:val="nil"/>
              <w:bottom w:val="nil"/>
            </w:tcBorders>
            <w:hideMark/>
          </w:tcPr>
          <w:p w14:paraId="6FD0B05C"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0.430</w:t>
            </w:r>
          </w:p>
        </w:tc>
        <w:tc>
          <w:tcPr>
            <w:tcW w:w="794" w:type="dxa"/>
            <w:tcBorders>
              <w:top w:val="nil"/>
              <w:bottom w:val="nil"/>
            </w:tcBorders>
            <w:hideMark/>
          </w:tcPr>
          <w:p w14:paraId="340A9EA7"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0.483</w:t>
            </w:r>
          </w:p>
        </w:tc>
        <w:tc>
          <w:tcPr>
            <w:tcW w:w="794" w:type="dxa"/>
            <w:tcBorders>
              <w:top w:val="nil"/>
              <w:bottom w:val="nil"/>
            </w:tcBorders>
            <w:hideMark/>
          </w:tcPr>
          <w:p w14:paraId="16752F6F"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0.533</w:t>
            </w:r>
          </w:p>
        </w:tc>
        <w:tc>
          <w:tcPr>
            <w:tcW w:w="793" w:type="dxa"/>
            <w:tcBorders>
              <w:top w:val="nil"/>
              <w:bottom w:val="nil"/>
            </w:tcBorders>
            <w:hideMark/>
          </w:tcPr>
          <w:p w14:paraId="28A962BC"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0.415</w:t>
            </w:r>
          </w:p>
        </w:tc>
        <w:tc>
          <w:tcPr>
            <w:tcW w:w="794" w:type="dxa"/>
            <w:tcBorders>
              <w:top w:val="nil"/>
              <w:bottom w:val="nil"/>
            </w:tcBorders>
            <w:hideMark/>
          </w:tcPr>
          <w:p w14:paraId="053D7CA0"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0.529</w:t>
            </w:r>
          </w:p>
        </w:tc>
        <w:tc>
          <w:tcPr>
            <w:tcW w:w="794" w:type="dxa"/>
            <w:tcBorders>
              <w:top w:val="nil"/>
              <w:bottom w:val="nil"/>
            </w:tcBorders>
            <w:hideMark/>
          </w:tcPr>
          <w:p w14:paraId="22E2ADB0"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0.336</w:t>
            </w:r>
          </w:p>
        </w:tc>
        <w:tc>
          <w:tcPr>
            <w:tcW w:w="793" w:type="dxa"/>
            <w:tcBorders>
              <w:top w:val="nil"/>
              <w:bottom w:val="nil"/>
            </w:tcBorders>
            <w:hideMark/>
          </w:tcPr>
          <w:p w14:paraId="6D2E0F2D"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0.250</w:t>
            </w:r>
          </w:p>
        </w:tc>
        <w:tc>
          <w:tcPr>
            <w:tcW w:w="794" w:type="dxa"/>
            <w:tcBorders>
              <w:top w:val="nil"/>
              <w:bottom w:val="nil"/>
            </w:tcBorders>
            <w:hideMark/>
          </w:tcPr>
          <w:p w14:paraId="1B09342D"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0.684</w:t>
            </w:r>
          </w:p>
        </w:tc>
        <w:tc>
          <w:tcPr>
            <w:tcW w:w="794" w:type="dxa"/>
            <w:tcBorders>
              <w:top w:val="nil"/>
              <w:bottom w:val="nil"/>
            </w:tcBorders>
            <w:hideMark/>
          </w:tcPr>
          <w:p w14:paraId="4B235B85"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0.940</w:t>
            </w:r>
          </w:p>
        </w:tc>
      </w:tr>
      <w:tr w:rsidR="00AB238E" w:rsidRPr="00705903" w14:paraId="193AC2DB" w14:textId="77777777" w:rsidTr="00A4523E">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4F44263B"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2014</w:t>
            </w:r>
          </w:p>
        </w:tc>
        <w:tc>
          <w:tcPr>
            <w:tcW w:w="793" w:type="dxa"/>
            <w:tcBorders>
              <w:top w:val="nil"/>
              <w:bottom w:val="nil"/>
            </w:tcBorders>
            <w:hideMark/>
          </w:tcPr>
          <w:p w14:paraId="047B9023"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0.790</w:t>
            </w:r>
          </w:p>
        </w:tc>
        <w:tc>
          <w:tcPr>
            <w:tcW w:w="794" w:type="dxa"/>
            <w:tcBorders>
              <w:top w:val="nil"/>
              <w:bottom w:val="nil"/>
            </w:tcBorders>
            <w:hideMark/>
          </w:tcPr>
          <w:p w14:paraId="13553502"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0.539</w:t>
            </w:r>
          </w:p>
        </w:tc>
        <w:tc>
          <w:tcPr>
            <w:tcW w:w="793" w:type="dxa"/>
            <w:tcBorders>
              <w:top w:val="nil"/>
              <w:bottom w:val="nil"/>
            </w:tcBorders>
            <w:hideMark/>
          </w:tcPr>
          <w:p w14:paraId="46DF3A3C"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0.459</w:t>
            </w:r>
          </w:p>
        </w:tc>
        <w:tc>
          <w:tcPr>
            <w:tcW w:w="794" w:type="dxa"/>
            <w:tcBorders>
              <w:top w:val="nil"/>
              <w:bottom w:val="nil"/>
            </w:tcBorders>
            <w:hideMark/>
          </w:tcPr>
          <w:p w14:paraId="7CC9E596"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0.506</w:t>
            </w:r>
          </w:p>
        </w:tc>
        <w:tc>
          <w:tcPr>
            <w:tcW w:w="794" w:type="dxa"/>
            <w:tcBorders>
              <w:top w:val="nil"/>
              <w:bottom w:val="nil"/>
            </w:tcBorders>
            <w:hideMark/>
          </w:tcPr>
          <w:p w14:paraId="6879AADE"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0.560</w:t>
            </w:r>
          </w:p>
        </w:tc>
        <w:tc>
          <w:tcPr>
            <w:tcW w:w="793" w:type="dxa"/>
            <w:tcBorders>
              <w:top w:val="nil"/>
              <w:bottom w:val="nil"/>
            </w:tcBorders>
            <w:hideMark/>
          </w:tcPr>
          <w:p w14:paraId="1E9CFEC3"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0.439</w:t>
            </w:r>
          </w:p>
        </w:tc>
        <w:tc>
          <w:tcPr>
            <w:tcW w:w="794" w:type="dxa"/>
            <w:tcBorders>
              <w:top w:val="nil"/>
              <w:bottom w:val="nil"/>
            </w:tcBorders>
            <w:hideMark/>
          </w:tcPr>
          <w:p w14:paraId="07E638D7"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0.545</w:t>
            </w:r>
          </w:p>
        </w:tc>
        <w:tc>
          <w:tcPr>
            <w:tcW w:w="794" w:type="dxa"/>
            <w:tcBorders>
              <w:top w:val="nil"/>
              <w:bottom w:val="nil"/>
            </w:tcBorders>
            <w:hideMark/>
          </w:tcPr>
          <w:p w14:paraId="261F33D9"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0.352</w:t>
            </w:r>
          </w:p>
        </w:tc>
        <w:tc>
          <w:tcPr>
            <w:tcW w:w="793" w:type="dxa"/>
            <w:tcBorders>
              <w:top w:val="nil"/>
              <w:bottom w:val="nil"/>
            </w:tcBorders>
            <w:hideMark/>
          </w:tcPr>
          <w:p w14:paraId="1614D7F6"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0.250</w:t>
            </w:r>
          </w:p>
        </w:tc>
        <w:tc>
          <w:tcPr>
            <w:tcW w:w="794" w:type="dxa"/>
            <w:tcBorders>
              <w:top w:val="nil"/>
              <w:bottom w:val="nil"/>
            </w:tcBorders>
            <w:hideMark/>
          </w:tcPr>
          <w:p w14:paraId="38ADC0D3"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0.713</w:t>
            </w:r>
          </w:p>
        </w:tc>
        <w:tc>
          <w:tcPr>
            <w:tcW w:w="794" w:type="dxa"/>
            <w:tcBorders>
              <w:top w:val="nil"/>
              <w:bottom w:val="nil"/>
            </w:tcBorders>
            <w:hideMark/>
          </w:tcPr>
          <w:p w14:paraId="7CCB2AED"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0.940</w:t>
            </w:r>
          </w:p>
        </w:tc>
      </w:tr>
      <w:tr w:rsidR="00AB238E" w:rsidRPr="00705903" w14:paraId="423CFCC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7E520FAA"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2015</w:t>
            </w:r>
          </w:p>
        </w:tc>
        <w:tc>
          <w:tcPr>
            <w:tcW w:w="793" w:type="dxa"/>
            <w:tcBorders>
              <w:top w:val="nil"/>
              <w:bottom w:val="nil"/>
            </w:tcBorders>
            <w:hideMark/>
          </w:tcPr>
          <w:p w14:paraId="2D2FF13C"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0.840</w:t>
            </w:r>
          </w:p>
        </w:tc>
        <w:tc>
          <w:tcPr>
            <w:tcW w:w="794" w:type="dxa"/>
            <w:tcBorders>
              <w:top w:val="nil"/>
              <w:bottom w:val="nil"/>
            </w:tcBorders>
            <w:hideMark/>
          </w:tcPr>
          <w:p w14:paraId="234643AB"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0.570</w:t>
            </w:r>
          </w:p>
        </w:tc>
        <w:tc>
          <w:tcPr>
            <w:tcW w:w="793" w:type="dxa"/>
            <w:tcBorders>
              <w:top w:val="nil"/>
              <w:bottom w:val="nil"/>
            </w:tcBorders>
            <w:hideMark/>
          </w:tcPr>
          <w:p w14:paraId="599ECBCA"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0.504</w:t>
            </w:r>
          </w:p>
        </w:tc>
        <w:tc>
          <w:tcPr>
            <w:tcW w:w="794" w:type="dxa"/>
            <w:tcBorders>
              <w:top w:val="nil"/>
              <w:bottom w:val="nil"/>
            </w:tcBorders>
            <w:hideMark/>
          </w:tcPr>
          <w:p w14:paraId="3BFCE7F7"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0.554</w:t>
            </w:r>
          </w:p>
        </w:tc>
        <w:tc>
          <w:tcPr>
            <w:tcW w:w="794" w:type="dxa"/>
            <w:tcBorders>
              <w:top w:val="nil"/>
              <w:bottom w:val="nil"/>
            </w:tcBorders>
            <w:hideMark/>
          </w:tcPr>
          <w:p w14:paraId="705BB190"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0.595</w:t>
            </w:r>
          </w:p>
        </w:tc>
        <w:tc>
          <w:tcPr>
            <w:tcW w:w="793" w:type="dxa"/>
            <w:tcBorders>
              <w:top w:val="nil"/>
              <w:bottom w:val="nil"/>
            </w:tcBorders>
            <w:hideMark/>
          </w:tcPr>
          <w:p w14:paraId="08B7E26B"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0.478</w:t>
            </w:r>
          </w:p>
        </w:tc>
        <w:tc>
          <w:tcPr>
            <w:tcW w:w="794" w:type="dxa"/>
            <w:tcBorders>
              <w:top w:val="nil"/>
              <w:bottom w:val="nil"/>
            </w:tcBorders>
            <w:hideMark/>
          </w:tcPr>
          <w:p w14:paraId="1175D527"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0.587</w:t>
            </w:r>
          </w:p>
        </w:tc>
        <w:tc>
          <w:tcPr>
            <w:tcW w:w="794" w:type="dxa"/>
            <w:tcBorders>
              <w:top w:val="nil"/>
              <w:bottom w:val="nil"/>
            </w:tcBorders>
            <w:hideMark/>
          </w:tcPr>
          <w:p w14:paraId="707EE812"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0.385</w:t>
            </w:r>
          </w:p>
        </w:tc>
        <w:tc>
          <w:tcPr>
            <w:tcW w:w="793" w:type="dxa"/>
            <w:tcBorders>
              <w:top w:val="nil"/>
              <w:bottom w:val="nil"/>
            </w:tcBorders>
            <w:hideMark/>
          </w:tcPr>
          <w:p w14:paraId="4F99EF80"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0.250</w:t>
            </w:r>
          </w:p>
        </w:tc>
        <w:tc>
          <w:tcPr>
            <w:tcW w:w="794" w:type="dxa"/>
            <w:tcBorders>
              <w:top w:val="nil"/>
              <w:bottom w:val="nil"/>
            </w:tcBorders>
            <w:hideMark/>
          </w:tcPr>
          <w:p w14:paraId="5F85F02B"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0.728</w:t>
            </w:r>
          </w:p>
        </w:tc>
        <w:tc>
          <w:tcPr>
            <w:tcW w:w="794" w:type="dxa"/>
            <w:tcBorders>
              <w:top w:val="nil"/>
              <w:bottom w:val="nil"/>
            </w:tcBorders>
            <w:hideMark/>
          </w:tcPr>
          <w:p w14:paraId="305B8653"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0.960</w:t>
            </w:r>
          </w:p>
        </w:tc>
      </w:tr>
      <w:tr w:rsidR="00AB238E" w:rsidRPr="00705903" w14:paraId="7EBA964E" w14:textId="77777777" w:rsidTr="00A4523E">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38BA94AB"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2016</w:t>
            </w:r>
          </w:p>
        </w:tc>
        <w:tc>
          <w:tcPr>
            <w:tcW w:w="793" w:type="dxa"/>
            <w:tcBorders>
              <w:top w:val="nil"/>
              <w:bottom w:val="nil"/>
            </w:tcBorders>
            <w:hideMark/>
          </w:tcPr>
          <w:p w14:paraId="68E6424E"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0.889</w:t>
            </w:r>
          </w:p>
        </w:tc>
        <w:tc>
          <w:tcPr>
            <w:tcW w:w="794" w:type="dxa"/>
            <w:tcBorders>
              <w:top w:val="nil"/>
              <w:bottom w:val="nil"/>
            </w:tcBorders>
            <w:hideMark/>
          </w:tcPr>
          <w:p w14:paraId="648A9089"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0.633</w:t>
            </w:r>
          </w:p>
        </w:tc>
        <w:tc>
          <w:tcPr>
            <w:tcW w:w="793" w:type="dxa"/>
            <w:tcBorders>
              <w:top w:val="nil"/>
              <w:bottom w:val="nil"/>
            </w:tcBorders>
            <w:hideMark/>
          </w:tcPr>
          <w:p w14:paraId="32D7CEAF"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0.567</w:t>
            </w:r>
          </w:p>
        </w:tc>
        <w:tc>
          <w:tcPr>
            <w:tcW w:w="794" w:type="dxa"/>
            <w:tcBorders>
              <w:top w:val="nil"/>
              <w:bottom w:val="nil"/>
            </w:tcBorders>
            <w:hideMark/>
          </w:tcPr>
          <w:p w14:paraId="1C20CD2B"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0.626</w:t>
            </w:r>
          </w:p>
        </w:tc>
        <w:tc>
          <w:tcPr>
            <w:tcW w:w="794" w:type="dxa"/>
            <w:tcBorders>
              <w:top w:val="nil"/>
              <w:bottom w:val="nil"/>
            </w:tcBorders>
            <w:hideMark/>
          </w:tcPr>
          <w:p w14:paraId="316BA9F0"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0.653</w:t>
            </w:r>
          </w:p>
        </w:tc>
        <w:tc>
          <w:tcPr>
            <w:tcW w:w="793" w:type="dxa"/>
            <w:tcBorders>
              <w:top w:val="nil"/>
              <w:bottom w:val="nil"/>
            </w:tcBorders>
            <w:hideMark/>
          </w:tcPr>
          <w:p w14:paraId="0A632253"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0.524</w:t>
            </w:r>
          </w:p>
        </w:tc>
        <w:tc>
          <w:tcPr>
            <w:tcW w:w="794" w:type="dxa"/>
            <w:tcBorders>
              <w:top w:val="nil"/>
              <w:bottom w:val="nil"/>
            </w:tcBorders>
            <w:hideMark/>
          </w:tcPr>
          <w:p w14:paraId="18287E3B"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0.678</w:t>
            </w:r>
          </w:p>
        </w:tc>
        <w:tc>
          <w:tcPr>
            <w:tcW w:w="794" w:type="dxa"/>
            <w:tcBorders>
              <w:top w:val="nil"/>
              <w:bottom w:val="nil"/>
            </w:tcBorders>
            <w:hideMark/>
          </w:tcPr>
          <w:p w14:paraId="647F5A20"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0.451</w:t>
            </w:r>
          </w:p>
        </w:tc>
        <w:tc>
          <w:tcPr>
            <w:tcW w:w="793" w:type="dxa"/>
            <w:tcBorders>
              <w:top w:val="nil"/>
              <w:bottom w:val="nil"/>
            </w:tcBorders>
            <w:hideMark/>
          </w:tcPr>
          <w:p w14:paraId="04B15C6A"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0.375</w:t>
            </w:r>
          </w:p>
        </w:tc>
        <w:tc>
          <w:tcPr>
            <w:tcW w:w="794" w:type="dxa"/>
            <w:tcBorders>
              <w:top w:val="nil"/>
              <w:bottom w:val="nil"/>
            </w:tcBorders>
            <w:hideMark/>
          </w:tcPr>
          <w:p w14:paraId="2332F95E"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0.750</w:t>
            </w:r>
          </w:p>
        </w:tc>
        <w:tc>
          <w:tcPr>
            <w:tcW w:w="794" w:type="dxa"/>
            <w:tcBorders>
              <w:top w:val="nil"/>
              <w:bottom w:val="nil"/>
            </w:tcBorders>
            <w:hideMark/>
          </w:tcPr>
          <w:p w14:paraId="75956117"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0.960</w:t>
            </w:r>
          </w:p>
        </w:tc>
      </w:tr>
      <w:tr w:rsidR="00AB238E" w:rsidRPr="00705903" w14:paraId="0B7411A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57251E5A"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2017</w:t>
            </w:r>
          </w:p>
        </w:tc>
        <w:tc>
          <w:tcPr>
            <w:tcW w:w="793" w:type="dxa"/>
            <w:tcBorders>
              <w:top w:val="nil"/>
              <w:bottom w:val="nil"/>
            </w:tcBorders>
            <w:hideMark/>
          </w:tcPr>
          <w:p w14:paraId="460A51D0"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0.901</w:t>
            </w:r>
          </w:p>
        </w:tc>
        <w:tc>
          <w:tcPr>
            <w:tcW w:w="794" w:type="dxa"/>
            <w:tcBorders>
              <w:top w:val="nil"/>
              <w:bottom w:val="nil"/>
            </w:tcBorders>
            <w:hideMark/>
          </w:tcPr>
          <w:p w14:paraId="14F180B7"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0.684</w:t>
            </w:r>
          </w:p>
        </w:tc>
        <w:tc>
          <w:tcPr>
            <w:tcW w:w="793" w:type="dxa"/>
            <w:tcBorders>
              <w:top w:val="nil"/>
              <w:bottom w:val="nil"/>
            </w:tcBorders>
            <w:hideMark/>
          </w:tcPr>
          <w:p w14:paraId="0FE3B264"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0.640</w:t>
            </w:r>
          </w:p>
        </w:tc>
        <w:tc>
          <w:tcPr>
            <w:tcW w:w="794" w:type="dxa"/>
            <w:tcBorders>
              <w:top w:val="nil"/>
              <w:bottom w:val="nil"/>
            </w:tcBorders>
            <w:hideMark/>
          </w:tcPr>
          <w:p w14:paraId="2D3F6BDD"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0.727</w:t>
            </w:r>
          </w:p>
        </w:tc>
        <w:tc>
          <w:tcPr>
            <w:tcW w:w="794" w:type="dxa"/>
            <w:tcBorders>
              <w:top w:val="nil"/>
              <w:bottom w:val="nil"/>
            </w:tcBorders>
            <w:hideMark/>
          </w:tcPr>
          <w:p w14:paraId="7519C656"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0.707</w:t>
            </w:r>
          </w:p>
        </w:tc>
        <w:tc>
          <w:tcPr>
            <w:tcW w:w="793" w:type="dxa"/>
            <w:tcBorders>
              <w:top w:val="nil"/>
              <w:bottom w:val="nil"/>
            </w:tcBorders>
            <w:hideMark/>
          </w:tcPr>
          <w:p w14:paraId="78DAD543"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0.600</w:t>
            </w:r>
          </w:p>
        </w:tc>
        <w:tc>
          <w:tcPr>
            <w:tcW w:w="794" w:type="dxa"/>
            <w:tcBorders>
              <w:top w:val="nil"/>
              <w:bottom w:val="nil"/>
            </w:tcBorders>
            <w:hideMark/>
          </w:tcPr>
          <w:p w14:paraId="7E346DA3"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0.719</w:t>
            </w:r>
          </w:p>
        </w:tc>
        <w:tc>
          <w:tcPr>
            <w:tcW w:w="794" w:type="dxa"/>
            <w:tcBorders>
              <w:top w:val="nil"/>
              <w:bottom w:val="nil"/>
            </w:tcBorders>
            <w:hideMark/>
          </w:tcPr>
          <w:p w14:paraId="3C5F019F"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0.528</w:t>
            </w:r>
          </w:p>
        </w:tc>
        <w:tc>
          <w:tcPr>
            <w:tcW w:w="793" w:type="dxa"/>
            <w:tcBorders>
              <w:top w:val="nil"/>
              <w:bottom w:val="nil"/>
            </w:tcBorders>
            <w:hideMark/>
          </w:tcPr>
          <w:p w14:paraId="23CE10E6"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0.375</w:t>
            </w:r>
          </w:p>
        </w:tc>
        <w:tc>
          <w:tcPr>
            <w:tcW w:w="794" w:type="dxa"/>
            <w:tcBorders>
              <w:top w:val="nil"/>
              <w:bottom w:val="nil"/>
            </w:tcBorders>
            <w:hideMark/>
          </w:tcPr>
          <w:p w14:paraId="336AFCC1"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0.794</w:t>
            </w:r>
          </w:p>
        </w:tc>
        <w:tc>
          <w:tcPr>
            <w:tcW w:w="794" w:type="dxa"/>
            <w:tcBorders>
              <w:top w:val="nil"/>
              <w:bottom w:val="nil"/>
            </w:tcBorders>
            <w:hideMark/>
          </w:tcPr>
          <w:p w14:paraId="2A6F509B"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0.970</w:t>
            </w:r>
          </w:p>
        </w:tc>
      </w:tr>
      <w:tr w:rsidR="00AB238E" w:rsidRPr="00705903" w14:paraId="5A5A29BB" w14:textId="77777777" w:rsidTr="00A4523E">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7ED5976B"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2018</w:t>
            </w:r>
          </w:p>
        </w:tc>
        <w:tc>
          <w:tcPr>
            <w:tcW w:w="793" w:type="dxa"/>
            <w:tcBorders>
              <w:top w:val="nil"/>
              <w:bottom w:val="nil"/>
            </w:tcBorders>
            <w:hideMark/>
          </w:tcPr>
          <w:p w14:paraId="631ED1B7"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0.901</w:t>
            </w:r>
          </w:p>
        </w:tc>
        <w:tc>
          <w:tcPr>
            <w:tcW w:w="794" w:type="dxa"/>
            <w:tcBorders>
              <w:top w:val="nil"/>
              <w:bottom w:val="nil"/>
            </w:tcBorders>
            <w:hideMark/>
          </w:tcPr>
          <w:p w14:paraId="30603E69"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0.703</w:t>
            </w:r>
          </w:p>
        </w:tc>
        <w:tc>
          <w:tcPr>
            <w:tcW w:w="793" w:type="dxa"/>
            <w:tcBorders>
              <w:top w:val="nil"/>
              <w:bottom w:val="nil"/>
            </w:tcBorders>
            <w:hideMark/>
          </w:tcPr>
          <w:p w14:paraId="77470F51"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0.660</w:t>
            </w:r>
          </w:p>
        </w:tc>
        <w:tc>
          <w:tcPr>
            <w:tcW w:w="794" w:type="dxa"/>
            <w:tcBorders>
              <w:top w:val="nil"/>
              <w:bottom w:val="nil"/>
            </w:tcBorders>
            <w:hideMark/>
          </w:tcPr>
          <w:p w14:paraId="7C239A12"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0.745</w:t>
            </w:r>
          </w:p>
        </w:tc>
        <w:tc>
          <w:tcPr>
            <w:tcW w:w="794" w:type="dxa"/>
            <w:tcBorders>
              <w:top w:val="nil"/>
              <w:bottom w:val="nil"/>
            </w:tcBorders>
            <w:hideMark/>
          </w:tcPr>
          <w:p w14:paraId="7CDAAA48"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0.737</w:t>
            </w:r>
          </w:p>
        </w:tc>
        <w:tc>
          <w:tcPr>
            <w:tcW w:w="793" w:type="dxa"/>
            <w:tcBorders>
              <w:top w:val="nil"/>
              <w:bottom w:val="nil"/>
            </w:tcBorders>
            <w:hideMark/>
          </w:tcPr>
          <w:p w14:paraId="6BC39533"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0.618</w:t>
            </w:r>
          </w:p>
        </w:tc>
        <w:tc>
          <w:tcPr>
            <w:tcW w:w="794" w:type="dxa"/>
            <w:tcBorders>
              <w:top w:val="nil"/>
              <w:bottom w:val="nil"/>
            </w:tcBorders>
            <w:hideMark/>
          </w:tcPr>
          <w:p w14:paraId="493FA7E8"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0.810</w:t>
            </w:r>
          </w:p>
        </w:tc>
        <w:tc>
          <w:tcPr>
            <w:tcW w:w="794" w:type="dxa"/>
            <w:tcBorders>
              <w:top w:val="nil"/>
              <w:bottom w:val="nil"/>
            </w:tcBorders>
            <w:hideMark/>
          </w:tcPr>
          <w:p w14:paraId="2A195C27"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0.545</w:t>
            </w:r>
          </w:p>
        </w:tc>
        <w:tc>
          <w:tcPr>
            <w:tcW w:w="793" w:type="dxa"/>
            <w:tcBorders>
              <w:top w:val="nil"/>
              <w:bottom w:val="nil"/>
            </w:tcBorders>
            <w:hideMark/>
          </w:tcPr>
          <w:p w14:paraId="29F11B16"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0.375</w:t>
            </w:r>
          </w:p>
        </w:tc>
        <w:tc>
          <w:tcPr>
            <w:tcW w:w="794" w:type="dxa"/>
            <w:tcBorders>
              <w:top w:val="nil"/>
              <w:bottom w:val="nil"/>
            </w:tcBorders>
            <w:hideMark/>
          </w:tcPr>
          <w:p w14:paraId="21A8E972"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0.816</w:t>
            </w:r>
          </w:p>
        </w:tc>
        <w:tc>
          <w:tcPr>
            <w:tcW w:w="794" w:type="dxa"/>
            <w:tcBorders>
              <w:top w:val="nil"/>
              <w:bottom w:val="nil"/>
            </w:tcBorders>
            <w:hideMark/>
          </w:tcPr>
          <w:p w14:paraId="681074B5"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0.970</w:t>
            </w:r>
          </w:p>
        </w:tc>
      </w:tr>
      <w:tr w:rsidR="00AB238E" w:rsidRPr="00705903" w14:paraId="3B87354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4FFFCCF0"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2019</w:t>
            </w:r>
          </w:p>
        </w:tc>
        <w:tc>
          <w:tcPr>
            <w:tcW w:w="793" w:type="dxa"/>
            <w:tcBorders>
              <w:top w:val="nil"/>
              <w:bottom w:val="nil"/>
            </w:tcBorders>
            <w:hideMark/>
          </w:tcPr>
          <w:p w14:paraId="23660382"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0.926</w:t>
            </w:r>
          </w:p>
        </w:tc>
        <w:tc>
          <w:tcPr>
            <w:tcW w:w="794" w:type="dxa"/>
            <w:tcBorders>
              <w:top w:val="nil"/>
              <w:bottom w:val="nil"/>
            </w:tcBorders>
            <w:hideMark/>
          </w:tcPr>
          <w:p w14:paraId="1BA1506B"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0.745</w:t>
            </w:r>
          </w:p>
        </w:tc>
        <w:tc>
          <w:tcPr>
            <w:tcW w:w="793" w:type="dxa"/>
            <w:tcBorders>
              <w:top w:val="nil"/>
              <w:bottom w:val="nil"/>
            </w:tcBorders>
            <w:hideMark/>
          </w:tcPr>
          <w:p w14:paraId="1696E992"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0.700</w:t>
            </w:r>
          </w:p>
        </w:tc>
        <w:tc>
          <w:tcPr>
            <w:tcW w:w="794" w:type="dxa"/>
            <w:tcBorders>
              <w:top w:val="nil"/>
              <w:bottom w:val="nil"/>
            </w:tcBorders>
            <w:hideMark/>
          </w:tcPr>
          <w:p w14:paraId="368B5191"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0.775</w:t>
            </w:r>
          </w:p>
        </w:tc>
        <w:tc>
          <w:tcPr>
            <w:tcW w:w="794" w:type="dxa"/>
            <w:tcBorders>
              <w:top w:val="nil"/>
              <w:bottom w:val="nil"/>
            </w:tcBorders>
            <w:hideMark/>
          </w:tcPr>
          <w:p w14:paraId="19C5051D"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0.764</w:t>
            </w:r>
          </w:p>
        </w:tc>
        <w:tc>
          <w:tcPr>
            <w:tcW w:w="793" w:type="dxa"/>
            <w:tcBorders>
              <w:top w:val="nil"/>
              <w:bottom w:val="nil"/>
            </w:tcBorders>
            <w:hideMark/>
          </w:tcPr>
          <w:p w14:paraId="3661F06B"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0.671</w:t>
            </w:r>
          </w:p>
        </w:tc>
        <w:tc>
          <w:tcPr>
            <w:tcW w:w="794" w:type="dxa"/>
            <w:tcBorders>
              <w:top w:val="nil"/>
              <w:bottom w:val="nil"/>
            </w:tcBorders>
            <w:hideMark/>
          </w:tcPr>
          <w:p w14:paraId="66510C44"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0.884</w:t>
            </w:r>
          </w:p>
        </w:tc>
        <w:tc>
          <w:tcPr>
            <w:tcW w:w="794" w:type="dxa"/>
            <w:tcBorders>
              <w:top w:val="nil"/>
              <w:bottom w:val="nil"/>
            </w:tcBorders>
            <w:hideMark/>
          </w:tcPr>
          <w:p w14:paraId="4E506CE9"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0.617</w:t>
            </w:r>
          </w:p>
        </w:tc>
        <w:tc>
          <w:tcPr>
            <w:tcW w:w="793" w:type="dxa"/>
            <w:tcBorders>
              <w:top w:val="nil"/>
              <w:bottom w:val="nil"/>
            </w:tcBorders>
            <w:hideMark/>
          </w:tcPr>
          <w:p w14:paraId="7E6F092C"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0.500</w:t>
            </w:r>
          </w:p>
        </w:tc>
        <w:tc>
          <w:tcPr>
            <w:tcW w:w="794" w:type="dxa"/>
            <w:tcBorders>
              <w:top w:val="nil"/>
              <w:bottom w:val="nil"/>
            </w:tcBorders>
            <w:hideMark/>
          </w:tcPr>
          <w:p w14:paraId="04BFD7B9"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0.838</w:t>
            </w:r>
          </w:p>
        </w:tc>
        <w:tc>
          <w:tcPr>
            <w:tcW w:w="794" w:type="dxa"/>
            <w:tcBorders>
              <w:top w:val="nil"/>
              <w:bottom w:val="nil"/>
            </w:tcBorders>
            <w:hideMark/>
          </w:tcPr>
          <w:p w14:paraId="4EC375B3"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0.990</w:t>
            </w:r>
          </w:p>
        </w:tc>
      </w:tr>
      <w:tr w:rsidR="00AB238E" w:rsidRPr="00705903" w14:paraId="573FE5DA" w14:textId="77777777" w:rsidTr="00A4523E">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4D140284"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2020</w:t>
            </w:r>
          </w:p>
        </w:tc>
        <w:tc>
          <w:tcPr>
            <w:tcW w:w="793" w:type="dxa"/>
            <w:tcBorders>
              <w:top w:val="nil"/>
              <w:bottom w:val="nil"/>
            </w:tcBorders>
            <w:hideMark/>
          </w:tcPr>
          <w:p w14:paraId="13B1695B"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0.951</w:t>
            </w:r>
          </w:p>
        </w:tc>
        <w:tc>
          <w:tcPr>
            <w:tcW w:w="794" w:type="dxa"/>
            <w:tcBorders>
              <w:top w:val="nil"/>
              <w:bottom w:val="nil"/>
            </w:tcBorders>
            <w:hideMark/>
          </w:tcPr>
          <w:p w14:paraId="18239503"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0.846</w:t>
            </w:r>
          </w:p>
        </w:tc>
        <w:tc>
          <w:tcPr>
            <w:tcW w:w="793" w:type="dxa"/>
            <w:tcBorders>
              <w:top w:val="nil"/>
              <w:bottom w:val="nil"/>
            </w:tcBorders>
            <w:hideMark/>
          </w:tcPr>
          <w:p w14:paraId="28185C79"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0.812</w:t>
            </w:r>
          </w:p>
        </w:tc>
        <w:tc>
          <w:tcPr>
            <w:tcW w:w="794" w:type="dxa"/>
            <w:tcBorders>
              <w:top w:val="nil"/>
              <w:bottom w:val="nil"/>
            </w:tcBorders>
            <w:hideMark/>
          </w:tcPr>
          <w:p w14:paraId="49A05344"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0.858</w:t>
            </w:r>
          </w:p>
        </w:tc>
        <w:tc>
          <w:tcPr>
            <w:tcW w:w="794" w:type="dxa"/>
            <w:tcBorders>
              <w:top w:val="nil"/>
              <w:bottom w:val="nil"/>
            </w:tcBorders>
            <w:hideMark/>
          </w:tcPr>
          <w:p w14:paraId="26A73238"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0.888</w:t>
            </w:r>
          </w:p>
        </w:tc>
        <w:tc>
          <w:tcPr>
            <w:tcW w:w="793" w:type="dxa"/>
            <w:tcBorders>
              <w:top w:val="nil"/>
              <w:bottom w:val="nil"/>
            </w:tcBorders>
            <w:hideMark/>
          </w:tcPr>
          <w:p w14:paraId="773E5200"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0.793</w:t>
            </w:r>
          </w:p>
        </w:tc>
        <w:tc>
          <w:tcPr>
            <w:tcW w:w="794" w:type="dxa"/>
            <w:tcBorders>
              <w:top w:val="nil"/>
              <w:bottom w:val="nil"/>
            </w:tcBorders>
            <w:hideMark/>
          </w:tcPr>
          <w:p w14:paraId="2CDCCB07"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0.926</w:t>
            </w:r>
          </w:p>
        </w:tc>
        <w:tc>
          <w:tcPr>
            <w:tcW w:w="794" w:type="dxa"/>
            <w:tcBorders>
              <w:top w:val="nil"/>
              <w:bottom w:val="nil"/>
            </w:tcBorders>
            <w:hideMark/>
          </w:tcPr>
          <w:p w14:paraId="2D659D4B"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0.742</w:t>
            </w:r>
          </w:p>
        </w:tc>
        <w:tc>
          <w:tcPr>
            <w:tcW w:w="793" w:type="dxa"/>
            <w:tcBorders>
              <w:top w:val="nil"/>
              <w:bottom w:val="nil"/>
            </w:tcBorders>
            <w:hideMark/>
          </w:tcPr>
          <w:p w14:paraId="2E50003E"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0.750</w:t>
            </w:r>
          </w:p>
        </w:tc>
        <w:tc>
          <w:tcPr>
            <w:tcW w:w="794" w:type="dxa"/>
            <w:tcBorders>
              <w:top w:val="nil"/>
              <w:bottom w:val="nil"/>
            </w:tcBorders>
            <w:hideMark/>
          </w:tcPr>
          <w:p w14:paraId="4E2614A1"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0.904</w:t>
            </w:r>
          </w:p>
        </w:tc>
        <w:tc>
          <w:tcPr>
            <w:tcW w:w="794" w:type="dxa"/>
            <w:tcBorders>
              <w:top w:val="nil"/>
              <w:bottom w:val="nil"/>
            </w:tcBorders>
            <w:hideMark/>
          </w:tcPr>
          <w:p w14:paraId="25F2309E"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1.000</w:t>
            </w:r>
          </w:p>
        </w:tc>
      </w:tr>
      <w:tr w:rsidR="00AB238E" w:rsidRPr="00705903" w14:paraId="140D704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4961CED6"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2021</w:t>
            </w:r>
          </w:p>
        </w:tc>
        <w:tc>
          <w:tcPr>
            <w:tcW w:w="793" w:type="dxa"/>
            <w:tcBorders>
              <w:top w:val="nil"/>
              <w:bottom w:val="nil"/>
            </w:tcBorders>
            <w:hideMark/>
          </w:tcPr>
          <w:p w14:paraId="4848BE22"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0.988</w:t>
            </w:r>
          </w:p>
        </w:tc>
        <w:tc>
          <w:tcPr>
            <w:tcW w:w="794" w:type="dxa"/>
            <w:tcBorders>
              <w:top w:val="nil"/>
              <w:bottom w:val="nil"/>
            </w:tcBorders>
            <w:hideMark/>
          </w:tcPr>
          <w:p w14:paraId="29B308C0"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0.929</w:t>
            </w:r>
          </w:p>
        </w:tc>
        <w:tc>
          <w:tcPr>
            <w:tcW w:w="793" w:type="dxa"/>
            <w:tcBorders>
              <w:top w:val="nil"/>
              <w:bottom w:val="nil"/>
            </w:tcBorders>
            <w:hideMark/>
          </w:tcPr>
          <w:p w14:paraId="546384E4"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0.905</w:t>
            </w:r>
          </w:p>
        </w:tc>
        <w:tc>
          <w:tcPr>
            <w:tcW w:w="794" w:type="dxa"/>
            <w:tcBorders>
              <w:top w:val="nil"/>
              <w:bottom w:val="nil"/>
            </w:tcBorders>
            <w:hideMark/>
          </w:tcPr>
          <w:p w14:paraId="08EE0230"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0.928</w:t>
            </w:r>
          </w:p>
        </w:tc>
        <w:tc>
          <w:tcPr>
            <w:tcW w:w="794" w:type="dxa"/>
            <w:tcBorders>
              <w:top w:val="nil"/>
              <w:bottom w:val="nil"/>
            </w:tcBorders>
            <w:hideMark/>
          </w:tcPr>
          <w:p w14:paraId="2DD6995F"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0.950</w:t>
            </w:r>
          </w:p>
        </w:tc>
        <w:tc>
          <w:tcPr>
            <w:tcW w:w="793" w:type="dxa"/>
            <w:tcBorders>
              <w:top w:val="nil"/>
              <w:bottom w:val="nil"/>
            </w:tcBorders>
            <w:hideMark/>
          </w:tcPr>
          <w:p w14:paraId="1CC69241"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0.916</w:t>
            </w:r>
          </w:p>
        </w:tc>
        <w:tc>
          <w:tcPr>
            <w:tcW w:w="794" w:type="dxa"/>
            <w:tcBorders>
              <w:top w:val="nil"/>
              <w:bottom w:val="nil"/>
            </w:tcBorders>
            <w:hideMark/>
          </w:tcPr>
          <w:p w14:paraId="08E578B2"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0.975</w:t>
            </w:r>
          </w:p>
        </w:tc>
        <w:tc>
          <w:tcPr>
            <w:tcW w:w="794" w:type="dxa"/>
            <w:tcBorders>
              <w:top w:val="nil"/>
              <w:bottom w:val="nil"/>
            </w:tcBorders>
            <w:hideMark/>
          </w:tcPr>
          <w:p w14:paraId="6653F72A"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0.839</w:t>
            </w:r>
          </w:p>
        </w:tc>
        <w:tc>
          <w:tcPr>
            <w:tcW w:w="793" w:type="dxa"/>
            <w:tcBorders>
              <w:top w:val="nil"/>
              <w:bottom w:val="nil"/>
            </w:tcBorders>
            <w:hideMark/>
          </w:tcPr>
          <w:p w14:paraId="3E3DF06E"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1.000</w:t>
            </w:r>
          </w:p>
        </w:tc>
        <w:tc>
          <w:tcPr>
            <w:tcW w:w="794" w:type="dxa"/>
            <w:tcBorders>
              <w:top w:val="nil"/>
              <w:bottom w:val="nil"/>
            </w:tcBorders>
            <w:hideMark/>
          </w:tcPr>
          <w:p w14:paraId="693D948F"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0.956</w:t>
            </w:r>
          </w:p>
        </w:tc>
        <w:tc>
          <w:tcPr>
            <w:tcW w:w="794" w:type="dxa"/>
            <w:tcBorders>
              <w:top w:val="nil"/>
              <w:bottom w:val="nil"/>
            </w:tcBorders>
            <w:hideMark/>
          </w:tcPr>
          <w:p w14:paraId="7A7921AA" w14:textId="77777777" w:rsidR="00AB238E" w:rsidRPr="00705903" w:rsidRDefault="00AB238E" w:rsidP="0097761F">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1.000</w:t>
            </w:r>
          </w:p>
        </w:tc>
      </w:tr>
      <w:tr w:rsidR="00AB238E" w:rsidRPr="00705903" w14:paraId="72F1219F" w14:textId="77777777" w:rsidTr="00A4523E">
        <w:tc>
          <w:tcPr>
            <w:cnfStyle w:val="001000000000" w:firstRow="0" w:lastRow="0" w:firstColumn="1" w:lastColumn="0" w:oddVBand="0" w:evenVBand="0" w:oddHBand="0" w:evenHBand="0" w:firstRowFirstColumn="0" w:firstRowLastColumn="0" w:lastRowFirstColumn="0" w:lastRowLastColumn="0"/>
            <w:tcW w:w="630" w:type="dxa"/>
            <w:tcBorders>
              <w:top w:val="nil"/>
            </w:tcBorders>
            <w:hideMark/>
          </w:tcPr>
          <w:p w14:paraId="6299B8B2" w14:textId="77777777" w:rsidR="00AB238E" w:rsidRPr="00705903" w:rsidRDefault="00AB238E" w:rsidP="0097761F">
            <w:pPr>
              <w:spacing w:line="276" w:lineRule="auto"/>
              <w:ind w:firstLine="0"/>
              <w:jc w:val="both"/>
              <w:rPr>
                <w:b w:val="0"/>
                <w:bCs w:val="0"/>
                <w:i/>
                <w:iCs/>
                <w:sz w:val="18"/>
                <w:szCs w:val="18"/>
                <w:lang w:val="en-US"/>
              </w:rPr>
            </w:pPr>
            <w:r w:rsidRPr="00705903">
              <w:rPr>
                <w:b w:val="0"/>
                <w:bCs w:val="0"/>
                <w:i/>
                <w:iCs/>
                <w:sz w:val="18"/>
                <w:szCs w:val="18"/>
                <w:lang w:val="en-US"/>
              </w:rPr>
              <w:t>2022</w:t>
            </w:r>
          </w:p>
        </w:tc>
        <w:tc>
          <w:tcPr>
            <w:tcW w:w="793" w:type="dxa"/>
            <w:tcBorders>
              <w:top w:val="nil"/>
            </w:tcBorders>
            <w:hideMark/>
          </w:tcPr>
          <w:p w14:paraId="3E4F817F"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0.988</w:t>
            </w:r>
          </w:p>
        </w:tc>
        <w:tc>
          <w:tcPr>
            <w:tcW w:w="794" w:type="dxa"/>
            <w:tcBorders>
              <w:top w:val="nil"/>
            </w:tcBorders>
            <w:hideMark/>
          </w:tcPr>
          <w:p w14:paraId="0B27B025"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0.964</w:t>
            </w:r>
          </w:p>
        </w:tc>
        <w:tc>
          <w:tcPr>
            <w:tcW w:w="793" w:type="dxa"/>
            <w:tcBorders>
              <w:top w:val="nil"/>
            </w:tcBorders>
            <w:hideMark/>
          </w:tcPr>
          <w:p w14:paraId="0C9D281A"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0.943</w:t>
            </w:r>
          </w:p>
        </w:tc>
        <w:tc>
          <w:tcPr>
            <w:tcW w:w="794" w:type="dxa"/>
            <w:tcBorders>
              <w:top w:val="nil"/>
            </w:tcBorders>
            <w:hideMark/>
          </w:tcPr>
          <w:p w14:paraId="04182AD1"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0.967</w:t>
            </w:r>
          </w:p>
        </w:tc>
        <w:tc>
          <w:tcPr>
            <w:tcW w:w="794" w:type="dxa"/>
            <w:tcBorders>
              <w:top w:val="nil"/>
            </w:tcBorders>
            <w:hideMark/>
          </w:tcPr>
          <w:p w14:paraId="2E2F3E56"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0.981</w:t>
            </w:r>
          </w:p>
        </w:tc>
        <w:tc>
          <w:tcPr>
            <w:tcW w:w="793" w:type="dxa"/>
            <w:tcBorders>
              <w:top w:val="nil"/>
            </w:tcBorders>
            <w:hideMark/>
          </w:tcPr>
          <w:p w14:paraId="65773BBC"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0.975</w:t>
            </w:r>
          </w:p>
        </w:tc>
        <w:tc>
          <w:tcPr>
            <w:tcW w:w="794" w:type="dxa"/>
            <w:tcBorders>
              <w:top w:val="nil"/>
            </w:tcBorders>
            <w:hideMark/>
          </w:tcPr>
          <w:p w14:paraId="2A3B9AFA"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1.000</w:t>
            </w:r>
          </w:p>
        </w:tc>
        <w:tc>
          <w:tcPr>
            <w:tcW w:w="794" w:type="dxa"/>
            <w:tcBorders>
              <w:top w:val="nil"/>
            </w:tcBorders>
            <w:hideMark/>
          </w:tcPr>
          <w:p w14:paraId="4BB53014"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0.923</w:t>
            </w:r>
          </w:p>
        </w:tc>
        <w:tc>
          <w:tcPr>
            <w:tcW w:w="793" w:type="dxa"/>
            <w:tcBorders>
              <w:top w:val="nil"/>
            </w:tcBorders>
            <w:hideMark/>
          </w:tcPr>
          <w:p w14:paraId="01023F25"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1.000</w:t>
            </w:r>
          </w:p>
        </w:tc>
        <w:tc>
          <w:tcPr>
            <w:tcW w:w="794" w:type="dxa"/>
            <w:tcBorders>
              <w:top w:val="nil"/>
            </w:tcBorders>
            <w:hideMark/>
          </w:tcPr>
          <w:p w14:paraId="4E3D13AE"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0.978</w:t>
            </w:r>
          </w:p>
        </w:tc>
        <w:tc>
          <w:tcPr>
            <w:tcW w:w="794" w:type="dxa"/>
            <w:tcBorders>
              <w:top w:val="nil"/>
            </w:tcBorders>
            <w:hideMark/>
          </w:tcPr>
          <w:p w14:paraId="1828DE9E" w14:textId="77777777" w:rsidR="00AB238E" w:rsidRPr="00705903" w:rsidRDefault="00AB238E" w:rsidP="0097761F">
            <w:pPr>
              <w:spacing w:line="276"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1.000</w:t>
            </w:r>
          </w:p>
        </w:tc>
      </w:tr>
      <w:bookmarkEnd w:id="7"/>
    </w:tbl>
    <w:p w14:paraId="27A3C2E1" w14:textId="77777777" w:rsidR="00AB238E" w:rsidRPr="00705903" w:rsidRDefault="00AB238E" w:rsidP="0097761F">
      <w:pPr>
        <w:spacing w:line="276" w:lineRule="auto"/>
        <w:ind w:firstLine="0"/>
        <w:jc w:val="both"/>
        <w:rPr>
          <w:sz w:val="20"/>
          <w:szCs w:val="20"/>
        </w:rPr>
      </w:pPr>
    </w:p>
    <w:p w14:paraId="5077FDCA" w14:textId="77777777" w:rsidR="00AB238E" w:rsidRPr="00705903" w:rsidRDefault="00AB238E" w:rsidP="0097761F">
      <w:pPr>
        <w:spacing w:line="259" w:lineRule="auto"/>
        <w:ind w:firstLine="0"/>
        <w:jc w:val="both"/>
        <w:rPr>
          <w:sz w:val="18"/>
          <w:szCs w:val="16"/>
          <w:lang w:val="en-US" w:eastAsia="zh-CN"/>
        </w:rPr>
      </w:pPr>
      <w:r w:rsidRPr="00705903">
        <w:rPr>
          <w:sz w:val="18"/>
          <w:szCs w:val="16"/>
          <w:lang w:val="en-US" w:eastAsia="zh-CN"/>
        </w:rPr>
        <w:t xml:space="preserve">Panel B: </w:t>
      </w:r>
      <w:r w:rsidRPr="00705903">
        <w:rPr>
          <w:sz w:val="20"/>
          <w:szCs w:val="20"/>
          <w:lang w:val="en-US" w:eastAsia="zh-CN"/>
        </w:rPr>
        <w:t>Industries’ Absolute Coverage Ratio Increase (2007-2022)</w:t>
      </w:r>
    </w:p>
    <w:tbl>
      <w:tblPr>
        <w:tblStyle w:val="PlainTable2"/>
        <w:tblW w:w="0" w:type="auto"/>
        <w:tblLook w:val="04A0" w:firstRow="1" w:lastRow="0" w:firstColumn="1" w:lastColumn="0" w:noHBand="0" w:noVBand="1"/>
      </w:tblPr>
      <w:tblGrid>
        <w:gridCol w:w="2281"/>
        <w:gridCol w:w="2359"/>
        <w:gridCol w:w="2360"/>
        <w:gridCol w:w="2360"/>
      </w:tblGrid>
      <w:tr w:rsidR="00AB238E" w:rsidRPr="00705903" w14:paraId="6E17463C"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0163C" w14:textId="77777777" w:rsidR="00AB238E" w:rsidRPr="00705903" w:rsidRDefault="00AB238E" w:rsidP="0097761F">
            <w:pPr>
              <w:spacing w:line="259" w:lineRule="auto"/>
              <w:ind w:firstLine="0"/>
              <w:jc w:val="both"/>
              <w:rPr>
                <w:b w:val="0"/>
                <w:bCs w:val="0"/>
                <w:sz w:val="18"/>
                <w:szCs w:val="18"/>
                <w:lang w:val="en-US"/>
              </w:rPr>
            </w:pPr>
            <w:r w:rsidRPr="00705903">
              <w:rPr>
                <w:b w:val="0"/>
                <w:bCs w:val="0"/>
                <w:sz w:val="18"/>
                <w:szCs w:val="18"/>
                <w:lang w:val="en-US"/>
              </w:rPr>
              <w:t>Industry</w:t>
            </w:r>
          </w:p>
        </w:tc>
        <w:tc>
          <w:tcPr>
            <w:tcW w:w="2359" w:type="dxa"/>
            <w:vAlign w:val="center"/>
            <w:hideMark/>
          </w:tcPr>
          <w:p w14:paraId="6971CC3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2007</w:t>
            </w:r>
          </w:p>
        </w:tc>
        <w:tc>
          <w:tcPr>
            <w:tcW w:w="2360" w:type="dxa"/>
            <w:vAlign w:val="center"/>
            <w:hideMark/>
          </w:tcPr>
          <w:p w14:paraId="4DB3702E"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2022</w:t>
            </w:r>
          </w:p>
        </w:tc>
        <w:tc>
          <w:tcPr>
            <w:tcW w:w="2360" w:type="dxa"/>
            <w:vAlign w:val="center"/>
            <w:hideMark/>
          </w:tcPr>
          <w:p w14:paraId="77E382A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Increase (Δ)</w:t>
            </w:r>
          </w:p>
        </w:tc>
      </w:tr>
      <w:tr w:rsidR="00AB238E" w:rsidRPr="00705903" w14:paraId="60638C5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0DEE4D6F"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Energy</w:t>
            </w:r>
          </w:p>
        </w:tc>
        <w:tc>
          <w:tcPr>
            <w:tcW w:w="2359" w:type="dxa"/>
            <w:tcBorders>
              <w:bottom w:val="nil"/>
            </w:tcBorders>
            <w:vAlign w:val="center"/>
            <w:hideMark/>
          </w:tcPr>
          <w:p w14:paraId="0A1D428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0.593</w:t>
            </w:r>
          </w:p>
        </w:tc>
        <w:tc>
          <w:tcPr>
            <w:tcW w:w="2360" w:type="dxa"/>
            <w:tcBorders>
              <w:bottom w:val="nil"/>
            </w:tcBorders>
            <w:vAlign w:val="center"/>
            <w:hideMark/>
          </w:tcPr>
          <w:p w14:paraId="1F8D755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0.988</w:t>
            </w:r>
          </w:p>
        </w:tc>
        <w:tc>
          <w:tcPr>
            <w:tcW w:w="2360" w:type="dxa"/>
            <w:tcBorders>
              <w:bottom w:val="nil"/>
            </w:tcBorders>
            <w:vAlign w:val="center"/>
            <w:hideMark/>
          </w:tcPr>
          <w:p w14:paraId="10DBEEC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+0.395</w:t>
            </w:r>
          </w:p>
        </w:tc>
      </w:tr>
      <w:tr w:rsidR="00AB238E" w:rsidRPr="00705903" w14:paraId="21BAF474"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60C268B"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Materials</w:t>
            </w:r>
          </w:p>
        </w:tc>
        <w:tc>
          <w:tcPr>
            <w:tcW w:w="2359" w:type="dxa"/>
            <w:tcBorders>
              <w:top w:val="nil"/>
              <w:bottom w:val="nil"/>
            </w:tcBorders>
            <w:vAlign w:val="center"/>
            <w:hideMark/>
          </w:tcPr>
          <w:p w14:paraId="7B2F982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0.326</w:t>
            </w:r>
          </w:p>
        </w:tc>
        <w:tc>
          <w:tcPr>
            <w:tcW w:w="2360" w:type="dxa"/>
            <w:tcBorders>
              <w:top w:val="nil"/>
              <w:bottom w:val="nil"/>
            </w:tcBorders>
            <w:vAlign w:val="center"/>
            <w:hideMark/>
          </w:tcPr>
          <w:p w14:paraId="6BEC30E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0.964</w:t>
            </w:r>
          </w:p>
        </w:tc>
        <w:tc>
          <w:tcPr>
            <w:tcW w:w="2360" w:type="dxa"/>
            <w:tcBorders>
              <w:top w:val="nil"/>
              <w:bottom w:val="nil"/>
            </w:tcBorders>
            <w:vAlign w:val="center"/>
            <w:hideMark/>
          </w:tcPr>
          <w:p w14:paraId="5F1E1FE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+0.638</w:t>
            </w:r>
          </w:p>
        </w:tc>
      </w:tr>
      <w:tr w:rsidR="00AB238E" w:rsidRPr="00705903" w14:paraId="2DD8504F"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C40D292"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Industrials</w:t>
            </w:r>
          </w:p>
        </w:tc>
        <w:tc>
          <w:tcPr>
            <w:tcW w:w="2359" w:type="dxa"/>
            <w:tcBorders>
              <w:top w:val="nil"/>
              <w:bottom w:val="nil"/>
            </w:tcBorders>
            <w:vAlign w:val="center"/>
            <w:hideMark/>
          </w:tcPr>
          <w:p w14:paraId="7DDAE90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0.239</w:t>
            </w:r>
          </w:p>
        </w:tc>
        <w:tc>
          <w:tcPr>
            <w:tcW w:w="2360" w:type="dxa"/>
            <w:tcBorders>
              <w:top w:val="nil"/>
              <w:bottom w:val="nil"/>
            </w:tcBorders>
            <w:vAlign w:val="center"/>
            <w:hideMark/>
          </w:tcPr>
          <w:p w14:paraId="5229AD8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0.943</w:t>
            </w:r>
          </w:p>
        </w:tc>
        <w:tc>
          <w:tcPr>
            <w:tcW w:w="2360" w:type="dxa"/>
            <w:tcBorders>
              <w:top w:val="nil"/>
              <w:bottom w:val="nil"/>
            </w:tcBorders>
            <w:vAlign w:val="center"/>
            <w:hideMark/>
          </w:tcPr>
          <w:p w14:paraId="23F29F5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+0.704</w:t>
            </w:r>
          </w:p>
        </w:tc>
      </w:tr>
      <w:tr w:rsidR="00AB238E" w:rsidRPr="00705903" w14:paraId="614E2164"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E8DAFE7"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Consumer Discretionary</w:t>
            </w:r>
          </w:p>
        </w:tc>
        <w:tc>
          <w:tcPr>
            <w:tcW w:w="2359" w:type="dxa"/>
            <w:tcBorders>
              <w:top w:val="nil"/>
              <w:bottom w:val="nil"/>
            </w:tcBorders>
            <w:vAlign w:val="center"/>
            <w:hideMark/>
          </w:tcPr>
          <w:p w14:paraId="7CA21C8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0.287</w:t>
            </w:r>
          </w:p>
        </w:tc>
        <w:tc>
          <w:tcPr>
            <w:tcW w:w="2360" w:type="dxa"/>
            <w:tcBorders>
              <w:top w:val="nil"/>
              <w:bottom w:val="nil"/>
            </w:tcBorders>
            <w:vAlign w:val="center"/>
            <w:hideMark/>
          </w:tcPr>
          <w:p w14:paraId="722CC77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0.967</w:t>
            </w:r>
          </w:p>
        </w:tc>
        <w:tc>
          <w:tcPr>
            <w:tcW w:w="2360" w:type="dxa"/>
            <w:tcBorders>
              <w:top w:val="nil"/>
              <w:bottom w:val="nil"/>
            </w:tcBorders>
            <w:vAlign w:val="center"/>
            <w:hideMark/>
          </w:tcPr>
          <w:p w14:paraId="3AEE415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+0.680</w:t>
            </w:r>
          </w:p>
        </w:tc>
      </w:tr>
      <w:tr w:rsidR="00AB238E" w:rsidRPr="00705903" w14:paraId="15F4F99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D63D14C"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Consumer Staples</w:t>
            </w:r>
          </w:p>
        </w:tc>
        <w:tc>
          <w:tcPr>
            <w:tcW w:w="2359" w:type="dxa"/>
            <w:tcBorders>
              <w:top w:val="nil"/>
              <w:bottom w:val="nil"/>
            </w:tcBorders>
            <w:vAlign w:val="center"/>
            <w:hideMark/>
          </w:tcPr>
          <w:p w14:paraId="49610D8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0.355</w:t>
            </w:r>
          </w:p>
        </w:tc>
        <w:tc>
          <w:tcPr>
            <w:tcW w:w="2360" w:type="dxa"/>
            <w:tcBorders>
              <w:top w:val="nil"/>
              <w:bottom w:val="nil"/>
            </w:tcBorders>
            <w:vAlign w:val="center"/>
            <w:hideMark/>
          </w:tcPr>
          <w:p w14:paraId="2B50C15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0.981</w:t>
            </w:r>
          </w:p>
        </w:tc>
        <w:tc>
          <w:tcPr>
            <w:tcW w:w="2360" w:type="dxa"/>
            <w:tcBorders>
              <w:top w:val="nil"/>
              <w:bottom w:val="nil"/>
            </w:tcBorders>
            <w:vAlign w:val="center"/>
            <w:hideMark/>
          </w:tcPr>
          <w:p w14:paraId="54171E5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+0.626</w:t>
            </w:r>
          </w:p>
        </w:tc>
      </w:tr>
      <w:tr w:rsidR="00AB238E" w:rsidRPr="00705903" w14:paraId="02E000CA"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2177F26"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Health Care</w:t>
            </w:r>
          </w:p>
        </w:tc>
        <w:tc>
          <w:tcPr>
            <w:tcW w:w="2359" w:type="dxa"/>
            <w:tcBorders>
              <w:top w:val="nil"/>
              <w:bottom w:val="nil"/>
            </w:tcBorders>
            <w:vAlign w:val="center"/>
            <w:hideMark/>
          </w:tcPr>
          <w:p w14:paraId="0A75D39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0.244</w:t>
            </w:r>
          </w:p>
        </w:tc>
        <w:tc>
          <w:tcPr>
            <w:tcW w:w="2360" w:type="dxa"/>
            <w:tcBorders>
              <w:top w:val="nil"/>
              <w:bottom w:val="nil"/>
            </w:tcBorders>
            <w:vAlign w:val="center"/>
            <w:hideMark/>
          </w:tcPr>
          <w:p w14:paraId="6542E1D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0.975</w:t>
            </w:r>
          </w:p>
        </w:tc>
        <w:tc>
          <w:tcPr>
            <w:tcW w:w="2360" w:type="dxa"/>
            <w:tcBorders>
              <w:top w:val="nil"/>
              <w:bottom w:val="nil"/>
            </w:tcBorders>
            <w:vAlign w:val="center"/>
            <w:hideMark/>
          </w:tcPr>
          <w:p w14:paraId="51DF698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+0.731</w:t>
            </w:r>
          </w:p>
        </w:tc>
      </w:tr>
      <w:tr w:rsidR="00AB238E" w:rsidRPr="00705903" w14:paraId="292038D4"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68B0751"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Financials</w:t>
            </w:r>
          </w:p>
        </w:tc>
        <w:tc>
          <w:tcPr>
            <w:tcW w:w="2359" w:type="dxa"/>
            <w:tcBorders>
              <w:top w:val="nil"/>
              <w:bottom w:val="nil"/>
            </w:tcBorders>
            <w:vAlign w:val="center"/>
            <w:hideMark/>
          </w:tcPr>
          <w:p w14:paraId="7EA4A8A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0.405</w:t>
            </w:r>
          </w:p>
        </w:tc>
        <w:tc>
          <w:tcPr>
            <w:tcW w:w="2360" w:type="dxa"/>
            <w:tcBorders>
              <w:top w:val="nil"/>
              <w:bottom w:val="nil"/>
            </w:tcBorders>
            <w:vAlign w:val="center"/>
            <w:hideMark/>
          </w:tcPr>
          <w:p w14:paraId="0DE6498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1.000</w:t>
            </w:r>
          </w:p>
        </w:tc>
        <w:tc>
          <w:tcPr>
            <w:tcW w:w="2360" w:type="dxa"/>
            <w:tcBorders>
              <w:top w:val="nil"/>
              <w:bottom w:val="nil"/>
            </w:tcBorders>
            <w:vAlign w:val="center"/>
            <w:hideMark/>
          </w:tcPr>
          <w:p w14:paraId="569EE76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+0.595</w:t>
            </w:r>
          </w:p>
        </w:tc>
      </w:tr>
      <w:tr w:rsidR="00AB238E" w:rsidRPr="00705903" w14:paraId="1DC99F46"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430F1C2"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Information Technology</w:t>
            </w:r>
          </w:p>
        </w:tc>
        <w:tc>
          <w:tcPr>
            <w:tcW w:w="2359" w:type="dxa"/>
            <w:tcBorders>
              <w:top w:val="nil"/>
              <w:bottom w:val="nil"/>
            </w:tcBorders>
            <w:vAlign w:val="center"/>
            <w:hideMark/>
          </w:tcPr>
          <w:p w14:paraId="74B78A0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0.132</w:t>
            </w:r>
          </w:p>
        </w:tc>
        <w:tc>
          <w:tcPr>
            <w:tcW w:w="2360" w:type="dxa"/>
            <w:tcBorders>
              <w:top w:val="nil"/>
              <w:bottom w:val="nil"/>
            </w:tcBorders>
            <w:vAlign w:val="center"/>
            <w:hideMark/>
          </w:tcPr>
          <w:p w14:paraId="4036ED4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0.923</w:t>
            </w:r>
          </w:p>
        </w:tc>
        <w:tc>
          <w:tcPr>
            <w:tcW w:w="2360" w:type="dxa"/>
            <w:tcBorders>
              <w:top w:val="nil"/>
              <w:bottom w:val="nil"/>
            </w:tcBorders>
            <w:vAlign w:val="center"/>
            <w:hideMark/>
          </w:tcPr>
          <w:p w14:paraId="1638D82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+0.791</w:t>
            </w:r>
          </w:p>
        </w:tc>
      </w:tr>
      <w:tr w:rsidR="00AB238E" w:rsidRPr="00705903" w14:paraId="53F4556F"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AEFF601"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Telecommunication Services</w:t>
            </w:r>
          </w:p>
        </w:tc>
        <w:tc>
          <w:tcPr>
            <w:tcW w:w="2359" w:type="dxa"/>
            <w:tcBorders>
              <w:top w:val="nil"/>
              <w:bottom w:val="nil"/>
            </w:tcBorders>
            <w:vAlign w:val="center"/>
            <w:hideMark/>
          </w:tcPr>
          <w:p w14:paraId="42BD595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0.250</w:t>
            </w:r>
          </w:p>
        </w:tc>
        <w:tc>
          <w:tcPr>
            <w:tcW w:w="2360" w:type="dxa"/>
            <w:tcBorders>
              <w:top w:val="nil"/>
              <w:bottom w:val="nil"/>
            </w:tcBorders>
            <w:vAlign w:val="center"/>
            <w:hideMark/>
          </w:tcPr>
          <w:p w14:paraId="7518EAF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1.000</w:t>
            </w:r>
          </w:p>
        </w:tc>
        <w:tc>
          <w:tcPr>
            <w:tcW w:w="2360" w:type="dxa"/>
            <w:tcBorders>
              <w:top w:val="nil"/>
              <w:bottom w:val="nil"/>
            </w:tcBorders>
            <w:vAlign w:val="center"/>
            <w:hideMark/>
          </w:tcPr>
          <w:p w14:paraId="57FB04C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+0.750</w:t>
            </w:r>
          </w:p>
        </w:tc>
      </w:tr>
      <w:tr w:rsidR="00AB238E" w:rsidRPr="00705903" w14:paraId="0B1C8A46"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F7E742A"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Utilities</w:t>
            </w:r>
          </w:p>
        </w:tc>
        <w:tc>
          <w:tcPr>
            <w:tcW w:w="2359" w:type="dxa"/>
            <w:tcBorders>
              <w:top w:val="nil"/>
              <w:bottom w:val="nil"/>
            </w:tcBorders>
            <w:vAlign w:val="center"/>
            <w:hideMark/>
          </w:tcPr>
          <w:p w14:paraId="113B5E3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0.596</w:t>
            </w:r>
          </w:p>
        </w:tc>
        <w:tc>
          <w:tcPr>
            <w:tcW w:w="2360" w:type="dxa"/>
            <w:tcBorders>
              <w:top w:val="nil"/>
              <w:bottom w:val="nil"/>
            </w:tcBorders>
            <w:vAlign w:val="center"/>
            <w:hideMark/>
          </w:tcPr>
          <w:p w14:paraId="2D9AB14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0.978</w:t>
            </w:r>
          </w:p>
        </w:tc>
        <w:tc>
          <w:tcPr>
            <w:tcW w:w="2360" w:type="dxa"/>
            <w:tcBorders>
              <w:top w:val="nil"/>
              <w:bottom w:val="nil"/>
            </w:tcBorders>
            <w:vAlign w:val="center"/>
            <w:hideMark/>
          </w:tcPr>
          <w:p w14:paraId="22900BA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+0.382</w:t>
            </w:r>
          </w:p>
        </w:tc>
      </w:tr>
      <w:tr w:rsidR="00AB238E" w:rsidRPr="00705903" w14:paraId="1106F824"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60F1492A"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Real Estate</w:t>
            </w:r>
          </w:p>
        </w:tc>
        <w:tc>
          <w:tcPr>
            <w:tcW w:w="2359" w:type="dxa"/>
            <w:tcBorders>
              <w:top w:val="nil"/>
            </w:tcBorders>
            <w:vAlign w:val="center"/>
            <w:hideMark/>
          </w:tcPr>
          <w:p w14:paraId="2390B0C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0.880</w:t>
            </w:r>
          </w:p>
        </w:tc>
        <w:tc>
          <w:tcPr>
            <w:tcW w:w="2360" w:type="dxa"/>
            <w:tcBorders>
              <w:top w:val="nil"/>
            </w:tcBorders>
            <w:vAlign w:val="center"/>
            <w:hideMark/>
          </w:tcPr>
          <w:p w14:paraId="00DA274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1.000</w:t>
            </w:r>
          </w:p>
        </w:tc>
        <w:tc>
          <w:tcPr>
            <w:tcW w:w="2360" w:type="dxa"/>
            <w:tcBorders>
              <w:top w:val="nil"/>
            </w:tcBorders>
            <w:vAlign w:val="center"/>
            <w:hideMark/>
          </w:tcPr>
          <w:p w14:paraId="4C205FC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+0.120</w:t>
            </w:r>
          </w:p>
        </w:tc>
      </w:tr>
    </w:tbl>
    <w:p w14:paraId="536A2769" w14:textId="77777777" w:rsidR="00AB238E" w:rsidRPr="00705903" w:rsidRDefault="00AB238E" w:rsidP="0097761F">
      <w:pPr>
        <w:spacing w:after="160" w:line="259" w:lineRule="auto"/>
        <w:ind w:firstLine="0"/>
        <w:jc w:val="both"/>
        <w:rPr>
          <w:lang w:val="en-US"/>
        </w:rPr>
      </w:pPr>
    </w:p>
    <w:p w14:paraId="2A76D90A" w14:textId="77777777" w:rsidR="00AB238E" w:rsidRPr="00705903" w:rsidRDefault="00AB238E" w:rsidP="0097761F">
      <w:pPr>
        <w:spacing w:after="160" w:line="259" w:lineRule="auto"/>
        <w:ind w:firstLine="0"/>
        <w:jc w:val="both"/>
        <w:rPr>
          <w:lang w:val="en-US"/>
        </w:rPr>
      </w:pPr>
      <w:r w:rsidRPr="00705903">
        <w:rPr>
          <w:lang w:val="en-US"/>
        </w:rPr>
        <w:br w:type="page"/>
      </w:r>
    </w:p>
    <w:p w14:paraId="2C710BB5" w14:textId="77777777" w:rsidR="00AB238E" w:rsidRPr="00705903" w:rsidRDefault="00AB238E" w:rsidP="0097761F">
      <w:pPr>
        <w:pStyle w:val="Heading1"/>
      </w:pPr>
      <w:r w:rsidRPr="00705903">
        <w:t>Table 4. Average Annual Growth Rate of ESG Coverage Ratio by Industry (2007–2022)</w:t>
      </w:r>
    </w:p>
    <w:p w14:paraId="07DAE5A4" w14:textId="77777777" w:rsidR="00AB238E" w:rsidRPr="00705903" w:rsidRDefault="00AB238E" w:rsidP="0097761F">
      <w:pPr>
        <w:spacing w:line="259" w:lineRule="auto"/>
        <w:ind w:firstLine="0"/>
        <w:jc w:val="both"/>
        <w:rPr>
          <w:sz w:val="20"/>
          <w:szCs w:val="18"/>
          <w:lang w:val="en-US"/>
        </w:rPr>
      </w:pPr>
    </w:p>
    <w:p w14:paraId="73A8719B" w14:textId="77777777" w:rsidR="00AB238E" w:rsidRPr="00705903" w:rsidRDefault="00AB238E" w:rsidP="0097761F">
      <w:pPr>
        <w:spacing w:line="259" w:lineRule="auto"/>
        <w:ind w:firstLine="0"/>
        <w:jc w:val="both"/>
        <w:rPr>
          <w:sz w:val="20"/>
          <w:szCs w:val="20"/>
          <w:lang w:val="en-US"/>
        </w:rPr>
      </w:pPr>
      <w:r w:rsidRPr="00705903">
        <w:rPr>
          <w:sz w:val="20"/>
          <w:szCs w:val="18"/>
          <w:lang w:val="en-US"/>
        </w:rPr>
        <w:t xml:space="preserve">This table reports the compound annual growth rate (CAGR) of the ESG rating coverage ratio across 11 GICS </w:t>
      </w:r>
      <w:proofErr w:type="gramStart"/>
      <w:r w:rsidRPr="00705903">
        <w:rPr>
          <w:sz w:val="20"/>
          <w:szCs w:val="18"/>
          <w:lang w:val="en-US"/>
        </w:rPr>
        <w:t>Level-1</w:t>
      </w:r>
      <w:proofErr w:type="gramEnd"/>
      <w:r w:rsidRPr="00705903">
        <w:rPr>
          <w:sz w:val="20"/>
          <w:szCs w:val="18"/>
          <w:lang w:val="en-US"/>
        </w:rPr>
        <w:t xml:space="preserve"> industries during the sample period from 200</w:t>
      </w:r>
      <w:r w:rsidRPr="00705903">
        <w:rPr>
          <w:sz w:val="20"/>
          <w:szCs w:val="18"/>
          <w:lang w:val="en-US" w:eastAsia="zh-CN"/>
        </w:rPr>
        <w:t>7</w:t>
      </w:r>
      <w:r w:rsidRPr="00705903">
        <w:rPr>
          <w:sz w:val="20"/>
          <w:szCs w:val="18"/>
          <w:lang w:val="en-US"/>
        </w:rPr>
        <w:t xml:space="preserve"> to 2022. The growth rate is calculated as the compound annual percentage increase in the proportion of firms with available ESG ratings in the </w:t>
      </w:r>
      <w:r w:rsidRPr="00705903">
        <w:rPr>
          <w:sz w:val="20"/>
          <w:szCs w:val="18"/>
          <w:lang w:val="en-US" w:eastAsia="zh-CN"/>
        </w:rPr>
        <w:t>CNRDS</w:t>
      </w:r>
      <w:r w:rsidRPr="00705903">
        <w:rPr>
          <w:sz w:val="20"/>
          <w:szCs w:val="18"/>
          <w:lang w:val="en-US"/>
        </w:rPr>
        <w:t xml:space="preserve"> database. A higher </w:t>
      </w:r>
      <w:r w:rsidRPr="00705903">
        <w:rPr>
          <w:sz w:val="20"/>
          <w:szCs w:val="20"/>
          <w:lang w:val="en-US"/>
        </w:rPr>
        <w:t>CAGR indicates a faster rate of ESG adoption within the corresponding industry. Information Technology, Telecommunication Services, and Health Care exhibit the highest growth rates, suggesting rapid expansion of ESG data coverage in these sectors, while Real Estate and Utilities show slower growth. The overall average annual growth rate across all industries is approximately 7.23%.</w:t>
      </w:r>
    </w:p>
    <w:p w14:paraId="201B4DE2" w14:textId="77777777" w:rsidR="00AB238E" w:rsidRPr="00705903" w:rsidRDefault="00AB238E" w:rsidP="0097761F">
      <w:pPr>
        <w:spacing w:line="259" w:lineRule="auto"/>
        <w:ind w:firstLine="0"/>
        <w:jc w:val="both"/>
        <w:rPr>
          <w:sz w:val="20"/>
          <w:szCs w:val="20"/>
          <w:lang w:val="en-US"/>
        </w:rPr>
      </w:pPr>
    </w:p>
    <w:p w14:paraId="52879345" w14:textId="77777777" w:rsidR="00AB238E" w:rsidRPr="00705903" w:rsidRDefault="00AB238E" w:rsidP="0097761F">
      <w:pPr>
        <w:spacing w:line="259" w:lineRule="auto"/>
        <w:ind w:firstLine="0"/>
        <w:jc w:val="both"/>
        <w:rPr>
          <w:sz w:val="20"/>
          <w:szCs w:val="20"/>
          <w:lang w:val="en-US"/>
        </w:rPr>
      </w:pPr>
    </w:p>
    <w:tbl>
      <w:tblPr>
        <w:tblStyle w:val="PlainTable2"/>
        <w:tblW w:w="0" w:type="auto"/>
        <w:tblLook w:val="04A0" w:firstRow="1" w:lastRow="0" w:firstColumn="1" w:lastColumn="0" w:noHBand="0" w:noVBand="1"/>
      </w:tblPr>
      <w:tblGrid>
        <w:gridCol w:w="1710"/>
        <w:gridCol w:w="3780"/>
        <w:gridCol w:w="3780"/>
      </w:tblGrid>
      <w:tr w:rsidR="00AB238E" w:rsidRPr="00705903" w14:paraId="071F9455"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36299270" w14:textId="77777777" w:rsidR="00AB238E" w:rsidRPr="00705903" w:rsidRDefault="00AB238E" w:rsidP="0097761F">
            <w:pPr>
              <w:spacing w:line="259" w:lineRule="auto"/>
              <w:ind w:firstLine="0"/>
              <w:jc w:val="both"/>
              <w:rPr>
                <w:b w:val="0"/>
                <w:bCs w:val="0"/>
                <w:sz w:val="18"/>
                <w:szCs w:val="18"/>
                <w:lang w:val="en-US" w:eastAsia="zh-CN"/>
              </w:rPr>
            </w:pPr>
            <w:r w:rsidRPr="00705903">
              <w:rPr>
                <w:b w:val="0"/>
                <w:bCs w:val="0"/>
                <w:sz w:val="18"/>
                <w:szCs w:val="18"/>
                <w:lang w:val="en-US" w:eastAsia="zh-CN"/>
              </w:rPr>
              <w:t>GICS Code</w:t>
            </w:r>
          </w:p>
        </w:tc>
        <w:tc>
          <w:tcPr>
            <w:tcW w:w="3780" w:type="dxa"/>
            <w:hideMark/>
          </w:tcPr>
          <w:p w14:paraId="73E39A64"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Industry</w:t>
            </w:r>
          </w:p>
        </w:tc>
        <w:tc>
          <w:tcPr>
            <w:tcW w:w="3780" w:type="dxa"/>
            <w:hideMark/>
          </w:tcPr>
          <w:p w14:paraId="7DA6E802"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Avg. Annual Growth Rate</w:t>
            </w:r>
          </w:p>
        </w:tc>
      </w:tr>
      <w:tr w:rsidR="00AB238E" w:rsidRPr="00705903" w14:paraId="590E3C4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bottom w:val="nil"/>
            </w:tcBorders>
            <w:hideMark/>
          </w:tcPr>
          <w:p w14:paraId="618A413E"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45</w:t>
            </w:r>
          </w:p>
        </w:tc>
        <w:tc>
          <w:tcPr>
            <w:tcW w:w="3780" w:type="dxa"/>
            <w:tcBorders>
              <w:bottom w:val="nil"/>
            </w:tcBorders>
            <w:hideMark/>
          </w:tcPr>
          <w:p w14:paraId="0FF5C27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Information Technology</w:t>
            </w:r>
          </w:p>
        </w:tc>
        <w:tc>
          <w:tcPr>
            <w:tcW w:w="3780" w:type="dxa"/>
            <w:tcBorders>
              <w:bottom w:val="nil"/>
            </w:tcBorders>
            <w:hideMark/>
          </w:tcPr>
          <w:p w14:paraId="6232FC8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0.1383</w:t>
            </w:r>
          </w:p>
        </w:tc>
      </w:tr>
      <w:tr w:rsidR="00AB238E" w:rsidRPr="00705903" w14:paraId="2F76BCB9" w14:textId="77777777" w:rsidTr="00A4523E">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122A5D76"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50</w:t>
            </w:r>
          </w:p>
        </w:tc>
        <w:tc>
          <w:tcPr>
            <w:tcW w:w="3780" w:type="dxa"/>
            <w:tcBorders>
              <w:top w:val="nil"/>
              <w:bottom w:val="nil"/>
            </w:tcBorders>
            <w:hideMark/>
          </w:tcPr>
          <w:p w14:paraId="7E50352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Telecommunication Services</w:t>
            </w:r>
          </w:p>
        </w:tc>
        <w:tc>
          <w:tcPr>
            <w:tcW w:w="3780" w:type="dxa"/>
            <w:tcBorders>
              <w:top w:val="nil"/>
              <w:bottom w:val="nil"/>
            </w:tcBorders>
            <w:hideMark/>
          </w:tcPr>
          <w:p w14:paraId="66142FB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0.0968</w:t>
            </w:r>
          </w:p>
        </w:tc>
      </w:tr>
      <w:tr w:rsidR="00AB238E" w:rsidRPr="00705903" w14:paraId="4BD8CF50"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7932BEC0"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35</w:t>
            </w:r>
          </w:p>
        </w:tc>
        <w:tc>
          <w:tcPr>
            <w:tcW w:w="3780" w:type="dxa"/>
            <w:tcBorders>
              <w:top w:val="nil"/>
              <w:bottom w:val="nil"/>
            </w:tcBorders>
            <w:hideMark/>
          </w:tcPr>
          <w:p w14:paraId="2ACCB8C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Health Care</w:t>
            </w:r>
          </w:p>
        </w:tc>
        <w:tc>
          <w:tcPr>
            <w:tcW w:w="3780" w:type="dxa"/>
            <w:tcBorders>
              <w:top w:val="nil"/>
              <w:bottom w:val="nil"/>
            </w:tcBorders>
            <w:hideMark/>
          </w:tcPr>
          <w:p w14:paraId="0AD9428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0.0967</w:t>
            </w:r>
          </w:p>
        </w:tc>
      </w:tr>
      <w:tr w:rsidR="00AB238E" w:rsidRPr="00705903" w14:paraId="58F34E70" w14:textId="77777777" w:rsidTr="00A4523E">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57960D59"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w:t>
            </w:r>
          </w:p>
        </w:tc>
        <w:tc>
          <w:tcPr>
            <w:tcW w:w="3780" w:type="dxa"/>
            <w:tcBorders>
              <w:top w:val="nil"/>
              <w:bottom w:val="nil"/>
            </w:tcBorders>
            <w:hideMark/>
          </w:tcPr>
          <w:p w14:paraId="328AEEA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Industrials</w:t>
            </w:r>
          </w:p>
        </w:tc>
        <w:tc>
          <w:tcPr>
            <w:tcW w:w="3780" w:type="dxa"/>
            <w:tcBorders>
              <w:top w:val="nil"/>
              <w:bottom w:val="nil"/>
            </w:tcBorders>
            <w:hideMark/>
          </w:tcPr>
          <w:p w14:paraId="16F1E53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0.0959</w:t>
            </w:r>
          </w:p>
        </w:tc>
      </w:tr>
      <w:tr w:rsidR="00AB238E" w:rsidRPr="00705903" w14:paraId="459E58D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09150844"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25</w:t>
            </w:r>
          </w:p>
        </w:tc>
        <w:tc>
          <w:tcPr>
            <w:tcW w:w="3780" w:type="dxa"/>
            <w:tcBorders>
              <w:top w:val="nil"/>
              <w:bottom w:val="nil"/>
            </w:tcBorders>
            <w:hideMark/>
          </w:tcPr>
          <w:p w14:paraId="06EAC98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Consumer Discretionary</w:t>
            </w:r>
          </w:p>
        </w:tc>
        <w:tc>
          <w:tcPr>
            <w:tcW w:w="3780" w:type="dxa"/>
            <w:tcBorders>
              <w:top w:val="nil"/>
              <w:bottom w:val="nil"/>
            </w:tcBorders>
            <w:hideMark/>
          </w:tcPr>
          <w:p w14:paraId="784336E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0.0843</w:t>
            </w:r>
          </w:p>
        </w:tc>
      </w:tr>
      <w:tr w:rsidR="00AB238E" w:rsidRPr="00705903" w14:paraId="0D4EB3BE" w14:textId="77777777" w:rsidTr="00A4523E">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66C2318D"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15</w:t>
            </w:r>
          </w:p>
        </w:tc>
        <w:tc>
          <w:tcPr>
            <w:tcW w:w="3780" w:type="dxa"/>
            <w:tcBorders>
              <w:top w:val="nil"/>
              <w:bottom w:val="nil"/>
            </w:tcBorders>
            <w:hideMark/>
          </w:tcPr>
          <w:p w14:paraId="42F3D01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Materials</w:t>
            </w:r>
          </w:p>
        </w:tc>
        <w:tc>
          <w:tcPr>
            <w:tcW w:w="3780" w:type="dxa"/>
            <w:tcBorders>
              <w:top w:val="nil"/>
              <w:bottom w:val="nil"/>
            </w:tcBorders>
            <w:hideMark/>
          </w:tcPr>
          <w:p w14:paraId="1E8271A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0.0749</w:t>
            </w:r>
          </w:p>
        </w:tc>
      </w:tr>
      <w:tr w:rsidR="00AB238E" w:rsidRPr="00705903" w14:paraId="6A2AE25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1F52299C"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30</w:t>
            </w:r>
          </w:p>
        </w:tc>
        <w:tc>
          <w:tcPr>
            <w:tcW w:w="3780" w:type="dxa"/>
            <w:tcBorders>
              <w:top w:val="nil"/>
              <w:bottom w:val="nil"/>
            </w:tcBorders>
            <w:hideMark/>
          </w:tcPr>
          <w:p w14:paraId="2E13183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Consumer Staples</w:t>
            </w:r>
          </w:p>
        </w:tc>
        <w:tc>
          <w:tcPr>
            <w:tcW w:w="3780" w:type="dxa"/>
            <w:tcBorders>
              <w:top w:val="nil"/>
              <w:bottom w:val="nil"/>
            </w:tcBorders>
            <w:hideMark/>
          </w:tcPr>
          <w:p w14:paraId="2D95E2C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0.0700</w:t>
            </w:r>
          </w:p>
        </w:tc>
      </w:tr>
      <w:tr w:rsidR="00AB238E" w:rsidRPr="00705903" w14:paraId="557DBD0E" w14:textId="77777777" w:rsidTr="00A4523E">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0A39CD7E"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40</w:t>
            </w:r>
          </w:p>
        </w:tc>
        <w:tc>
          <w:tcPr>
            <w:tcW w:w="3780" w:type="dxa"/>
            <w:tcBorders>
              <w:top w:val="nil"/>
              <w:bottom w:val="nil"/>
            </w:tcBorders>
            <w:hideMark/>
          </w:tcPr>
          <w:p w14:paraId="668D22D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Financials</w:t>
            </w:r>
          </w:p>
        </w:tc>
        <w:tc>
          <w:tcPr>
            <w:tcW w:w="3780" w:type="dxa"/>
            <w:tcBorders>
              <w:top w:val="nil"/>
              <w:bottom w:val="nil"/>
            </w:tcBorders>
            <w:hideMark/>
          </w:tcPr>
          <w:p w14:paraId="4F7EFB5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0.0621</w:t>
            </w:r>
          </w:p>
        </w:tc>
      </w:tr>
      <w:tr w:rsidR="00AB238E" w:rsidRPr="00705903" w14:paraId="69B7D6F8"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53CAAA9C"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10</w:t>
            </w:r>
          </w:p>
        </w:tc>
        <w:tc>
          <w:tcPr>
            <w:tcW w:w="3780" w:type="dxa"/>
            <w:tcBorders>
              <w:top w:val="nil"/>
              <w:bottom w:val="nil"/>
            </w:tcBorders>
            <w:hideMark/>
          </w:tcPr>
          <w:p w14:paraId="21000B6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Energy</w:t>
            </w:r>
          </w:p>
        </w:tc>
        <w:tc>
          <w:tcPr>
            <w:tcW w:w="3780" w:type="dxa"/>
            <w:tcBorders>
              <w:top w:val="nil"/>
              <w:bottom w:val="nil"/>
            </w:tcBorders>
            <w:hideMark/>
          </w:tcPr>
          <w:p w14:paraId="19C3058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0.0346</w:t>
            </w:r>
          </w:p>
        </w:tc>
      </w:tr>
      <w:tr w:rsidR="00AB238E" w:rsidRPr="00705903" w14:paraId="232D7FC7" w14:textId="77777777" w:rsidTr="00A4523E">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4CBEDA82"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55</w:t>
            </w:r>
          </w:p>
        </w:tc>
        <w:tc>
          <w:tcPr>
            <w:tcW w:w="3780" w:type="dxa"/>
            <w:tcBorders>
              <w:top w:val="nil"/>
              <w:bottom w:val="nil"/>
            </w:tcBorders>
            <w:hideMark/>
          </w:tcPr>
          <w:p w14:paraId="50D1951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Utilities</w:t>
            </w:r>
          </w:p>
        </w:tc>
        <w:tc>
          <w:tcPr>
            <w:tcW w:w="3780" w:type="dxa"/>
            <w:tcBorders>
              <w:top w:val="nil"/>
              <w:bottom w:val="nil"/>
            </w:tcBorders>
            <w:hideMark/>
          </w:tcPr>
          <w:p w14:paraId="1350F0A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0.0336</w:t>
            </w:r>
          </w:p>
        </w:tc>
      </w:tr>
      <w:tr w:rsidR="00AB238E" w:rsidRPr="00705903" w14:paraId="6E0465C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nil"/>
            </w:tcBorders>
            <w:hideMark/>
          </w:tcPr>
          <w:p w14:paraId="238BBCDA"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60</w:t>
            </w:r>
          </w:p>
        </w:tc>
        <w:tc>
          <w:tcPr>
            <w:tcW w:w="3780" w:type="dxa"/>
            <w:tcBorders>
              <w:top w:val="nil"/>
            </w:tcBorders>
            <w:hideMark/>
          </w:tcPr>
          <w:p w14:paraId="42D8BC9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Real Estate</w:t>
            </w:r>
          </w:p>
        </w:tc>
        <w:tc>
          <w:tcPr>
            <w:tcW w:w="3780" w:type="dxa"/>
            <w:tcBorders>
              <w:top w:val="nil"/>
            </w:tcBorders>
            <w:hideMark/>
          </w:tcPr>
          <w:p w14:paraId="0FC75B4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0.0086</w:t>
            </w:r>
          </w:p>
        </w:tc>
      </w:tr>
    </w:tbl>
    <w:p w14:paraId="39C1D16C" w14:textId="77777777" w:rsidR="00AB238E" w:rsidRPr="00705903" w:rsidRDefault="00AB238E" w:rsidP="0097761F">
      <w:pPr>
        <w:spacing w:line="259" w:lineRule="auto"/>
        <w:ind w:firstLine="0"/>
        <w:jc w:val="both"/>
        <w:rPr>
          <w:b/>
          <w:bCs/>
          <w:sz w:val="20"/>
          <w:szCs w:val="20"/>
          <w:lang w:eastAsia="zh-CN"/>
        </w:rPr>
      </w:pPr>
    </w:p>
    <w:p w14:paraId="5B8BEA62" w14:textId="77777777" w:rsidR="00AB238E" w:rsidRPr="00705903" w:rsidRDefault="00AB238E" w:rsidP="0097761F">
      <w:pPr>
        <w:spacing w:line="259" w:lineRule="auto"/>
        <w:ind w:firstLine="0"/>
        <w:jc w:val="both"/>
        <w:rPr>
          <w:sz w:val="20"/>
          <w:szCs w:val="20"/>
          <w:lang w:eastAsia="zh-CN"/>
        </w:rPr>
      </w:pPr>
      <w:r w:rsidRPr="00705903">
        <w:rPr>
          <w:i/>
          <w:iCs/>
          <w:sz w:val="20"/>
          <w:szCs w:val="20"/>
          <w:lang w:eastAsia="zh-CN"/>
        </w:rPr>
        <w:t>Note</w:t>
      </w:r>
      <w:r w:rsidRPr="00705903">
        <w:rPr>
          <w:sz w:val="20"/>
          <w:szCs w:val="20"/>
          <w:lang w:eastAsia="zh-CN"/>
        </w:rPr>
        <w:t xml:space="preserve">: The CAGR is computed as </w:t>
      </w:r>
      <m:oMath>
        <m:r>
          <m:rPr>
            <m:lit/>
          </m:rPr>
          <w:rPr>
            <w:rFonts w:ascii="Cambria Math" w:hAnsi="Cambria Math"/>
            <w:sz w:val="20"/>
            <w:szCs w:val="20"/>
            <w:lang w:eastAsia="zh-CN"/>
          </w:rPr>
          <m:t>(</m:t>
        </m:r>
        <m:sSup>
          <m:sSupPr>
            <m:ctrlPr>
              <w:rPr>
                <w:rFonts w:ascii="Cambria Math" w:hAnsi="Cambria Math"/>
                <w:i/>
                <w:sz w:val="20"/>
                <w:szCs w:val="20"/>
                <w:lang w:eastAsia="zh-CN"/>
              </w:rPr>
            </m:ctrlPr>
          </m:sSupPr>
          <m:e>
            <m:d>
              <m:dPr>
                <m:ctrlPr>
                  <w:rPr>
                    <w:rFonts w:ascii="Cambria Math" w:hAnsi="Cambria Math"/>
                    <w:i/>
                    <w:sz w:val="20"/>
                    <w:szCs w:val="20"/>
                    <w:lang w:eastAsia="zh-CN"/>
                  </w:rPr>
                </m:ctrlPr>
              </m:dPr>
              <m:e>
                <m:f>
                  <m:fPr>
                    <m:ctrlPr>
                      <w:rPr>
                        <w:rFonts w:ascii="Cambria Math" w:hAnsi="Cambria Math"/>
                        <w:sz w:val="20"/>
                        <w:szCs w:val="20"/>
                        <w:lang w:eastAsia="zh-CN"/>
                      </w:rPr>
                    </m:ctrlPr>
                  </m:fPr>
                  <m:num>
                    <m:r>
                      <w:rPr>
                        <w:rFonts w:ascii="Cambria Math" w:hAnsi="Cambria Math"/>
                        <w:sz w:val="20"/>
                        <w:szCs w:val="20"/>
                        <w:lang w:eastAsia="zh-CN"/>
                      </w:rPr>
                      <m:t>EndValue</m:t>
                    </m:r>
                    <m:ctrlPr>
                      <w:rPr>
                        <w:rFonts w:ascii="Cambria Math" w:hAnsi="Cambria Math"/>
                        <w:i/>
                        <w:sz w:val="20"/>
                        <w:szCs w:val="20"/>
                        <w:lang w:eastAsia="zh-CN"/>
                      </w:rPr>
                    </m:ctrlPr>
                  </m:num>
                  <m:den>
                    <m:r>
                      <w:rPr>
                        <w:rFonts w:ascii="Cambria Math" w:hAnsi="Cambria Math"/>
                        <w:sz w:val="20"/>
                        <w:szCs w:val="20"/>
                        <w:lang w:eastAsia="zh-CN"/>
                      </w:rPr>
                      <m:t>StartValue</m:t>
                    </m:r>
                    <m:ctrlPr>
                      <w:rPr>
                        <w:rFonts w:ascii="Cambria Math" w:hAnsi="Cambria Math"/>
                        <w:i/>
                        <w:sz w:val="20"/>
                        <w:szCs w:val="20"/>
                        <w:lang w:eastAsia="zh-CN"/>
                      </w:rPr>
                    </m:ctrlPr>
                  </m:den>
                </m:f>
              </m:e>
            </m:d>
          </m:e>
          <m:sup>
            <m:r>
              <w:rPr>
                <w:rFonts w:ascii="Cambria Math" w:hAnsi="Cambria Math"/>
                <w:sz w:val="20"/>
                <w:szCs w:val="20"/>
                <w:lang w:eastAsia="zh-CN"/>
              </w:rPr>
              <m:t>1</m:t>
            </m:r>
            <m:r>
              <m:rPr>
                <m:lit/>
              </m:rPr>
              <w:rPr>
                <w:rFonts w:ascii="Cambria Math" w:hAnsi="Cambria Math"/>
                <w:sz w:val="20"/>
                <w:szCs w:val="20"/>
                <w:lang w:eastAsia="zh-CN"/>
              </w:rPr>
              <m:t>/</m:t>
            </m:r>
            <m:r>
              <w:rPr>
                <w:rFonts w:ascii="Cambria Math" w:hAnsi="Cambria Math"/>
                <w:sz w:val="20"/>
                <w:szCs w:val="20"/>
                <w:lang w:eastAsia="zh-CN"/>
              </w:rPr>
              <m:t>Years</m:t>
            </m:r>
          </m:sup>
        </m:sSup>
        <m:r>
          <w:rPr>
            <w:rFonts w:ascii="Cambria Math" w:hAnsi="Cambria Math"/>
            <w:sz w:val="20"/>
            <w:szCs w:val="20"/>
            <w:lang w:eastAsia="zh-CN"/>
          </w:rPr>
          <m:t>-1</m:t>
        </m:r>
        <m:r>
          <m:rPr>
            <m:lit/>
          </m:rPr>
          <w:rPr>
            <w:rFonts w:ascii="Cambria Math" w:hAnsi="Cambria Math"/>
            <w:sz w:val="20"/>
            <w:szCs w:val="20"/>
            <w:lang w:eastAsia="zh-CN"/>
          </w:rPr>
          <m:t>)</m:t>
        </m:r>
      </m:oMath>
      <w:r w:rsidRPr="00705903">
        <w:rPr>
          <w:sz w:val="20"/>
          <w:szCs w:val="20"/>
          <w:lang w:eastAsia="zh-CN"/>
        </w:rPr>
        <w:t>. Industries with lower initial ESG coverage (e.g., IT and Health Care) show higher relative growth, reflecting the diffusion of ESG disclosure practices across previously under-covered sectors.</w:t>
      </w:r>
    </w:p>
    <w:p w14:paraId="21AB9CC0" w14:textId="77777777" w:rsidR="00AB238E" w:rsidRPr="00705903" w:rsidRDefault="00AB238E" w:rsidP="0097761F">
      <w:pPr>
        <w:spacing w:line="259" w:lineRule="auto"/>
        <w:ind w:firstLine="0"/>
        <w:jc w:val="both"/>
        <w:rPr>
          <w:sz w:val="20"/>
          <w:szCs w:val="20"/>
          <w:lang w:eastAsia="zh-CN"/>
        </w:rPr>
      </w:pPr>
    </w:p>
    <w:p w14:paraId="4FA941D9" w14:textId="77777777" w:rsidR="00AB238E" w:rsidRPr="00705903" w:rsidRDefault="00AB238E" w:rsidP="0097761F">
      <w:pPr>
        <w:spacing w:after="160" w:line="259" w:lineRule="auto"/>
        <w:ind w:firstLine="0"/>
        <w:jc w:val="both"/>
        <w:rPr>
          <w:lang w:val="en-US"/>
        </w:rPr>
      </w:pPr>
      <w:r w:rsidRPr="00705903">
        <w:rPr>
          <w:lang w:val="en-US"/>
        </w:rPr>
        <w:br w:type="page"/>
      </w:r>
    </w:p>
    <w:p w14:paraId="2B500257" w14:textId="77777777" w:rsidR="00AB238E" w:rsidRPr="00705903" w:rsidRDefault="00AB238E" w:rsidP="0097761F">
      <w:pPr>
        <w:pStyle w:val="Heading1"/>
        <w:rPr>
          <w:rStyle w:val="Heading1Char"/>
          <w:b/>
          <w:bCs/>
          <w:szCs w:val="22"/>
        </w:rPr>
      </w:pPr>
      <w:r w:rsidRPr="00705903">
        <w:t xml:space="preserve">Table 5. </w:t>
      </w:r>
      <w:bookmarkStart w:id="8" w:name="_Hlk212677323"/>
      <w:r w:rsidRPr="00705903">
        <w:rPr>
          <w:rStyle w:val="Heading1Char"/>
          <w:b/>
          <w:bCs/>
        </w:rPr>
        <w:t>Average ESG Ratings by Industry (2007–2022)</w:t>
      </w:r>
      <w:bookmarkEnd w:id="8"/>
    </w:p>
    <w:p w14:paraId="37769BA6" w14:textId="77777777" w:rsidR="00AB238E" w:rsidRPr="00705903" w:rsidRDefault="00AB238E" w:rsidP="0097761F">
      <w:pPr>
        <w:spacing w:after="160" w:line="259" w:lineRule="auto"/>
        <w:ind w:firstLine="0"/>
        <w:jc w:val="both"/>
        <w:rPr>
          <w:sz w:val="20"/>
          <w:szCs w:val="20"/>
        </w:rPr>
      </w:pPr>
    </w:p>
    <w:p w14:paraId="5C3DF330" w14:textId="77777777" w:rsidR="00AB238E" w:rsidRPr="00705903" w:rsidRDefault="00AB238E" w:rsidP="0097761F">
      <w:pPr>
        <w:spacing w:after="160" w:line="259" w:lineRule="auto"/>
        <w:ind w:firstLine="0"/>
        <w:jc w:val="both"/>
        <w:rPr>
          <w:sz w:val="20"/>
          <w:szCs w:val="20"/>
        </w:rPr>
      </w:pPr>
      <w:r w:rsidRPr="00705903">
        <w:rPr>
          <w:sz w:val="20"/>
          <w:szCs w:val="20"/>
        </w:rPr>
        <w:t xml:space="preserve">This table presents the average ESG ratings across GICS </w:t>
      </w:r>
      <w:proofErr w:type="gramStart"/>
      <w:r w:rsidRPr="00705903">
        <w:rPr>
          <w:sz w:val="20"/>
          <w:szCs w:val="20"/>
        </w:rPr>
        <w:t>Level-1</w:t>
      </w:r>
      <w:proofErr w:type="gramEnd"/>
      <w:r w:rsidRPr="00705903">
        <w:rPr>
          <w:sz w:val="20"/>
          <w:szCs w:val="20"/>
        </w:rPr>
        <w:t xml:space="preserve"> industries, based on firm-level data from the Wind database (200</w:t>
      </w:r>
      <w:r w:rsidRPr="00705903">
        <w:rPr>
          <w:sz w:val="20"/>
          <w:szCs w:val="20"/>
          <w:lang w:eastAsia="zh-CN"/>
        </w:rPr>
        <w:t>7</w:t>
      </w:r>
      <w:r w:rsidRPr="00705903">
        <w:rPr>
          <w:sz w:val="20"/>
          <w:szCs w:val="20"/>
        </w:rPr>
        <w:t>–2022), as of February 2025.</w:t>
      </w:r>
      <w:r w:rsidRPr="00705903">
        <w:rPr>
          <w:sz w:val="20"/>
          <w:szCs w:val="20"/>
          <w:lang w:eastAsia="zh-CN"/>
        </w:rPr>
        <w:t xml:space="preserve"> </w:t>
      </w:r>
      <w:r w:rsidRPr="00705903">
        <w:rPr>
          <w:i/>
          <w:iCs/>
          <w:sz w:val="20"/>
          <w:szCs w:val="20"/>
        </w:rPr>
        <w:t>Consumer Staples</w:t>
      </w:r>
      <w:r w:rsidRPr="00705903">
        <w:rPr>
          <w:sz w:val="20"/>
          <w:szCs w:val="20"/>
        </w:rPr>
        <w:t xml:space="preserve">, </w:t>
      </w:r>
      <w:r w:rsidRPr="00705903">
        <w:rPr>
          <w:i/>
          <w:iCs/>
          <w:sz w:val="20"/>
          <w:szCs w:val="20"/>
        </w:rPr>
        <w:t>Materials</w:t>
      </w:r>
      <w:r w:rsidRPr="00705903">
        <w:rPr>
          <w:sz w:val="20"/>
          <w:szCs w:val="20"/>
        </w:rPr>
        <w:t xml:space="preserve">, and </w:t>
      </w:r>
      <w:r w:rsidRPr="00705903">
        <w:rPr>
          <w:i/>
          <w:iCs/>
          <w:sz w:val="20"/>
          <w:szCs w:val="20"/>
        </w:rPr>
        <w:t>Health Care</w:t>
      </w:r>
      <w:r w:rsidRPr="00705903">
        <w:rPr>
          <w:sz w:val="20"/>
          <w:szCs w:val="20"/>
        </w:rPr>
        <w:t xml:space="preserve"> exhibit the highest average ESG scores, reflecting stronger sustainability disclosure and compliance practices.</w:t>
      </w:r>
      <w:r w:rsidRPr="00705903">
        <w:rPr>
          <w:sz w:val="20"/>
          <w:szCs w:val="20"/>
          <w:lang w:eastAsia="zh-CN"/>
        </w:rPr>
        <w:t xml:space="preserve"> </w:t>
      </w:r>
      <w:r w:rsidRPr="00705903">
        <w:rPr>
          <w:sz w:val="20"/>
          <w:szCs w:val="20"/>
        </w:rPr>
        <w:t xml:space="preserve">In contrast, </w:t>
      </w:r>
      <w:r w:rsidRPr="00705903">
        <w:rPr>
          <w:i/>
          <w:iCs/>
          <w:sz w:val="20"/>
          <w:szCs w:val="20"/>
        </w:rPr>
        <w:t>Real Estate</w:t>
      </w:r>
      <w:r w:rsidRPr="00705903">
        <w:rPr>
          <w:sz w:val="20"/>
          <w:szCs w:val="20"/>
        </w:rPr>
        <w:t xml:space="preserve"> and </w:t>
      </w:r>
      <w:r w:rsidRPr="00705903">
        <w:rPr>
          <w:i/>
          <w:iCs/>
          <w:sz w:val="20"/>
          <w:szCs w:val="20"/>
        </w:rPr>
        <w:t>Telecommunication Services</w:t>
      </w:r>
      <w:r w:rsidRPr="00705903">
        <w:rPr>
          <w:sz w:val="20"/>
          <w:szCs w:val="20"/>
        </w:rPr>
        <w:t xml:space="preserve"> show relatively lower ESG performance, suggesting slower progress in ESG adoption within these sectors.</w:t>
      </w:r>
    </w:p>
    <w:p w14:paraId="4FA76801" w14:textId="77777777" w:rsidR="00AB238E" w:rsidRPr="00705903" w:rsidRDefault="00AB238E" w:rsidP="0097761F">
      <w:pPr>
        <w:spacing w:after="160" w:line="259" w:lineRule="auto"/>
        <w:ind w:firstLine="0"/>
        <w:jc w:val="both"/>
        <w:rPr>
          <w:sz w:val="20"/>
          <w:szCs w:val="20"/>
        </w:rPr>
      </w:pPr>
      <w:r w:rsidRPr="00705903">
        <w:rPr>
          <w:sz w:val="20"/>
          <w:szCs w:val="20"/>
        </w:rPr>
        <w:t>The table reports the average firm-level ESG scores aggregated by industry over the period 2005–2022.</w:t>
      </w:r>
      <w:r w:rsidRPr="00705903">
        <w:rPr>
          <w:sz w:val="20"/>
          <w:szCs w:val="20"/>
          <w:lang w:eastAsia="zh-CN"/>
        </w:rPr>
        <w:t xml:space="preserve"> </w:t>
      </w:r>
      <w:r w:rsidRPr="00705903">
        <w:rPr>
          <w:sz w:val="20"/>
          <w:szCs w:val="20"/>
        </w:rPr>
        <w:t xml:space="preserve">Higher values indicate stronger environmental, social, and governance performance as measured by the </w:t>
      </w:r>
      <w:r w:rsidRPr="00705903">
        <w:rPr>
          <w:sz w:val="20"/>
          <w:szCs w:val="20"/>
          <w:lang w:eastAsia="zh-CN"/>
        </w:rPr>
        <w:t>CNRDS</w:t>
      </w:r>
      <w:r w:rsidRPr="00705903">
        <w:rPr>
          <w:sz w:val="20"/>
          <w:szCs w:val="20"/>
        </w:rPr>
        <w:t xml:space="preserve"> database.</w:t>
      </w:r>
    </w:p>
    <w:p w14:paraId="644DD9F5" w14:textId="77777777" w:rsidR="00AB238E" w:rsidRPr="00705903" w:rsidRDefault="00AB238E" w:rsidP="0097761F">
      <w:pPr>
        <w:spacing w:after="160" w:line="259" w:lineRule="auto"/>
        <w:ind w:firstLine="0"/>
        <w:jc w:val="both"/>
        <w:rPr>
          <w:sz w:val="20"/>
          <w:szCs w:val="20"/>
        </w:rPr>
      </w:pPr>
    </w:p>
    <w:tbl>
      <w:tblPr>
        <w:tblStyle w:val="PlainTable2"/>
        <w:tblW w:w="0" w:type="auto"/>
        <w:tblLook w:val="04A0" w:firstRow="1" w:lastRow="0" w:firstColumn="1" w:lastColumn="0" w:noHBand="0" w:noVBand="1"/>
      </w:tblPr>
      <w:tblGrid>
        <w:gridCol w:w="2760"/>
        <w:gridCol w:w="6365"/>
      </w:tblGrid>
      <w:tr w:rsidR="00AB238E" w:rsidRPr="00705903" w14:paraId="109D04AD"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F85EA"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Industry</w:t>
            </w:r>
          </w:p>
        </w:tc>
        <w:tc>
          <w:tcPr>
            <w:tcW w:w="6365" w:type="dxa"/>
            <w:hideMark/>
          </w:tcPr>
          <w:p w14:paraId="7DB129C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Average ESG Score</w:t>
            </w:r>
          </w:p>
        </w:tc>
      </w:tr>
      <w:tr w:rsidR="00AB238E" w:rsidRPr="00705903" w14:paraId="7D9623D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72C90FAD"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30 Consumer Staples</w:t>
            </w:r>
          </w:p>
        </w:tc>
        <w:tc>
          <w:tcPr>
            <w:tcW w:w="6365" w:type="dxa"/>
            <w:tcBorders>
              <w:bottom w:val="nil"/>
            </w:tcBorders>
            <w:hideMark/>
          </w:tcPr>
          <w:p w14:paraId="266B4DD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33.70</w:t>
            </w:r>
          </w:p>
        </w:tc>
      </w:tr>
      <w:tr w:rsidR="00AB238E" w:rsidRPr="00705903" w14:paraId="271C4563"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3E90CA7"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15 Materials</w:t>
            </w:r>
          </w:p>
        </w:tc>
        <w:tc>
          <w:tcPr>
            <w:tcW w:w="6365" w:type="dxa"/>
            <w:tcBorders>
              <w:top w:val="nil"/>
              <w:bottom w:val="nil"/>
            </w:tcBorders>
            <w:hideMark/>
          </w:tcPr>
          <w:p w14:paraId="1E9722B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30.54</w:t>
            </w:r>
          </w:p>
        </w:tc>
      </w:tr>
      <w:tr w:rsidR="00AB238E" w:rsidRPr="00705903" w14:paraId="0C439BE7"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29EBE8F"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35 Health Care</w:t>
            </w:r>
          </w:p>
        </w:tc>
        <w:tc>
          <w:tcPr>
            <w:tcW w:w="6365" w:type="dxa"/>
            <w:tcBorders>
              <w:top w:val="nil"/>
              <w:bottom w:val="nil"/>
            </w:tcBorders>
            <w:hideMark/>
          </w:tcPr>
          <w:p w14:paraId="1F01346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30.03</w:t>
            </w:r>
          </w:p>
        </w:tc>
      </w:tr>
      <w:tr w:rsidR="00AB238E" w:rsidRPr="00705903" w14:paraId="7C64E0F4"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8C0A08C"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10 Energy</w:t>
            </w:r>
          </w:p>
        </w:tc>
        <w:tc>
          <w:tcPr>
            <w:tcW w:w="6365" w:type="dxa"/>
            <w:tcBorders>
              <w:top w:val="nil"/>
              <w:bottom w:val="nil"/>
            </w:tcBorders>
            <w:hideMark/>
          </w:tcPr>
          <w:p w14:paraId="30DBD41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27.08</w:t>
            </w:r>
          </w:p>
        </w:tc>
      </w:tr>
      <w:tr w:rsidR="00AB238E" w:rsidRPr="00705903" w14:paraId="77F2E40F"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516E5FA"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25 Consumer Discretionary</w:t>
            </w:r>
          </w:p>
        </w:tc>
        <w:tc>
          <w:tcPr>
            <w:tcW w:w="6365" w:type="dxa"/>
            <w:tcBorders>
              <w:top w:val="nil"/>
              <w:bottom w:val="nil"/>
            </w:tcBorders>
            <w:hideMark/>
          </w:tcPr>
          <w:p w14:paraId="1A81930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23.72</w:t>
            </w:r>
          </w:p>
        </w:tc>
      </w:tr>
      <w:tr w:rsidR="00AB238E" w:rsidRPr="00705903" w14:paraId="42A03626"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C241633"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 Industrials</w:t>
            </w:r>
          </w:p>
        </w:tc>
        <w:tc>
          <w:tcPr>
            <w:tcW w:w="6365" w:type="dxa"/>
            <w:tcBorders>
              <w:top w:val="nil"/>
              <w:bottom w:val="nil"/>
            </w:tcBorders>
            <w:hideMark/>
          </w:tcPr>
          <w:p w14:paraId="4F747B0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23.60</w:t>
            </w:r>
          </w:p>
        </w:tc>
      </w:tr>
      <w:tr w:rsidR="00AB238E" w:rsidRPr="00705903" w14:paraId="6FE884CC"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74A26A6"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55 Utilities</w:t>
            </w:r>
          </w:p>
        </w:tc>
        <w:tc>
          <w:tcPr>
            <w:tcW w:w="6365" w:type="dxa"/>
            <w:tcBorders>
              <w:top w:val="nil"/>
              <w:bottom w:val="nil"/>
            </w:tcBorders>
            <w:hideMark/>
          </w:tcPr>
          <w:p w14:paraId="12B975C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22.83</w:t>
            </w:r>
          </w:p>
        </w:tc>
      </w:tr>
      <w:tr w:rsidR="00AB238E" w:rsidRPr="00705903" w14:paraId="46C53A80"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63B6BB6"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40 Financials</w:t>
            </w:r>
          </w:p>
        </w:tc>
        <w:tc>
          <w:tcPr>
            <w:tcW w:w="6365" w:type="dxa"/>
            <w:tcBorders>
              <w:top w:val="nil"/>
              <w:bottom w:val="nil"/>
            </w:tcBorders>
            <w:hideMark/>
          </w:tcPr>
          <w:p w14:paraId="70A00AA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22.73</w:t>
            </w:r>
          </w:p>
        </w:tc>
      </w:tr>
      <w:tr w:rsidR="00AB238E" w:rsidRPr="00705903" w14:paraId="2A381910"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7622355"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45 Information Technology</w:t>
            </w:r>
          </w:p>
        </w:tc>
        <w:tc>
          <w:tcPr>
            <w:tcW w:w="6365" w:type="dxa"/>
            <w:tcBorders>
              <w:top w:val="nil"/>
              <w:bottom w:val="nil"/>
            </w:tcBorders>
            <w:hideMark/>
          </w:tcPr>
          <w:p w14:paraId="2AF23DC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21.30</w:t>
            </w:r>
          </w:p>
        </w:tc>
      </w:tr>
      <w:tr w:rsidR="00AB238E" w:rsidRPr="00705903" w14:paraId="7C979851"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5264FA2"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60 Real Estate</w:t>
            </w:r>
          </w:p>
        </w:tc>
        <w:tc>
          <w:tcPr>
            <w:tcW w:w="6365" w:type="dxa"/>
            <w:tcBorders>
              <w:top w:val="nil"/>
              <w:bottom w:val="nil"/>
            </w:tcBorders>
            <w:hideMark/>
          </w:tcPr>
          <w:p w14:paraId="69C9C50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19.71</w:t>
            </w:r>
          </w:p>
        </w:tc>
      </w:tr>
      <w:tr w:rsidR="00AB238E" w:rsidRPr="00705903" w14:paraId="05C454C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5EBB5D46"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50 Telecommunication Services</w:t>
            </w:r>
          </w:p>
        </w:tc>
        <w:tc>
          <w:tcPr>
            <w:tcW w:w="6365" w:type="dxa"/>
            <w:tcBorders>
              <w:top w:val="nil"/>
            </w:tcBorders>
            <w:hideMark/>
          </w:tcPr>
          <w:p w14:paraId="54F63E6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18.65</w:t>
            </w:r>
          </w:p>
        </w:tc>
      </w:tr>
    </w:tbl>
    <w:p w14:paraId="57F41C18" w14:textId="77777777" w:rsidR="00AB238E" w:rsidRPr="00705903" w:rsidRDefault="00AB238E" w:rsidP="0097761F">
      <w:pPr>
        <w:spacing w:after="160" w:line="259" w:lineRule="auto"/>
        <w:ind w:firstLine="0"/>
        <w:jc w:val="both"/>
        <w:rPr>
          <w:sz w:val="20"/>
          <w:szCs w:val="20"/>
        </w:rPr>
      </w:pPr>
    </w:p>
    <w:p w14:paraId="4AE6B676" w14:textId="77777777" w:rsidR="00AB238E" w:rsidRPr="00705903" w:rsidRDefault="00AB238E" w:rsidP="0097761F">
      <w:pPr>
        <w:spacing w:after="160" w:line="259" w:lineRule="auto"/>
        <w:ind w:firstLine="0"/>
        <w:jc w:val="both"/>
      </w:pPr>
    </w:p>
    <w:p w14:paraId="0FF29C5F" w14:textId="77777777" w:rsidR="00AB238E" w:rsidRPr="00705903" w:rsidRDefault="00AB238E" w:rsidP="0097761F">
      <w:pPr>
        <w:spacing w:after="160" w:line="259" w:lineRule="auto"/>
        <w:ind w:firstLine="0"/>
        <w:jc w:val="both"/>
        <w:rPr>
          <w:b/>
          <w:bCs/>
          <w:szCs w:val="24"/>
          <w:lang w:val="en-US" w:eastAsia="zh-CN"/>
        </w:rPr>
      </w:pPr>
    </w:p>
    <w:p w14:paraId="69659145" w14:textId="77777777" w:rsidR="00AB238E" w:rsidRPr="00705903" w:rsidRDefault="00AB238E" w:rsidP="0097761F">
      <w:pPr>
        <w:spacing w:after="160" w:line="259" w:lineRule="auto"/>
        <w:ind w:firstLine="0"/>
        <w:jc w:val="both"/>
        <w:rPr>
          <w:b/>
          <w:bCs/>
          <w:szCs w:val="24"/>
          <w:lang w:val="en-US" w:eastAsia="zh-CN"/>
        </w:rPr>
      </w:pPr>
      <w:r w:rsidRPr="00705903">
        <w:br w:type="page"/>
      </w:r>
    </w:p>
    <w:p w14:paraId="7882FD13" w14:textId="77777777" w:rsidR="00AB238E" w:rsidRPr="00705903" w:rsidRDefault="00AB238E" w:rsidP="0097761F">
      <w:pPr>
        <w:pStyle w:val="Heading1"/>
      </w:pPr>
      <w:r w:rsidRPr="00705903">
        <w:t>Table 6. Industry-Level ESG Rating Trends (2007–2022)</w:t>
      </w:r>
    </w:p>
    <w:p w14:paraId="5433A927" w14:textId="77777777" w:rsidR="00AB238E" w:rsidRPr="00705903" w:rsidRDefault="00AB238E" w:rsidP="0097761F">
      <w:pPr>
        <w:spacing w:line="259" w:lineRule="auto"/>
        <w:ind w:firstLine="0"/>
        <w:jc w:val="both"/>
        <w:rPr>
          <w:sz w:val="20"/>
          <w:szCs w:val="20"/>
          <w:lang w:val="en-US" w:eastAsia="zh-CN"/>
        </w:rPr>
      </w:pPr>
    </w:p>
    <w:p w14:paraId="5CED22B2"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t xml:space="preserve">This table reports the time-series evolution of average ESG ratings across 11 GICS </w:t>
      </w:r>
      <w:proofErr w:type="gramStart"/>
      <w:r w:rsidRPr="00705903">
        <w:rPr>
          <w:sz w:val="20"/>
          <w:szCs w:val="20"/>
          <w:lang w:val="en-US" w:eastAsia="zh-CN"/>
        </w:rPr>
        <w:t>Level-1</w:t>
      </w:r>
      <w:proofErr w:type="gramEnd"/>
      <w:r w:rsidRPr="00705903">
        <w:rPr>
          <w:sz w:val="20"/>
          <w:szCs w:val="20"/>
          <w:lang w:val="en-US" w:eastAsia="zh-CN"/>
        </w:rPr>
        <w:t xml:space="preserve"> industries from 2007 to 2022, based on the Wind database as of February 2025. The ESG rating represents the mean value of firm-level ESG scores within each industry and year. Industries such as Consumer Staples, Materials, and Health Care consistently maintain higher ESG ratings, reflecting their stronger disclosure and compliance behavior. In contrast, Real Estate and Telecommunication Services exhibit relatively lower scores and slower improvement over time. The overall upward trend across all industries highlights the progressive enhancement of ESG standards and corporate sustainability awareness among Chinese listed firms.</w:t>
      </w:r>
    </w:p>
    <w:p w14:paraId="1058E53A" w14:textId="77777777" w:rsidR="00AB238E" w:rsidRPr="00705903" w:rsidRDefault="00AB238E" w:rsidP="0097761F">
      <w:pPr>
        <w:spacing w:line="259" w:lineRule="auto"/>
        <w:ind w:firstLine="0"/>
        <w:jc w:val="both"/>
        <w:rPr>
          <w:sz w:val="20"/>
          <w:szCs w:val="20"/>
          <w:lang w:val="en-US" w:eastAsia="zh-CN"/>
        </w:rPr>
      </w:pPr>
    </w:p>
    <w:p w14:paraId="3D5E9E63" w14:textId="77777777" w:rsidR="00AB238E" w:rsidRPr="00705903" w:rsidRDefault="00AB238E" w:rsidP="0097761F">
      <w:pPr>
        <w:spacing w:line="259" w:lineRule="auto"/>
        <w:ind w:firstLine="0"/>
        <w:jc w:val="both"/>
        <w:rPr>
          <w:b/>
          <w:bCs/>
          <w:sz w:val="20"/>
          <w:szCs w:val="20"/>
          <w:lang w:eastAsia="zh-CN"/>
        </w:rPr>
      </w:pPr>
    </w:p>
    <w:tbl>
      <w:tblPr>
        <w:tblStyle w:val="PlainTable2"/>
        <w:tblW w:w="0" w:type="auto"/>
        <w:tblLook w:val="04A0" w:firstRow="1" w:lastRow="0" w:firstColumn="1" w:lastColumn="0" w:noHBand="0" w:noVBand="1"/>
      </w:tblPr>
      <w:tblGrid>
        <w:gridCol w:w="576"/>
        <w:gridCol w:w="790"/>
        <w:gridCol w:w="790"/>
        <w:gridCol w:w="791"/>
        <w:gridCol w:w="790"/>
        <w:gridCol w:w="790"/>
        <w:gridCol w:w="791"/>
        <w:gridCol w:w="790"/>
        <w:gridCol w:w="790"/>
        <w:gridCol w:w="791"/>
        <w:gridCol w:w="790"/>
        <w:gridCol w:w="791"/>
      </w:tblGrid>
      <w:tr w:rsidR="00AB238E" w:rsidRPr="00705903" w14:paraId="34B5B2C9" w14:textId="77777777" w:rsidTr="00A4523E">
        <w:trPr>
          <w:cnfStyle w:val="100000000000" w:firstRow="1" w:lastRow="0" w:firstColumn="0" w:lastColumn="0" w:oddVBand="0" w:evenVBand="0" w:oddHBand="0" w:evenHBand="0" w:firstRowFirstColumn="0" w:firstRowLastColumn="0" w:lastRowFirstColumn="0" w:lastRowLastColumn="0"/>
          <w:cantSplit/>
          <w:trHeight w:val="1277"/>
        </w:trPr>
        <w:tc>
          <w:tcPr>
            <w:cnfStyle w:val="001000000000" w:firstRow="0" w:lastRow="0" w:firstColumn="1" w:lastColumn="0" w:oddVBand="0" w:evenVBand="0" w:oddHBand="0" w:evenHBand="0" w:firstRowFirstColumn="0" w:firstRowLastColumn="0" w:lastRowFirstColumn="0" w:lastRowLastColumn="0"/>
            <w:tcW w:w="0" w:type="auto"/>
            <w:textDirection w:val="btLr"/>
            <w:hideMark/>
          </w:tcPr>
          <w:p w14:paraId="71EF1E45" w14:textId="77777777" w:rsidR="00AB238E" w:rsidRPr="00705903" w:rsidRDefault="00AB238E" w:rsidP="0097761F">
            <w:pPr>
              <w:spacing w:line="259" w:lineRule="auto"/>
              <w:ind w:left="113" w:right="113" w:firstLine="0"/>
              <w:jc w:val="both"/>
              <w:rPr>
                <w:b w:val="0"/>
                <w:bCs w:val="0"/>
                <w:sz w:val="18"/>
                <w:szCs w:val="18"/>
                <w:lang w:val="en-US" w:eastAsia="zh-CN"/>
              </w:rPr>
            </w:pPr>
            <w:r w:rsidRPr="00705903">
              <w:rPr>
                <w:b w:val="0"/>
                <w:bCs w:val="0"/>
                <w:sz w:val="18"/>
                <w:szCs w:val="18"/>
                <w:lang w:val="en-US" w:eastAsia="zh-CN"/>
              </w:rPr>
              <w:t>Year</w:t>
            </w:r>
          </w:p>
        </w:tc>
        <w:tc>
          <w:tcPr>
            <w:tcW w:w="790" w:type="dxa"/>
            <w:textDirection w:val="btLr"/>
            <w:hideMark/>
          </w:tcPr>
          <w:p w14:paraId="7D6922E4"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Energy</w:t>
            </w:r>
          </w:p>
        </w:tc>
        <w:tc>
          <w:tcPr>
            <w:tcW w:w="790" w:type="dxa"/>
            <w:textDirection w:val="btLr"/>
            <w:hideMark/>
          </w:tcPr>
          <w:p w14:paraId="456C7F56"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Materials</w:t>
            </w:r>
          </w:p>
        </w:tc>
        <w:tc>
          <w:tcPr>
            <w:tcW w:w="791" w:type="dxa"/>
            <w:textDirection w:val="btLr"/>
            <w:hideMark/>
          </w:tcPr>
          <w:p w14:paraId="6E5DDF7B"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Industrials</w:t>
            </w:r>
          </w:p>
        </w:tc>
        <w:tc>
          <w:tcPr>
            <w:tcW w:w="790" w:type="dxa"/>
            <w:textDirection w:val="btLr"/>
            <w:hideMark/>
          </w:tcPr>
          <w:p w14:paraId="22535856"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Consumer Discretionary</w:t>
            </w:r>
          </w:p>
        </w:tc>
        <w:tc>
          <w:tcPr>
            <w:tcW w:w="790" w:type="dxa"/>
            <w:textDirection w:val="btLr"/>
            <w:hideMark/>
          </w:tcPr>
          <w:p w14:paraId="7270AF62"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Consumer Staples</w:t>
            </w:r>
          </w:p>
        </w:tc>
        <w:tc>
          <w:tcPr>
            <w:tcW w:w="791" w:type="dxa"/>
            <w:textDirection w:val="btLr"/>
            <w:hideMark/>
          </w:tcPr>
          <w:p w14:paraId="68054221"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Health Care</w:t>
            </w:r>
          </w:p>
        </w:tc>
        <w:tc>
          <w:tcPr>
            <w:tcW w:w="790" w:type="dxa"/>
            <w:textDirection w:val="btLr"/>
            <w:hideMark/>
          </w:tcPr>
          <w:p w14:paraId="2CC6CBD3"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Financials</w:t>
            </w:r>
          </w:p>
        </w:tc>
        <w:tc>
          <w:tcPr>
            <w:tcW w:w="790" w:type="dxa"/>
            <w:textDirection w:val="btLr"/>
            <w:hideMark/>
          </w:tcPr>
          <w:p w14:paraId="61861D57"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Information Technology</w:t>
            </w:r>
          </w:p>
        </w:tc>
        <w:tc>
          <w:tcPr>
            <w:tcW w:w="791" w:type="dxa"/>
            <w:textDirection w:val="btLr"/>
            <w:hideMark/>
          </w:tcPr>
          <w:p w14:paraId="71207B94"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Telecommunication Services</w:t>
            </w:r>
          </w:p>
        </w:tc>
        <w:tc>
          <w:tcPr>
            <w:tcW w:w="790" w:type="dxa"/>
            <w:textDirection w:val="btLr"/>
            <w:hideMark/>
          </w:tcPr>
          <w:p w14:paraId="0631C8F7"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Utilities</w:t>
            </w:r>
          </w:p>
        </w:tc>
        <w:tc>
          <w:tcPr>
            <w:tcW w:w="791" w:type="dxa"/>
            <w:textDirection w:val="btLr"/>
            <w:hideMark/>
          </w:tcPr>
          <w:p w14:paraId="3EF76A4C"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eastAsia="zh-CN"/>
              </w:rPr>
            </w:pPr>
            <w:r w:rsidRPr="00705903">
              <w:rPr>
                <w:b w:val="0"/>
                <w:bCs w:val="0"/>
                <w:i/>
                <w:iCs/>
                <w:sz w:val="18"/>
                <w:szCs w:val="18"/>
                <w:lang w:val="en-US" w:eastAsia="zh-CN"/>
              </w:rPr>
              <w:t>Real Estate</w:t>
            </w:r>
          </w:p>
        </w:tc>
      </w:tr>
      <w:tr w:rsidR="00AB238E" w:rsidRPr="00705903" w14:paraId="418B1767"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3998A64E"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2007</w:t>
            </w:r>
          </w:p>
        </w:tc>
        <w:tc>
          <w:tcPr>
            <w:tcW w:w="790" w:type="dxa"/>
            <w:tcBorders>
              <w:bottom w:val="nil"/>
            </w:tcBorders>
            <w:hideMark/>
          </w:tcPr>
          <w:p w14:paraId="3030DDA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20.18</w:t>
            </w:r>
          </w:p>
        </w:tc>
        <w:tc>
          <w:tcPr>
            <w:tcW w:w="790" w:type="dxa"/>
            <w:tcBorders>
              <w:bottom w:val="nil"/>
            </w:tcBorders>
            <w:hideMark/>
          </w:tcPr>
          <w:p w14:paraId="5DB3DE9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22.45</w:t>
            </w:r>
          </w:p>
        </w:tc>
        <w:tc>
          <w:tcPr>
            <w:tcW w:w="791" w:type="dxa"/>
            <w:tcBorders>
              <w:bottom w:val="nil"/>
            </w:tcBorders>
            <w:hideMark/>
          </w:tcPr>
          <w:p w14:paraId="586EB33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16.59</w:t>
            </w:r>
          </w:p>
        </w:tc>
        <w:tc>
          <w:tcPr>
            <w:tcW w:w="790" w:type="dxa"/>
            <w:tcBorders>
              <w:bottom w:val="nil"/>
            </w:tcBorders>
            <w:hideMark/>
          </w:tcPr>
          <w:p w14:paraId="29DE7B4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17.24</w:t>
            </w:r>
          </w:p>
        </w:tc>
        <w:tc>
          <w:tcPr>
            <w:tcW w:w="790" w:type="dxa"/>
            <w:tcBorders>
              <w:bottom w:val="nil"/>
            </w:tcBorders>
            <w:hideMark/>
          </w:tcPr>
          <w:p w14:paraId="572C505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25.75</w:t>
            </w:r>
          </w:p>
        </w:tc>
        <w:tc>
          <w:tcPr>
            <w:tcW w:w="791" w:type="dxa"/>
            <w:tcBorders>
              <w:bottom w:val="nil"/>
            </w:tcBorders>
            <w:hideMark/>
          </w:tcPr>
          <w:p w14:paraId="5A1436D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23.70</w:t>
            </w:r>
          </w:p>
        </w:tc>
        <w:tc>
          <w:tcPr>
            <w:tcW w:w="790" w:type="dxa"/>
            <w:tcBorders>
              <w:bottom w:val="nil"/>
            </w:tcBorders>
            <w:hideMark/>
          </w:tcPr>
          <w:p w14:paraId="54887FE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14.55</w:t>
            </w:r>
          </w:p>
        </w:tc>
        <w:tc>
          <w:tcPr>
            <w:tcW w:w="790" w:type="dxa"/>
            <w:tcBorders>
              <w:bottom w:val="nil"/>
            </w:tcBorders>
            <w:hideMark/>
          </w:tcPr>
          <w:p w14:paraId="13A01B7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15.74</w:t>
            </w:r>
          </w:p>
        </w:tc>
        <w:tc>
          <w:tcPr>
            <w:tcW w:w="791" w:type="dxa"/>
            <w:tcBorders>
              <w:bottom w:val="nil"/>
            </w:tcBorders>
            <w:hideMark/>
          </w:tcPr>
          <w:p w14:paraId="004B37F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16.08</w:t>
            </w:r>
          </w:p>
        </w:tc>
        <w:tc>
          <w:tcPr>
            <w:tcW w:w="790" w:type="dxa"/>
            <w:tcBorders>
              <w:bottom w:val="nil"/>
            </w:tcBorders>
            <w:hideMark/>
          </w:tcPr>
          <w:p w14:paraId="60AEE95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15.74</w:t>
            </w:r>
          </w:p>
        </w:tc>
        <w:tc>
          <w:tcPr>
            <w:tcW w:w="791" w:type="dxa"/>
            <w:tcBorders>
              <w:bottom w:val="nil"/>
            </w:tcBorders>
            <w:hideMark/>
          </w:tcPr>
          <w:p w14:paraId="313B0DB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14.46</w:t>
            </w:r>
          </w:p>
        </w:tc>
      </w:tr>
      <w:tr w:rsidR="00AB238E" w:rsidRPr="00705903" w14:paraId="33270705"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00D9B0B"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2008</w:t>
            </w:r>
          </w:p>
        </w:tc>
        <w:tc>
          <w:tcPr>
            <w:tcW w:w="790" w:type="dxa"/>
            <w:tcBorders>
              <w:top w:val="nil"/>
              <w:bottom w:val="nil"/>
            </w:tcBorders>
            <w:hideMark/>
          </w:tcPr>
          <w:p w14:paraId="7501B98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24.11</w:t>
            </w:r>
          </w:p>
        </w:tc>
        <w:tc>
          <w:tcPr>
            <w:tcW w:w="790" w:type="dxa"/>
            <w:tcBorders>
              <w:top w:val="nil"/>
              <w:bottom w:val="nil"/>
            </w:tcBorders>
            <w:hideMark/>
          </w:tcPr>
          <w:p w14:paraId="5E385E2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23.82</w:t>
            </w:r>
          </w:p>
        </w:tc>
        <w:tc>
          <w:tcPr>
            <w:tcW w:w="791" w:type="dxa"/>
            <w:tcBorders>
              <w:top w:val="nil"/>
              <w:bottom w:val="nil"/>
            </w:tcBorders>
            <w:hideMark/>
          </w:tcPr>
          <w:p w14:paraId="3380781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19.52</w:t>
            </w:r>
          </w:p>
        </w:tc>
        <w:tc>
          <w:tcPr>
            <w:tcW w:w="790" w:type="dxa"/>
            <w:tcBorders>
              <w:top w:val="nil"/>
              <w:bottom w:val="nil"/>
            </w:tcBorders>
            <w:hideMark/>
          </w:tcPr>
          <w:p w14:paraId="628C3BE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19.46</w:t>
            </w:r>
          </w:p>
        </w:tc>
        <w:tc>
          <w:tcPr>
            <w:tcW w:w="790" w:type="dxa"/>
            <w:tcBorders>
              <w:top w:val="nil"/>
              <w:bottom w:val="nil"/>
            </w:tcBorders>
            <w:hideMark/>
          </w:tcPr>
          <w:p w14:paraId="38E42C6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27.61</w:t>
            </w:r>
          </w:p>
        </w:tc>
        <w:tc>
          <w:tcPr>
            <w:tcW w:w="791" w:type="dxa"/>
            <w:tcBorders>
              <w:top w:val="nil"/>
              <w:bottom w:val="nil"/>
            </w:tcBorders>
            <w:hideMark/>
          </w:tcPr>
          <w:p w14:paraId="2488001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25.92</w:t>
            </w:r>
          </w:p>
        </w:tc>
        <w:tc>
          <w:tcPr>
            <w:tcW w:w="790" w:type="dxa"/>
            <w:tcBorders>
              <w:top w:val="nil"/>
              <w:bottom w:val="nil"/>
            </w:tcBorders>
            <w:hideMark/>
          </w:tcPr>
          <w:p w14:paraId="10789E0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18.41</w:t>
            </w:r>
          </w:p>
        </w:tc>
        <w:tc>
          <w:tcPr>
            <w:tcW w:w="790" w:type="dxa"/>
            <w:tcBorders>
              <w:top w:val="nil"/>
              <w:bottom w:val="nil"/>
            </w:tcBorders>
            <w:hideMark/>
          </w:tcPr>
          <w:p w14:paraId="7E52DE9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17.97</w:t>
            </w:r>
          </w:p>
        </w:tc>
        <w:tc>
          <w:tcPr>
            <w:tcW w:w="791" w:type="dxa"/>
            <w:tcBorders>
              <w:top w:val="nil"/>
              <w:bottom w:val="nil"/>
            </w:tcBorders>
            <w:hideMark/>
          </w:tcPr>
          <w:p w14:paraId="4C32FAB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17.67</w:t>
            </w:r>
          </w:p>
        </w:tc>
        <w:tc>
          <w:tcPr>
            <w:tcW w:w="790" w:type="dxa"/>
            <w:tcBorders>
              <w:top w:val="nil"/>
              <w:bottom w:val="nil"/>
            </w:tcBorders>
            <w:hideMark/>
          </w:tcPr>
          <w:p w14:paraId="5AC9E61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17.76</w:t>
            </w:r>
          </w:p>
        </w:tc>
        <w:tc>
          <w:tcPr>
            <w:tcW w:w="791" w:type="dxa"/>
            <w:tcBorders>
              <w:top w:val="nil"/>
              <w:bottom w:val="nil"/>
            </w:tcBorders>
            <w:hideMark/>
          </w:tcPr>
          <w:p w14:paraId="0E8C305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17.46</w:t>
            </w:r>
          </w:p>
        </w:tc>
      </w:tr>
      <w:tr w:rsidR="00AB238E" w:rsidRPr="00705903" w14:paraId="274218A3"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B4511FF"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2009</w:t>
            </w:r>
          </w:p>
        </w:tc>
        <w:tc>
          <w:tcPr>
            <w:tcW w:w="790" w:type="dxa"/>
            <w:tcBorders>
              <w:top w:val="nil"/>
              <w:bottom w:val="nil"/>
            </w:tcBorders>
            <w:hideMark/>
          </w:tcPr>
          <w:p w14:paraId="23D052E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22.18</w:t>
            </w:r>
          </w:p>
        </w:tc>
        <w:tc>
          <w:tcPr>
            <w:tcW w:w="790" w:type="dxa"/>
            <w:tcBorders>
              <w:top w:val="nil"/>
              <w:bottom w:val="nil"/>
            </w:tcBorders>
            <w:hideMark/>
          </w:tcPr>
          <w:p w14:paraId="0A095E1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24.62</w:t>
            </w:r>
          </w:p>
        </w:tc>
        <w:tc>
          <w:tcPr>
            <w:tcW w:w="791" w:type="dxa"/>
            <w:tcBorders>
              <w:top w:val="nil"/>
              <w:bottom w:val="nil"/>
            </w:tcBorders>
            <w:hideMark/>
          </w:tcPr>
          <w:p w14:paraId="246B104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19.24</w:t>
            </w:r>
          </w:p>
        </w:tc>
        <w:tc>
          <w:tcPr>
            <w:tcW w:w="790" w:type="dxa"/>
            <w:tcBorders>
              <w:top w:val="nil"/>
              <w:bottom w:val="nil"/>
            </w:tcBorders>
            <w:hideMark/>
          </w:tcPr>
          <w:p w14:paraId="3A5BC2D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18.82</w:t>
            </w:r>
          </w:p>
        </w:tc>
        <w:tc>
          <w:tcPr>
            <w:tcW w:w="790" w:type="dxa"/>
            <w:tcBorders>
              <w:top w:val="nil"/>
              <w:bottom w:val="nil"/>
            </w:tcBorders>
            <w:hideMark/>
          </w:tcPr>
          <w:p w14:paraId="6D4F810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27.41</w:t>
            </w:r>
          </w:p>
        </w:tc>
        <w:tc>
          <w:tcPr>
            <w:tcW w:w="791" w:type="dxa"/>
            <w:tcBorders>
              <w:top w:val="nil"/>
              <w:bottom w:val="nil"/>
            </w:tcBorders>
            <w:hideMark/>
          </w:tcPr>
          <w:p w14:paraId="1E160D9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24.72</w:t>
            </w:r>
          </w:p>
        </w:tc>
        <w:tc>
          <w:tcPr>
            <w:tcW w:w="790" w:type="dxa"/>
            <w:tcBorders>
              <w:top w:val="nil"/>
              <w:bottom w:val="nil"/>
            </w:tcBorders>
            <w:hideMark/>
          </w:tcPr>
          <w:p w14:paraId="4F13185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18.24</w:t>
            </w:r>
          </w:p>
        </w:tc>
        <w:tc>
          <w:tcPr>
            <w:tcW w:w="790" w:type="dxa"/>
            <w:tcBorders>
              <w:top w:val="nil"/>
              <w:bottom w:val="nil"/>
            </w:tcBorders>
            <w:hideMark/>
          </w:tcPr>
          <w:p w14:paraId="2A98AE7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17.04</w:t>
            </w:r>
          </w:p>
        </w:tc>
        <w:tc>
          <w:tcPr>
            <w:tcW w:w="791" w:type="dxa"/>
            <w:tcBorders>
              <w:top w:val="nil"/>
              <w:bottom w:val="nil"/>
            </w:tcBorders>
            <w:hideMark/>
          </w:tcPr>
          <w:p w14:paraId="3E692F2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13.99</w:t>
            </w:r>
          </w:p>
        </w:tc>
        <w:tc>
          <w:tcPr>
            <w:tcW w:w="790" w:type="dxa"/>
            <w:tcBorders>
              <w:top w:val="nil"/>
              <w:bottom w:val="nil"/>
            </w:tcBorders>
            <w:hideMark/>
          </w:tcPr>
          <w:p w14:paraId="64426F3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19.21</w:t>
            </w:r>
          </w:p>
        </w:tc>
        <w:tc>
          <w:tcPr>
            <w:tcW w:w="791" w:type="dxa"/>
            <w:tcBorders>
              <w:top w:val="nil"/>
              <w:bottom w:val="nil"/>
            </w:tcBorders>
            <w:hideMark/>
          </w:tcPr>
          <w:p w14:paraId="63B1637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17.08</w:t>
            </w:r>
          </w:p>
        </w:tc>
      </w:tr>
      <w:tr w:rsidR="00AB238E" w:rsidRPr="00705903" w14:paraId="517798D7"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DB7EC79"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2010</w:t>
            </w:r>
          </w:p>
        </w:tc>
        <w:tc>
          <w:tcPr>
            <w:tcW w:w="790" w:type="dxa"/>
            <w:tcBorders>
              <w:top w:val="nil"/>
              <w:bottom w:val="nil"/>
            </w:tcBorders>
            <w:hideMark/>
          </w:tcPr>
          <w:p w14:paraId="03F7ADD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20.72</w:t>
            </w:r>
          </w:p>
        </w:tc>
        <w:tc>
          <w:tcPr>
            <w:tcW w:w="790" w:type="dxa"/>
            <w:tcBorders>
              <w:top w:val="nil"/>
              <w:bottom w:val="nil"/>
            </w:tcBorders>
            <w:hideMark/>
          </w:tcPr>
          <w:p w14:paraId="4FD48FF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22.12</w:t>
            </w:r>
          </w:p>
        </w:tc>
        <w:tc>
          <w:tcPr>
            <w:tcW w:w="791" w:type="dxa"/>
            <w:tcBorders>
              <w:top w:val="nil"/>
              <w:bottom w:val="nil"/>
            </w:tcBorders>
            <w:hideMark/>
          </w:tcPr>
          <w:p w14:paraId="28A4749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16.92</w:t>
            </w:r>
          </w:p>
        </w:tc>
        <w:tc>
          <w:tcPr>
            <w:tcW w:w="790" w:type="dxa"/>
            <w:tcBorders>
              <w:top w:val="nil"/>
              <w:bottom w:val="nil"/>
            </w:tcBorders>
            <w:hideMark/>
          </w:tcPr>
          <w:p w14:paraId="4819879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17.16</w:t>
            </w:r>
          </w:p>
        </w:tc>
        <w:tc>
          <w:tcPr>
            <w:tcW w:w="790" w:type="dxa"/>
            <w:tcBorders>
              <w:top w:val="nil"/>
              <w:bottom w:val="nil"/>
            </w:tcBorders>
            <w:hideMark/>
          </w:tcPr>
          <w:p w14:paraId="16748C2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24.25</w:t>
            </w:r>
          </w:p>
        </w:tc>
        <w:tc>
          <w:tcPr>
            <w:tcW w:w="791" w:type="dxa"/>
            <w:tcBorders>
              <w:top w:val="nil"/>
              <w:bottom w:val="nil"/>
            </w:tcBorders>
            <w:hideMark/>
          </w:tcPr>
          <w:p w14:paraId="10322A5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21.91</w:t>
            </w:r>
          </w:p>
        </w:tc>
        <w:tc>
          <w:tcPr>
            <w:tcW w:w="790" w:type="dxa"/>
            <w:tcBorders>
              <w:top w:val="nil"/>
              <w:bottom w:val="nil"/>
            </w:tcBorders>
            <w:hideMark/>
          </w:tcPr>
          <w:p w14:paraId="6F8DE69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15.44</w:t>
            </w:r>
          </w:p>
        </w:tc>
        <w:tc>
          <w:tcPr>
            <w:tcW w:w="790" w:type="dxa"/>
            <w:tcBorders>
              <w:top w:val="nil"/>
              <w:bottom w:val="nil"/>
            </w:tcBorders>
            <w:hideMark/>
          </w:tcPr>
          <w:p w14:paraId="31D55E5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15.95</w:t>
            </w:r>
          </w:p>
        </w:tc>
        <w:tc>
          <w:tcPr>
            <w:tcW w:w="791" w:type="dxa"/>
            <w:tcBorders>
              <w:top w:val="nil"/>
              <w:bottom w:val="nil"/>
            </w:tcBorders>
            <w:hideMark/>
          </w:tcPr>
          <w:p w14:paraId="619218A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17.19</w:t>
            </w:r>
          </w:p>
        </w:tc>
        <w:tc>
          <w:tcPr>
            <w:tcW w:w="790" w:type="dxa"/>
            <w:tcBorders>
              <w:top w:val="nil"/>
              <w:bottom w:val="nil"/>
            </w:tcBorders>
            <w:hideMark/>
          </w:tcPr>
          <w:p w14:paraId="3CC9D7E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16.10</w:t>
            </w:r>
          </w:p>
        </w:tc>
        <w:tc>
          <w:tcPr>
            <w:tcW w:w="791" w:type="dxa"/>
            <w:tcBorders>
              <w:top w:val="nil"/>
              <w:bottom w:val="nil"/>
            </w:tcBorders>
            <w:hideMark/>
          </w:tcPr>
          <w:p w14:paraId="266D7D9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15.11</w:t>
            </w:r>
          </w:p>
        </w:tc>
      </w:tr>
      <w:tr w:rsidR="00AB238E" w:rsidRPr="00705903" w14:paraId="3DCB1DF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42F5688"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2011</w:t>
            </w:r>
          </w:p>
        </w:tc>
        <w:tc>
          <w:tcPr>
            <w:tcW w:w="790" w:type="dxa"/>
            <w:tcBorders>
              <w:top w:val="nil"/>
              <w:bottom w:val="nil"/>
            </w:tcBorders>
            <w:hideMark/>
          </w:tcPr>
          <w:p w14:paraId="571784D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20.25</w:t>
            </w:r>
          </w:p>
        </w:tc>
        <w:tc>
          <w:tcPr>
            <w:tcW w:w="790" w:type="dxa"/>
            <w:tcBorders>
              <w:top w:val="nil"/>
              <w:bottom w:val="nil"/>
            </w:tcBorders>
            <w:hideMark/>
          </w:tcPr>
          <w:p w14:paraId="3C50C3A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22.61</w:t>
            </w:r>
          </w:p>
        </w:tc>
        <w:tc>
          <w:tcPr>
            <w:tcW w:w="791" w:type="dxa"/>
            <w:tcBorders>
              <w:top w:val="nil"/>
              <w:bottom w:val="nil"/>
            </w:tcBorders>
            <w:hideMark/>
          </w:tcPr>
          <w:p w14:paraId="016F1F2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17.48</w:t>
            </w:r>
          </w:p>
        </w:tc>
        <w:tc>
          <w:tcPr>
            <w:tcW w:w="790" w:type="dxa"/>
            <w:tcBorders>
              <w:top w:val="nil"/>
              <w:bottom w:val="nil"/>
            </w:tcBorders>
            <w:hideMark/>
          </w:tcPr>
          <w:p w14:paraId="1F0A350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17.49</w:t>
            </w:r>
          </w:p>
        </w:tc>
        <w:tc>
          <w:tcPr>
            <w:tcW w:w="790" w:type="dxa"/>
            <w:tcBorders>
              <w:top w:val="nil"/>
              <w:bottom w:val="nil"/>
            </w:tcBorders>
            <w:hideMark/>
          </w:tcPr>
          <w:p w14:paraId="65A1AAB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24.57</w:t>
            </w:r>
          </w:p>
        </w:tc>
        <w:tc>
          <w:tcPr>
            <w:tcW w:w="791" w:type="dxa"/>
            <w:tcBorders>
              <w:top w:val="nil"/>
              <w:bottom w:val="nil"/>
            </w:tcBorders>
            <w:hideMark/>
          </w:tcPr>
          <w:p w14:paraId="061FB51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22.14</w:t>
            </w:r>
          </w:p>
        </w:tc>
        <w:tc>
          <w:tcPr>
            <w:tcW w:w="790" w:type="dxa"/>
            <w:tcBorders>
              <w:top w:val="nil"/>
              <w:bottom w:val="nil"/>
            </w:tcBorders>
            <w:hideMark/>
          </w:tcPr>
          <w:p w14:paraId="0972295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15.75</w:t>
            </w:r>
          </w:p>
        </w:tc>
        <w:tc>
          <w:tcPr>
            <w:tcW w:w="790" w:type="dxa"/>
            <w:tcBorders>
              <w:top w:val="nil"/>
              <w:bottom w:val="nil"/>
            </w:tcBorders>
            <w:hideMark/>
          </w:tcPr>
          <w:p w14:paraId="7BA8B21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16.04</w:t>
            </w:r>
          </w:p>
        </w:tc>
        <w:tc>
          <w:tcPr>
            <w:tcW w:w="791" w:type="dxa"/>
            <w:tcBorders>
              <w:top w:val="nil"/>
              <w:bottom w:val="nil"/>
            </w:tcBorders>
            <w:hideMark/>
          </w:tcPr>
          <w:p w14:paraId="11C5F5A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19.33</w:t>
            </w:r>
          </w:p>
        </w:tc>
        <w:tc>
          <w:tcPr>
            <w:tcW w:w="790" w:type="dxa"/>
            <w:tcBorders>
              <w:top w:val="nil"/>
              <w:bottom w:val="nil"/>
            </w:tcBorders>
            <w:hideMark/>
          </w:tcPr>
          <w:p w14:paraId="726CD4F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16.31</w:t>
            </w:r>
          </w:p>
        </w:tc>
        <w:tc>
          <w:tcPr>
            <w:tcW w:w="791" w:type="dxa"/>
            <w:tcBorders>
              <w:top w:val="nil"/>
              <w:bottom w:val="nil"/>
            </w:tcBorders>
            <w:hideMark/>
          </w:tcPr>
          <w:p w14:paraId="5432D96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14.93</w:t>
            </w:r>
          </w:p>
        </w:tc>
      </w:tr>
      <w:tr w:rsidR="00AB238E" w:rsidRPr="00705903" w14:paraId="105A1104"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4491C2B"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2012</w:t>
            </w:r>
          </w:p>
        </w:tc>
        <w:tc>
          <w:tcPr>
            <w:tcW w:w="790" w:type="dxa"/>
            <w:tcBorders>
              <w:top w:val="nil"/>
              <w:bottom w:val="nil"/>
            </w:tcBorders>
            <w:hideMark/>
          </w:tcPr>
          <w:p w14:paraId="73CA612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23.42</w:t>
            </w:r>
          </w:p>
        </w:tc>
        <w:tc>
          <w:tcPr>
            <w:tcW w:w="790" w:type="dxa"/>
            <w:tcBorders>
              <w:top w:val="nil"/>
              <w:bottom w:val="nil"/>
            </w:tcBorders>
            <w:hideMark/>
          </w:tcPr>
          <w:p w14:paraId="35FD221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26.64</w:t>
            </w:r>
          </w:p>
        </w:tc>
        <w:tc>
          <w:tcPr>
            <w:tcW w:w="791" w:type="dxa"/>
            <w:tcBorders>
              <w:top w:val="nil"/>
              <w:bottom w:val="nil"/>
            </w:tcBorders>
            <w:hideMark/>
          </w:tcPr>
          <w:p w14:paraId="4B11331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20.99</w:t>
            </w:r>
          </w:p>
        </w:tc>
        <w:tc>
          <w:tcPr>
            <w:tcW w:w="790" w:type="dxa"/>
            <w:tcBorders>
              <w:top w:val="nil"/>
              <w:bottom w:val="nil"/>
            </w:tcBorders>
            <w:hideMark/>
          </w:tcPr>
          <w:p w14:paraId="6DE2647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21.38</w:t>
            </w:r>
          </w:p>
        </w:tc>
        <w:tc>
          <w:tcPr>
            <w:tcW w:w="790" w:type="dxa"/>
            <w:tcBorders>
              <w:top w:val="nil"/>
              <w:bottom w:val="nil"/>
            </w:tcBorders>
            <w:hideMark/>
          </w:tcPr>
          <w:p w14:paraId="21359C1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30.07</w:t>
            </w:r>
          </w:p>
        </w:tc>
        <w:tc>
          <w:tcPr>
            <w:tcW w:w="791" w:type="dxa"/>
            <w:tcBorders>
              <w:top w:val="nil"/>
              <w:bottom w:val="nil"/>
            </w:tcBorders>
            <w:hideMark/>
          </w:tcPr>
          <w:p w14:paraId="20B1533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26.78</w:t>
            </w:r>
          </w:p>
        </w:tc>
        <w:tc>
          <w:tcPr>
            <w:tcW w:w="790" w:type="dxa"/>
            <w:tcBorders>
              <w:top w:val="nil"/>
              <w:bottom w:val="nil"/>
            </w:tcBorders>
            <w:hideMark/>
          </w:tcPr>
          <w:p w14:paraId="4DD1C49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20.77</w:t>
            </w:r>
          </w:p>
        </w:tc>
        <w:tc>
          <w:tcPr>
            <w:tcW w:w="790" w:type="dxa"/>
            <w:tcBorders>
              <w:top w:val="nil"/>
              <w:bottom w:val="nil"/>
            </w:tcBorders>
            <w:hideMark/>
          </w:tcPr>
          <w:p w14:paraId="037082E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19.47</w:t>
            </w:r>
          </w:p>
        </w:tc>
        <w:tc>
          <w:tcPr>
            <w:tcW w:w="791" w:type="dxa"/>
            <w:tcBorders>
              <w:top w:val="nil"/>
              <w:bottom w:val="nil"/>
            </w:tcBorders>
            <w:hideMark/>
          </w:tcPr>
          <w:p w14:paraId="0E5A461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19.26</w:t>
            </w:r>
          </w:p>
        </w:tc>
        <w:tc>
          <w:tcPr>
            <w:tcW w:w="790" w:type="dxa"/>
            <w:tcBorders>
              <w:top w:val="nil"/>
              <w:bottom w:val="nil"/>
            </w:tcBorders>
            <w:hideMark/>
          </w:tcPr>
          <w:p w14:paraId="383F8AF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20.17</w:t>
            </w:r>
          </w:p>
        </w:tc>
        <w:tc>
          <w:tcPr>
            <w:tcW w:w="791" w:type="dxa"/>
            <w:tcBorders>
              <w:top w:val="nil"/>
              <w:bottom w:val="nil"/>
            </w:tcBorders>
            <w:hideMark/>
          </w:tcPr>
          <w:p w14:paraId="78C3F34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18.06</w:t>
            </w:r>
          </w:p>
        </w:tc>
      </w:tr>
      <w:tr w:rsidR="00AB238E" w:rsidRPr="00705903" w14:paraId="09D59793"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A4B8EE8"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2013</w:t>
            </w:r>
          </w:p>
        </w:tc>
        <w:tc>
          <w:tcPr>
            <w:tcW w:w="790" w:type="dxa"/>
            <w:tcBorders>
              <w:top w:val="nil"/>
              <w:bottom w:val="nil"/>
            </w:tcBorders>
            <w:hideMark/>
          </w:tcPr>
          <w:p w14:paraId="6FB64CE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26.01</w:t>
            </w:r>
          </w:p>
        </w:tc>
        <w:tc>
          <w:tcPr>
            <w:tcW w:w="790" w:type="dxa"/>
            <w:tcBorders>
              <w:top w:val="nil"/>
              <w:bottom w:val="nil"/>
            </w:tcBorders>
            <w:hideMark/>
          </w:tcPr>
          <w:p w14:paraId="3FB1D02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28.00</w:t>
            </w:r>
          </w:p>
        </w:tc>
        <w:tc>
          <w:tcPr>
            <w:tcW w:w="791" w:type="dxa"/>
            <w:tcBorders>
              <w:top w:val="nil"/>
              <w:bottom w:val="nil"/>
            </w:tcBorders>
            <w:hideMark/>
          </w:tcPr>
          <w:p w14:paraId="238A461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22.15</w:t>
            </w:r>
          </w:p>
        </w:tc>
        <w:tc>
          <w:tcPr>
            <w:tcW w:w="790" w:type="dxa"/>
            <w:tcBorders>
              <w:top w:val="nil"/>
              <w:bottom w:val="nil"/>
            </w:tcBorders>
            <w:hideMark/>
          </w:tcPr>
          <w:p w14:paraId="0AB00B3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22.58</w:t>
            </w:r>
          </w:p>
        </w:tc>
        <w:tc>
          <w:tcPr>
            <w:tcW w:w="790" w:type="dxa"/>
            <w:tcBorders>
              <w:top w:val="nil"/>
              <w:bottom w:val="nil"/>
            </w:tcBorders>
            <w:hideMark/>
          </w:tcPr>
          <w:p w14:paraId="1EAA360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30.16</w:t>
            </w:r>
          </w:p>
        </w:tc>
        <w:tc>
          <w:tcPr>
            <w:tcW w:w="791" w:type="dxa"/>
            <w:tcBorders>
              <w:top w:val="nil"/>
              <w:bottom w:val="nil"/>
            </w:tcBorders>
            <w:hideMark/>
          </w:tcPr>
          <w:p w14:paraId="02E7CBF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27.89</w:t>
            </w:r>
          </w:p>
        </w:tc>
        <w:tc>
          <w:tcPr>
            <w:tcW w:w="790" w:type="dxa"/>
            <w:tcBorders>
              <w:top w:val="nil"/>
              <w:bottom w:val="nil"/>
            </w:tcBorders>
            <w:hideMark/>
          </w:tcPr>
          <w:p w14:paraId="118799C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23.58</w:t>
            </w:r>
          </w:p>
        </w:tc>
        <w:tc>
          <w:tcPr>
            <w:tcW w:w="790" w:type="dxa"/>
            <w:tcBorders>
              <w:top w:val="nil"/>
              <w:bottom w:val="nil"/>
            </w:tcBorders>
            <w:hideMark/>
          </w:tcPr>
          <w:p w14:paraId="1A22DD6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19.38</w:t>
            </w:r>
          </w:p>
        </w:tc>
        <w:tc>
          <w:tcPr>
            <w:tcW w:w="791" w:type="dxa"/>
            <w:tcBorders>
              <w:top w:val="nil"/>
              <w:bottom w:val="nil"/>
            </w:tcBorders>
            <w:hideMark/>
          </w:tcPr>
          <w:p w14:paraId="4694AA2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19.80</w:t>
            </w:r>
          </w:p>
        </w:tc>
        <w:tc>
          <w:tcPr>
            <w:tcW w:w="790" w:type="dxa"/>
            <w:tcBorders>
              <w:top w:val="nil"/>
              <w:bottom w:val="nil"/>
            </w:tcBorders>
            <w:hideMark/>
          </w:tcPr>
          <w:p w14:paraId="5050B66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21.29</w:t>
            </w:r>
          </w:p>
        </w:tc>
        <w:tc>
          <w:tcPr>
            <w:tcW w:w="791" w:type="dxa"/>
            <w:tcBorders>
              <w:top w:val="nil"/>
              <w:bottom w:val="nil"/>
            </w:tcBorders>
            <w:hideMark/>
          </w:tcPr>
          <w:p w14:paraId="43720FD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19.46</w:t>
            </w:r>
          </w:p>
        </w:tc>
      </w:tr>
      <w:tr w:rsidR="00AB238E" w:rsidRPr="00705903" w14:paraId="4D0026F3"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224A34A"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2014</w:t>
            </w:r>
          </w:p>
        </w:tc>
        <w:tc>
          <w:tcPr>
            <w:tcW w:w="790" w:type="dxa"/>
            <w:tcBorders>
              <w:top w:val="nil"/>
              <w:bottom w:val="nil"/>
            </w:tcBorders>
            <w:hideMark/>
          </w:tcPr>
          <w:p w14:paraId="3299334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26.57</w:t>
            </w:r>
          </w:p>
        </w:tc>
        <w:tc>
          <w:tcPr>
            <w:tcW w:w="790" w:type="dxa"/>
            <w:tcBorders>
              <w:top w:val="nil"/>
              <w:bottom w:val="nil"/>
            </w:tcBorders>
            <w:hideMark/>
          </w:tcPr>
          <w:p w14:paraId="3A5061F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27.80</w:t>
            </w:r>
          </w:p>
        </w:tc>
        <w:tc>
          <w:tcPr>
            <w:tcW w:w="791" w:type="dxa"/>
            <w:tcBorders>
              <w:top w:val="nil"/>
              <w:bottom w:val="nil"/>
            </w:tcBorders>
            <w:hideMark/>
          </w:tcPr>
          <w:p w14:paraId="38CB054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22.39</w:t>
            </w:r>
          </w:p>
        </w:tc>
        <w:tc>
          <w:tcPr>
            <w:tcW w:w="790" w:type="dxa"/>
            <w:tcBorders>
              <w:top w:val="nil"/>
              <w:bottom w:val="nil"/>
            </w:tcBorders>
            <w:hideMark/>
          </w:tcPr>
          <w:p w14:paraId="5F96C97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22.59</w:t>
            </w:r>
          </w:p>
        </w:tc>
        <w:tc>
          <w:tcPr>
            <w:tcW w:w="790" w:type="dxa"/>
            <w:tcBorders>
              <w:top w:val="nil"/>
              <w:bottom w:val="nil"/>
            </w:tcBorders>
            <w:hideMark/>
          </w:tcPr>
          <w:p w14:paraId="36BABA8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30.58</w:t>
            </w:r>
          </w:p>
        </w:tc>
        <w:tc>
          <w:tcPr>
            <w:tcW w:w="791" w:type="dxa"/>
            <w:tcBorders>
              <w:top w:val="nil"/>
              <w:bottom w:val="nil"/>
            </w:tcBorders>
            <w:hideMark/>
          </w:tcPr>
          <w:p w14:paraId="3493D6D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28.22</w:t>
            </w:r>
          </w:p>
        </w:tc>
        <w:tc>
          <w:tcPr>
            <w:tcW w:w="790" w:type="dxa"/>
            <w:tcBorders>
              <w:top w:val="nil"/>
              <w:bottom w:val="nil"/>
            </w:tcBorders>
            <w:hideMark/>
          </w:tcPr>
          <w:p w14:paraId="26A6D11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21.39</w:t>
            </w:r>
          </w:p>
        </w:tc>
        <w:tc>
          <w:tcPr>
            <w:tcW w:w="790" w:type="dxa"/>
            <w:tcBorders>
              <w:top w:val="nil"/>
              <w:bottom w:val="nil"/>
            </w:tcBorders>
            <w:hideMark/>
          </w:tcPr>
          <w:p w14:paraId="68B08CB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19.33</w:t>
            </w:r>
          </w:p>
        </w:tc>
        <w:tc>
          <w:tcPr>
            <w:tcW w:w="791" w:type="dxa"/>
            <w:tcBorders>
              <w:top w:val="nil"/>
              <w:bottom w:val="nil"/>
            </w:tcBorders>
            <w:hideMark/>
          </w:tcPr>
          <w:p w14:paraId="581414A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23.15</w:t>
            </w:r>
          </w:p>
        </w:tc>
        <w:tc>
          <w:tcPr>
            <w:tcW w:w="790" w:type="dxa"/>
            <w:tcBorders>
              <w:top w:val="nil"/>
              <w:bottom w:val="nil"/>
            </w:tcBorders>
            <w:hideMark/>
          </w:tcPr>
          <w:p w14:paraId="1568933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21.55</w:t>
            </w:r>
          </w:p>
        </w:tc>
        <w:tc>
          <w:tcPr>
            <w:tcW w:w="791" w:type="dxa"/>
            <w:tcBorders>
              <w:top w:val="nil"/>
              <w:bottom w:val="nil"/>
            </w:tcBorders>
            <w:hideMark/>
          </w:tcPr>
          <w:p w14:paraId="67E4BBA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20.92</w:t>
            </w:r>
          </w:p>
        </w:tc>
      </w:tr>
      <w:tr w:rsidR="00AB238E" w:rsidRPr="00705903" w14:paraId="690E02A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9E308FA"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2015</w:t>
            </w:r>
          </w:p>
        </w:tc>
        <w:tc>
          <w:tcPr>
            <w:tcW w:w="790" w:type="dxa"/>
            <w:tcBorders>
              <w:top w:val="nil"/>
              <w:bottom w:val="nil"/>
            </w:tcBorders>
            <w:hideMark/>
          </w:tcPr>
          <w:p w14:paraId="35DC2A5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26.46</w:t>
            </w:r>
          </w:p>
        </w:tc>
        <w:tc>
          <w:tcPr>
            <w:tcW w:w="790" w:type="dxa"/>
            <w:tcBorders>
              <w:top w:val="nil"/>
              <w:bottom w:val="nil"/>
            </w:tcBorders>
            <w:hideMark/>
          </w:tcPr>
          <w:p w14:paraId="5A5175C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28.97</w:t>
            </w:r>
          </w:p>
        </w:tc>
        <w:tc>
          <w:tcPr>
            <w:tcW w:w="791" w:type="dxa"/>
            <w:tcBorders>
              <w:top w:val="nil"/>
              <w:bottom w:val="nil"/>
            </w:tcBorders>
            <w:hideMark/>
          </w:tcPr>
          <w:p w14:paraId="021FCD7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23.07</w:t>
            </w:r>
          </w:p>
        </w:tc>
        <w:tc>
          <w:tcPr>
            <w:tcW w:w="790" w:type="dxa"/>
            <w:tcBorders>
              <w:top w:val="nil"/>
              <w:bottom w:val="nil"/>
            </w:tcBorders>
            <w:hideMark/>
          </w:tcPr>
          <w:p w14:paraId="1919882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22.78</w:t>
            </w:r>
          </w:p>
        </w:tc>
        <w:tc>
          <w:tcPr>
            <w:tcW w:w="790" w:type="dxa"/>
            <w:tcBorders>
              <w:top w:val="nil"/>
              <w:bottom w:val="nil"/>
            </w:tcBorders>
            <w:hideMark/>
          </w:tcPr>
          <w:p w14:paraId="0389E03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31.73</w:t>
            </w:r>
          </w:p>
        </w:tc>
        <w:tc>
          <w:tcPr>
            <w:tcW w:w="791" w:type="dxa"/>
            <w:tcBorders>
              <w:top w:val="nil"/>
              <w:bottom w:val="nil"/>
            </w:tcBorders>
            <w:hideMark/>
          </w:tcPr>
          <w:p w14:paraId="5B6AB15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28.66</w:t>
            </w:r>
          </w:p>
        </w:tc>
        <w:tc>
          <w:tcPr>
            <w:tcW w:w="790" w:type="dxa"/>
            <w:tcBorders>
              <w:top w:val="nil"/>
              <w:bottom w:val="nil"/>
            </w:tcBorders>
            <w:hideMark/>
          </w:tcPr>
          <w:p w14:paraId="2721FB8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22.94</w:t>
            </w:r>
          </w:p>
        </w:tc>
        <w:tc>
          <w:tcPr>
            <w:tcW w:w="790" w:type="dxa"/>
            <w:tcBorders>
              <w:top w:val="nil"/>
              <w:bottom w:val="nil"/>
            </w:tcBorders>
            <w:hideMark/>
          </w:tcPr>
          <w:p w14:paraId="5DBBF26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20.70</w:t>
            </w:r>
          </w:p>
        </w:tc>
        <w:tc>
          <w:tcPr>
            <w:tcW w:w="791" w:type="dxa"/>
            <w:tcBorders>
              <w:top w:val="nil"/>
              <w:bottom w:val="nil"/>
            </w:tcBorders>
            <w:hideMark/>
          </w:tcPr>
          <w:p w14:paraId="0E4EB99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23.28</w:t>
            </w:r>
          </w:p>
        </w:tc>
        <w:tc>
          <w:tcPr>
            <w:tcW w:w="790" w:type="dxa"/>
            <w:tcBorders>
              <w:top w:val="nil"/>
              <w:bottom w:val="nil"/>
            </w:tcBorders>
            <w:hideMark/>
          </w:tcPr>
          <w:p w14:paraId="7D320EA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22.38</w:t>
            </w:r>
          </w:p>
        </w:tc>
        <w:tc>
          <w:tcPr>
            <w:tcW w:w="791" w:type="dxa"/>
            <w:tcBorders>
              <w:top w:val="nil"/>
              <w:bottom w:val="nil"/>
            </w:tcBorders>
            <w:hideMark/>
          </w:tcPr>
          <w:p w14:paraId="0469C74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18.85</w:t>
            </w:r>
          </w:p>
        </w:tc>
      </w:tr>
      <w:tr w:rsidR="00AB238E" w:rsidRPr="00705903" w14:paraId="5372C062"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9895633"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2016</w:t>
            </w:r>
          </w:p>
        </w:tc>
        <w:tc>
          <w:tcPr>
            <w:tcW w:w="790" w:type="dxa"/>
            <w:tcBorders>
              <w:top w:val="nil"/>
              <w:bottom w:val="nil"/>
            </w:tcBorders>
            <w:hideMark/>
          </w:tcPr>
          <w:p w14:paraId="04BCDAF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26.88</w:t>
            </w:r>
          </w:p>
        </w:tc>
        <w:tc>
          <w:tcPr>
            <w:tcW w:w="790" w:type="dxa"/>
            <w:tcBorders>
              <w:top w:val="nil"/>
              <w:bottom w:val="nil"/>
            </w:tcBorders>
            <w:hideMark/>
          </w:tcPr>
          <w:p w14:paraId="5C27FF0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29.64</w:t>
            </w:r>
          </w:p>
        </w:tc>
        <w:tc>
          <w:tcPr>
            <w:tcW w:w="791" w:type="dxa"/>
            <w:tcBorders>
              <w:top w:val="nil"/>
              <w:bottom w:val="nil"/>
            </w:tcBorders>
            <w:hideMark/>
          </w:tcPr>
          <w:p w14:paraId="05709C1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23.38</w:t>
            </w:r>
          </w:p>
        </w:tc>
        <w:tc>
          <w:tcPr>
            <w:tcW w:w="790" w:type="dxa"/>
            <w:tcBorders>
              <w:top w:val="nil"/>
              <w:bottom w:val="nil"/>
            </w:tcBorders>
            <w:hideMark/>
          </w:tcPr>
          <w:p w14:paraId="4C202C2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23.07</w:t>
            </w:r>
          </w:p>
        </w:tc>
        <w:tc>
          <w:tcPr>
            <w:tcW w:w="790" w:type="dxa"/>
            <w:tcBorders>
              <w:top w:val="nil"/>
              <w:bottom w:val="nil"/>
            </w:tcBorders>
            <w:hideMark/>
          </w:tcPr>
          <w:p w14:paraId="094B27F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32.41</w:t>
            </w:r>
          </w:p>
        </w:tc>
        <w:tc>
          <w:tcPr>
            <w:tcW w:w="791" w:type="dxa"/>
            <w:tcBorders>
              <w:top w:val="nil"/>
              <w:bottom w:val="nil"/>
            </w:tcBorders>
            <w:hideMark/>
          </w:tcPr>
          <w:p w14:paraId="234A01D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28.75</w:t>
            </w:r>
          </w:p>
        </w:tc>
        <w:tc>
          <w:tcPr>
            <w:tcW w:w="790" w:type="dxa"/>
            <w:tcBorders>
              <w:top w:val="nil"/>
              <w:bottom w:val="nil"/>
            </w:tcBorders>
            <w:hideMark/>
          </w:tcPr>
          <w:p w14:paraId="69360C7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22.07</w:t>
            </w:r>
          </w:p>
        </w:tc>
        <w:tc>
          <w:tcPr>
            <w:tcW w:w="790" w:type="dxa"/>
            <w:tcBorders>
              <w:top w:val="nil"/>
              <w:bottom w:val="nil"/>
            </w:tcBorders>
            <w:hideMark/>
          </w:tcPr>
          <w:p w14:paraId="59883BB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20.32</w:t>
            </w:r>
          </w:p>
        </w:tc>
        <w:tc>
          <w:tcPr>
            <w:tcW w:w="791" w:type="dxa"/>
            <w:tcBorders>
              <w:top w:val="nil"/>
              <w:bottom w:val="nil"/>
            </w:tcBorders>
            <w:hideMark/>
          </w:tcPr>
          <w:p w14:paraId="5A68C90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14.23</w:t>
            </w:r>
          </w:p>
        </w:tc>
        <w:tc>
          <w:tcPr>
            <w:tcW w:w="790" w:type="dxa"/>
            <w:tcBorders>
              <w:top w:val="nil"/>
              <w:bottom w:val="nil"/>
            </w:tcBorders>
            <w:hideMark/>
          </w:tcPr>
          <w:p w14:paraId="00F6008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22.44</w:t>
            </w:r>
          </w:p>
        </w:tc>
        <w:tc>
          <w:tcPr>
            <w:tcW w:w="791" w:type="dxa"/>
            <w:tcBorders>
              <w:top w:val="nil"/>
              <w:bottom w:val="nil"/>
            </w:tcBorders>
            <w:hideMark/>
          </w:tcPr>
          <w:p w14:paraId="787FA1E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19.68</w:t>
            </w:r>
          </w:p>
        </w:tc>
      </w:tr>
      <w:tr w:rsidR="00AB238E" w:rsidRPr="00705903" w14:paraId="1EE1F7F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44B4E15"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2017</w:t>
            </w:r>
          </w:p>
        </w:tc>
        <w:tc>
          <w:tcPr>
            <w:tcW w:w="790" w:type="dxa"/>
            <w:tcBorders>
              <w:top w:val="nil"/>
              <w:bottom w:val="nil"/>
            </w:tcBorders>
            <w:hideMark/>
          </w:tcPr>
          <w:p w14:paraId="07FF7DB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29.81</w:t>
            </w:r>
          </w:p>
        </w:tc>
        <w:tc>
          <w:tcPr>
            <w:tcW w:w="790" w:type="dxa"/>
            <w:tcBorders>
              <w:top w:val="nil"/>
              <w:bottom w:val="nil"/>
            </w:tcBorders>
            <w:hideMark/>
          </w:tcPr>
          <w:p w14:paraId="6F8648D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31.28</w:t>
            </w:r>
          </w:p>
        </w:tc>
        <w:tc>
          <w:tcPr>
            <w:tcW w:w="791" w:type="dxa"/>
            <w:tcBorders>
              <w:top w:val="nil"/>
              <w:bottom w:val="nil"/>
            </w:tcBorders>
            <w:hideMark/>
          </w:tcPr>
          <w:p w14:paraId="0DA45F6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24.33</w:t>
            </w:r>
          </w:p>
        </w:tc>
        <w:tc>
          <w:tcPr>
            <w:tcW w:w="790" w:type="dxa"/>
            <w:tcBorders>
              <w:top w:val="nil"/>
              <w:bottom w:val="nil"/>
            </w:tcBorders>
            <w:hideMark/>
          </w:tcPr>
          <w:p w14:paraId="75EBE3F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23.85</w:t>
            </w:r>
          </w:p>
        </w:tc>
        <w:tc>
          <w:tcPr>
            <w:tcW w:w="790" w:type="dxa"/>
            <w:tcBorders>
              <w:top w:val="nil"/>
              <w:bottom w:val="nil"/>
            </w:tcBorders>
            <w:hideMark/>
          </w:tcPr>
          <w:p w14:paraId="7595E28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34.24</w:t>
            </w:r>
          </w:p>
        </w:tc>
        <w:tc>
          <w:tcPr>
            <w:tcW w:w="791" w:type="dxa"/>
            <w:tcBorders>
              <w:top w:val="nil"/>
              <w:bottom w:val="nil"/>
            </w:tcBorders>
            <w:hideMark/>
          </w:tcPr>
          <w:p w14:paraId="122161C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29.83</w:t>
            </w:r>
          </w:p>
        </w:tc>
        <w:tc>
          <w:tcPr>
            <w:tcW w:w="790" w:type="dxa"/>
            <w:tcBorders>
              <w:top w:val="nil"/>
              <w:bottom w:val="nil"/>
            </w:tcBorders>
            <w:hideMark/>
          </w:tcPr>
          <w:p w14:paraId="25B1542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24.46</w:t>
            </w:r>
          </w:p>
        </w:tc>
        <w:tc>
          <w:tcPr>
            <w:tcW w:w="790" w:type="dxa"/>
            <w:tcBorders>
              <w:top w:val="nil"/>
              <w:bottom w:val="nil"/>
            </w:tcBorders>
            <w:hideMark/>
          </w:tcPr>
          <w:p w14:paraId="1EF5565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21.88</w:t>
            </w:r>
          </w:p>
        </w:tc>
        <w:tc>
          <w:tcPr>
            <w:tcW w:w="791" w:type="dxa"/>
            <w:tcBorders>
              <w:top w:val="nil"/>
              <w:bottom w:val="nil"/>
            </w:tcBorders>
            <w:hideMark/>
          </w:tcPr>
          <w:p w14:paraId="44FE5E7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19.64</w:t>
            </w:r>
          </w:p>
        </w:tc>
        <w:tc>
          <w:tcPr>
            <w:tcW w:w="790" w:type="dxa"/>
            <w:tcBorders>
              <w:top w:val="nil"/>
              <w:bottom w:val="nil"/>
            </w:tcBorders>
            <w:hideMark/>
          </w:tcPr>
          <w:p w14:paraId="6D79BAD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24.07</w:t>
            </w:r>
          </w:p>
        </w:tc>
        <w:tc>
          <w:tcPr>
            <w:tcW w:w="791" w:type="dxa"/>
            <w:tcBorders>
              <w:top w:val="nil"/>
              <w:bottom w:val="nil"/>
            </w:tcBorders>
            <w:hideMark/>
          </w:tcPr>
          <w:p w14:paraId="7200AC6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20.77</w:t>
            </w:r>
          </w:p>
        </w:tc>
      </w:tr>
      <w:tr w:rsidR="00AB238E" w:rsidRPr="00705903" w14:paraId="6E83C432"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DF22913"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2018</w:t>
            </w:r>
          </w:p>
        </w:tc>
        <w:tc>
          <w:tcPr>
            <w:tcW w:w="790" w:type="dxa"/>
            <w:tcBorders>
              <w:top w:val="nil"/>
              <w:bottom w:val="nil"/>
            </w:tcBorders>
            <w:hideMark/>
          </w:tcPr>
          <w:p w14:paraId="2E1EAB2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29.77</w:t>
            </w:r>
          </w:p>
        </w:tc>
        <w:tc>
          <w:tcPr>
            <w:tcW w:w="790" w:type="dxa"/>
            <w:tcBorders>
              <w:top w:val="nil"/>
              <w:bottom w:val="nil"/>
            </w:tcBorders>
            <w:hideMark/>
          </w:tcPr>
          <w:p w14:paraId="6998A43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32.31</w:t>
            </w:r>
          </w:p>
        </w:tc>
        <w:tc>
          <w:tcPr>
            <w:tcW w:w="791" w:type="dxa"/>
            <w:tcBorders>
              <w:top w:val="nil"/>
              <w:bottom w:val="nil"/>
            </w:tcBorders>
            <w:hideMark/>
          </w:tcPr>
          <w:p w14:paraId="1FE018B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25.49</w:t>
            </w:r>
          </w:p>
        </w:tc>
        <w:tc>
          <w:tcPr>
            <w:tcW w:w="790" w:type="dxa"/>
            <w:tcBorders>
              <w:top w:val="nil"/>
              <w:bottom w:val="nil"/>
            </w:tcBorders>
            <w:hideMark/>
          </w:tcPr>
          <w:p w14:paraId="7321C6D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25.48</w:t>
            </w:r>
          </w:p>
        </w:tc>
        <w:tc>
          <w:tcPr>
            <w:tcW w:w="790" w:type="dxa"/>
            <w:tcBorders>
              <w:top w:val="nil"/>
              <w:bottom w:val="nil"/>
            </w:tcBorders>
            <w:hideMark/>
          </w:tcPr>
          <w:p w14:paraId="71D5876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35.91</w:t>
            </w:r>
          </w:p>
        </w:tc>
        <w:tc>
          <w:tcPr>
            <w:tcW w:w="791" w:type="dxa"/>
            <w:tcBorders>
              <w:top w:val="nil"/>
              <w:bottom w:val="nil"/>
            </w:tcBorders>
            <w:hideMark/>
          </w:tcPr>
          <w:p w14:paraId="27B7A8D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31.11</w:t>
            </w:r>
          </w:p>
        </w:tc>
        <w:tc>
          <w:tcPr>
            <w:tcW w:w="790" w:type="dxa"/>
            <w:tcBorders>
              <w:top w:val="nil"/>
              <w:bottom w:val="nil"/>
            </w:tcBorders>
            <w:hideMark/>
          </w:tcPr>
          <w:p w14:paraId="4BD4619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25.46</w:t>
            </w:r>
          </w:p>
        </w:tc>
        <w:tc>
          <w:tcPr>
            <w:tcW w:w="790" w:type="dxa"/>
            <w:tcBorders>
              <w:top w:val="nil"/>
              <w:bottom w:val="nil"/>
            </w:tcBorders>
            <w:hideMark/>
          </w:tcPr>
          <w:p w14:paraId="2DB1E8B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22.90</w:t>
            </w:r>
          </w:p>
        </w:tc>
        <w:tc>
          <w:tcPr>
            <w:tcW w:w="791" w:type="dxa"/>
            <w:tcBorders>
              <w:top w:val="nil"/>
              <w:bottom w:val="nil"/>
            </w:tcBorders>
            <w:hideMark/>
          </w:tcPr>
          <w:p w14:paraId="1D3A0AD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22.66</w:t>
            </w:r>
          </w:p>
        </w:tc>
        <w:tc>
          <w:tcPr>
            <w:tcW w:w="790" w:type="dxa"/>
            <w:tcBorders>
              <w:top w:val="nil"/>
              <w:bottom w:val="nil"/>
            </w:tcBorders>
            <w:hideMark/>
          </w:tcPr>
          <w:p w14:paraId="56BF1A8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26.05</w:t>
            </w:r>
          </w:p>
        </w:tc>
        <w:tc>
          <w:tcPr>
            <w:tcW w:w="791" w:type="dxa"/>
            <w:tcBorders>
              <w:top w:val="nil"/>
              <w:bottom w:val="nil"/>
            </w:tcBorders>
            <w:hideMark/>
          </w:tcPr>
          <w:p w14:paraId="7C694B8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21.43</w:t>
            </w:r>
          </w:p>
        </w:tc>
      </w:tr>
      <w:tr w:rsidR="00AB238E" w:rsidRPr="00705903" w14:paraId="67EFD6BF"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00AB510"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2019</w:t>
            </w:r>
          </w:p>
        </w:tc>
        <w:tc>
          <w:tcPr>
            <w:tcW w:w="790" w:type="dxa"/>
            <w:tcBorders>
              <w:top w:val="nil"/>
              <w:bottom w:val="nil"/>
            </w:tcBorders>
            <w:hideMark/>
          </w:tcPr>
          <w:p w14:paraId="45D10D3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29.29</w:t>
            </w:r>
          </w:p>
        </w:tc>
        <w:tc>
          <w:tcPr>
            <w:tcW w:w="790" w:type="dxa"/>
            <w:tcBorders>
              <w:top w:val="nil"/>
              <w:bottom w:val="nil"/>
            </w:tcBorders>
            <w:hideMark/>
          </w:tcPr>
          <w:p w14:paraId="7FF5C29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33.73</w:t>
            </w:r>
          </w:p>
        </w:tc>
        <w:tc>
          <w:tcPr>
            <w:tcW w:w="791" w:type="dxa"/>
            <w:tcBorders>
              <w:top w:val="nil"/>
              <w:bottom w:val="nil"/>
            </w:tcBorders>
            <w:hideMark/>
          </w:tcPr>
          <w:p w14:paraId="1237D8A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25.18</w:t>
            </w:r>
          </w:p>
        </w:tc>
        <w:tc>
          <w:tcPr>
            <w:tcW w:w="790" w:type="dxa"/>
            <w:tcBorders>
              <w:top w:val="nil"/>
              <w:bottom w:val="nil"/>
            </w:tcBorders>
            <w:hideMark/>
          </w:tcPr>
          <w:p w14:paraId="037E590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25.61</w:t>
            </w:r>
          </w:p>
        </w:tc>
        <w:tc>
          <w:tcPr>
            <w:tcW w:w="790" w:type="dxa"/>
            <w:tcBorders>
              <w:top w:val="nil"/>
              <w:bottom w:val="nil"/>
            </w:tcBorders>
            <w:hideMark/>
          </w:tcPr>
          <w:p w14:paraId="21293DE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37.95</w:t>
            </w:r>
          </w:p>
        </w:tc>
        <w:tc>
          <w:tcPr>
            <w:tcW w:w="791" w:type="dxa"/>
            <w:tcBorders>
              <w:top w:val="nil"/>
              <w:bottom w:val="nil"/>
            </w:tcBorders>
            <w:hideMark/>
          </w:tcPr>
          <w:p w14:paraId="463885C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31.75</w:t>
            </w:r>
          </w:p>
        </w:tc>
        <w:tc>
          <w:tcPr>
            <w:tcW w:w="790" w:type="dxa"/>
            <w:tcBorders>
              <w:top w:val="nil"/>
              <w:bottom w:val="nil"/>
            </w:tcBorders>
            <w:hideMark/>
          </w:tcPr>
          <w:p w14:paraId="017132B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24.11</w:t>
            </w:r>
          </w:p>
        </w:tc>
        <w:tc>
          <w:tcPr>
            <w:tcW w:w="790" w:type="dxa"/>
            <w:tcBorders>
              <w:top w:val="nil"/>
              <w:bottom w:val="nil"/>
            </w:tcBorders>
            <w:hideMark/>
          </w:tcPr>
          <w:p w14:paraId="6EB3168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22.12</w:t>
            </w:r>
          </w:p>
        </w:tc>
        <w:tc>
          <w:tcPr>
            <w:tcW w:w="791" w:type="dxa"/>
            <w:tcBorders>
              <w:top w:val="nil"/>
              <w:bottom w:val="nil"/>
            </w:tcBorders>
            <w:hideMark/>
          </w:tcPr>
          <w:p w14:paraId="6775266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15.92</w:t>
            </w:r>
          </w:p>
        </w:tc>
        <w:tc>
          <w:tcPr>
            <w:tcW w:w="790" w:type="dxa"/>
            <w:tcBorders>
              <w:top w:val="nil"/>
              <w:bottom w:val="nil"/>
            </w:tcBorders>
            <w:hideMark/>
          </w:tcPr>
          <w:p w14:paraId="144EC9C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26.31</w:t>
            </w:r>
          </w:p>
        </w:tc>
        <w:tc>
          <w:tcPr>
            <w:tcW w:w="791" w:type="dxa"/>
            <w:tcBorders>
              <w:top w:val="nil"/>
              <w:bottom w:val="nil"/>
            </w:tcBorders>
            <w:hideMark/>
          </w:tcPr>
          <w:p w14:paraId="2D9FD65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21.65</w:t>
            </w:r>
          </w:p>
        </w:tc>
      </w:tr>
      <w:tr w:rsidR="00AB238E" w:rsidRPr="00705903" w14:paraId="25C01531"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70E4E3A"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2020</w:t>
            </w:r>
          </w:p>
        </w:tc>
        <w:tc>
          <w:tcPr>
            <w:tcW w:w="790" w:type="dxa"/>
            <w:tcBorders>
              <w:top w:val="nil"/>
              <w:bottom w:val="nil"/>
            </w:tcBorders>
            <w:hideMark/>
          </w:tcPr>
          <w:p w14:paraId="7ADBF60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31.76</w:t>
            </w:r>
          </w:p>
        </w:tc>
        <w:tc>
          <w:tcPr>
            <w:tcW w:w="790" w:type="dxa"/>
            <w:tcBorders>
              <w:top w:val="nil"/>
              <w:bottom w:val="nil"/>
            </w:tcBorders>
            <w:hideMark/>
          </w:tcPr>
          <w:p w14:paraId="637AB7E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34.49</w:t>
            </w:r>
          </w:p>
        </w:tc>
        <w:tc>
          <w:tcPr>
            <w:tcW w:w="791" w:type="dxa"/>
            <w:tcBorders>
              <w:top w:val="nil"/>
              <w:bottom w:val="nil"/>
            </w:tcBorders>
            <w:hideMark/>
          </w:tcPr>
          <w:p w14:paraId="75EEADE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25.31</w:t>
            </w:r>
          </w:p>
        </w:tc>
        <w:tc>
          <w:tcPr>
            <w:tcW w:w="790" w:type="dxa"/>
            <w:tcBorders>
              <w:top w:val="nil"/>
              <w:bottom w:val="nil"/>
            </w:tcBorders>
            <w:hideMark/>
          </w:tcPr>
          <w:p w14:paraId="60934B1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25.22</w:t>
            </w:r>
          </w:p>
        </w:tc>
        <w:tc>
          <w:tcPr>
            <w:tcW w:w="790" w:type="dxa"/>
            <w:tcBorders>
              <w:top w:val="nil"/>
              <w:bottom w:val="nil"/>
            </w:tcBorders>
            <w:hideMark/>
          </w:tcPr>
          <w:p w14:paraId="0DB4A41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37.08</w:t>
            </w:r>
          </w:p>
        </w:tc>
        <w:tc>
          <w:tcPr>
            <w:tcW w:w="791" w:type="dxa"/>
            <w:tcBorders>
              <w:top w:val="nil"/>
              <w:bottom w:val="nil"/>
            </w:tcBorders>
            <w:hideMark/>
          </w:tcPr>
          <w:p w14:paraId="660723E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31.20</w:t>
            </w:r>
          </w:p>
        </w:tc>
        <w:tc>
          <w:tcPr>
            <w:tcW w:w="790" w:type="dxa"/>
            <w:tcBorders>
              <w:top w:val="nil"/>
              <w:bottom w:val="nil"/>
            </w:tcBorders>
            <w:hideMark/>
          </w:tcPr>
          <w:p w14:paraId="3AF914D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25.72</w:t>
            </w:r>
          </w:p>
        </w:tc>
        <w:tc>
          <w:tcPr>
            <w:tcW w:w="790" w:type="dxa"/>
            <w:tcBorders>
              <w:top w:val="nil"/>
              <w:bottom w:val="nil"/>
            </w:tcBorders>
            <w:hideMark/>
          </w:tcPr>
          <w:p w14:paraId="00A106E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22.33</w:t>
            </w:r>
          </w:p>
        </w:tc>
        <w:tc>
          <w:tcPr>
            <w:tcW w:w="791" w:type="dxa"/>
            <w:tcBorders>
              <w:top w:val="nil"/>
              <w:bottom w:val="nil"/>
            </w:tcBorders>
            <w:hideMark/>
          </w:tcPr>
          <w:p w14:paraId="3C925F0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15.55</w:t>
            </w:r>
          </w:p>
        </w:tc>
        <w:tc>
          <w:tcPr>
            <w:tcW w:w="790" w:type="dxa"/>
            <w:tcBorders>
              <w:top w:val="nil"/>
              <w:bottom w:val="nil"/>
            </w:tcBorders>
            <w:hideMark/>
          </w:tcPr>
          <w:p w14:paraId="56544F3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26.21</w:t>
            </w:r>
          </w:p>
        </w:tc>
        <w:tc>
          <w:tcPr>
            <w:tcW w:w="791" w:type="dxa"/>
            <w:tcBorders>
              <w:top w:val="nil"/>
              <w:bottom w:val="nil"/>
            </w:tcBorders>
            <w:hideMark/>
          </w:tcPr>
          <w:p w14:paraId="7B707ED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23.63</w:t>
            </w:r>
          </w:p>
        </w:tc>
      </w:tr>
      <w:tr w:rsidR="00AB238E" w:rsidRPr="00705903" w14:paraId="7189D0C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4F9CD18"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2021</w:t>
            </w:r>
          </w:p>
        </w:tc>
        <w:tc>
          <w:tcPr>
            <w:tcW w:w="790" w:type="dxa"/>
            <w:tcBorders>
              <w:top w:val="nil"/>
              <w:bottom w:val="nil"/>
            </w:tcBorders>
            <w:hideMark/>
          </w:tcPr>
          <w:p w14:paraId="0E3DF8D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32.11</w:t>
            </w:r>
          </w:p>
        </w:tc>
        <w:tc>
          <w:tcPr>
            <w:tcW w:w="790" w:type="dxa"/>
            <w:tcBorders>
              <w:top w:val="nil"/>
              <w:bottom w:val="nil"/>
            </w:tcBorders>
            <w:hideMark/>
          </w:tcPr>
          <w:p w14:paraId="7A7F67B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35.84</w:t>
            </w:r>
          </w:p>
        </w:tc>
        <w:tc>
          <w:tcPr>
            <w:tcW w:w="791" w:type="dxa"/>
            <w:tcBorders>
              <w:top w:val="nil"/>
              <w:bottom w:val="nil"/>
            </w:tcBorders>
            <w:hideMark/>
          </w:tcPr>
          <w:p w14:paraId="04BB49C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26.19</w:t>
            </w:r>
          </w:p>
        </w:tc>
        <w:tc>
          <w:tcPr>
            <w:tcW w:w="790" w:type="dxa"/>
            <w:tcBorders>
              <w:top w:val="nil"/>
              <w:bottom w:val="nil"/>
            </w:tcBorders>
            <w:hideMark/>
          </w:tcPr>
          <w:p w14:paraId="200B016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27.17</w:t>
            </w:r>
          </w:p>
        </w:tc>
        <w:tc>
          <w:tcPr>
            <w:tcW w:w="790" w:type="dxa"/>
            <w:tcBorders>
              <w:top w:val="nil"/>
              <w:bottom w:val="nil"/>
            </w:tcBorders>
            <w:hideMark/>
          </w:tcPr>
          <w:p w14:paraId="6142CF7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38.95</w:t>
            </w:r>
          </w:p>
        </w:tc>
        <w:tc>
          <w:tcPr>
            <w:tcW w:w="791" w:type="dxa"/>
            <w:tcBorders>
              <w:top w:val="nil"/>
              <w:bottom w:val="nil"/>
            </w:tcBorders>
            <w:hideMark/>
          </w:tcPr>
          <w:p w14:paraId="5B1F229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32.59</w:t>
            </w:r>
          </w:p>
        </w:tc>
        <w:tc>
          <w:tcPr>
            <w:tcW w:w="790" w:type="dxa"/>
            <w:tcBorders>
              <w:top w:val="nil"/>
              <w:bottom w:val="nil"/>
            </w:tcBorders>
            <w:hideMark/>
          </w:tcPr>
          <w:p w14:paraId="547FB4F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27.23</w:t>
            </w:r>
          </w:p>
        </w:tc>
        <w:tc>
          <w:tcPr>
            <w:tcW w:w="790" w:type="dxa"/>
            <w:tcBorders>
              <w:top w:val="nil"/>
              <w:bottom w:val="nil"/>
            </w:tcBorders>
            <w:hideMark/>
          </w:tcPr>
          <w:p w14:paraId="424DDF4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23.21</w:t>
            </w:r>
          </w:p>
        </w:tc>
        <w:tc>
          <w:tcPr>
            <w:tcW w:w="791" w:type="dxa"/>
            <w:tcBorders>
              <w:top w:val="nil"/>
              <w:bottom w:val="nil"/>
            </w:tcBorders>
            <w:hideMark/>
          </w:tcPr>
          <w:p w14:paraId="407AF96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17.34</w:t>
            </w:r>
          </w:p>
        </w:tc>
        <w:tc>
          <w:tcPr>
            <w:tcW w:w="790" w:type="dxa"/>
            <w:tcBorders>
              <w:top w:val="nil"/>
              <w:bottom w:val="nil"/>
            </w:tcBorders>
            <w:hideMark/>
          </w:tcPr>
          <w:p w14:paraId="48BE21F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27.80</w:t>
            </w:r>
          </w:p>
        </w:tc>
        <w:tc>
          <w:tcPr>
            <w:tcW w:w="791" w:type="dxa"/>
            <w:tcBorders>
              <w:top w:val="nil"/>
              <w:bottom w:val="nil"/>
            </w:tcBorders>
            <w:hideMark/>
          </w:tcPr>
          <w:p w14:paraId="4129896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eastAsia="zh-CN"/>
              </w:rPr>
            </w:pPr>
            <w:r w:rsidRPr="00705903">
              <w:rPr>
                <w:sz w:val="18"/>
                <w:szCs w:val="18"/>
                <w:lang w:val="en-US" w:eastAsia="zh-CN"/>
              </w:rPr>
              <w:t>24.76</w:t>
            </w:r>
          </w:p>
        </w:tc>
      </w:tr>
      <w:tr w:rsidR="00AB238E" w:rsidRPr="00705903" w14:paraId="1FF94777"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4F1AFBEB" w14:textId="77777777" w:rsidR="00AB238E" w:rsidRPr="00705903" w:rsidRDefault="00AB238E" w:rsidP="0097761F">
            <w:pPr>
              <w:spacing w:line="259" w:lineRule="auto"/>
              <w:ind w:firstLine="0"/>
              <w:jc w:val="both"/>
              <w:rPr>
                <w:b w:val="0"/>
                <w:bCs w:val="0"/>
                <w:i/>
                <w:iCs/>
                <w:sz w:val="18"/>
                <w:szCs w:val="18"/>
                <w:lang w:val="en-US" w:eastAsia="zh-CN"/>
              </w:rPr>
            </w:pPr>
            <w:r w:rsidRPr="00705903">
              <w:rPr>
                <w:b w:val="0"/>
                <w:bCs w:val="0"/>
                <w:i/>
                <w:iCs/>
                <w:sz w:val="18"/>
                <w:szCs w:val="18"/>
                <w:lang w:val="en-US" w:eastAsia="zh-CN"/>
              </w:rPr>
              <w:t>2022</w:t>
            </w:r>
          </w:p>
        </w:tc>
        <w:tc>
          <w:tcPr>
            <w:tcW w:w="790" w:type="dxa"/>
            <w:tcBorders>
              <w:top w:val="nil"/>
            </w:tcBorders>
            <w:hideMark/>
          </w:tcPr>
          <w:p w14:paraId="593F450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34.10</w:t>
            </w:r>
          </w:p>
        </w:tc>
        <w:tc>
          <w:tcPr>
            <w:tcW w:w="790" w:type="dxa"/>
            <w:tcBorders>
              <w:top w:val="nil"/>
            </w:tcBorders>
            <w:hideMark/>
          </w:tcPr>
          <w:p w14:paraId="6B47210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39.52</w:t>
            </w:r>
          </w:p>
        </w:tc>
        <w:tc>
          <w:tcPr>
            <w:tcW w:w="791" w:type="dxa"/>
            <w:tcBorders>
              <w:top w:val="nil"/>
            </w:tcBorders>
            <w:hideMark/>
          </w:tcPr>
          <w:p w14:paraId="22CA4E4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28.65</w:t>
            </w:r>
          </w:p>
        </w:tc>
        <w:tc>
          <w:tcPr>
            <w:tcW w:w="790" w:type="dxa"/>
            <w:tcBorders>
              <w:top w:val="nil"/>
            </w:tcBorders>
            <w:hideMark/>
          </w:tcPr>
          <w:p w14:paraId="4629B9B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29.52</w:t>
            </w:r>
          </w:p>
        </w:tc>
        <w:tc>
          <w:tcPr>
            <w:tcW w:w="790" w:type="dxa"/>
            <w:tcBorders>
              <w:top w:val="nil"/>
            </w:tcBorders>
            <w:hideMark/>
          </w:tcPr>
          <w:p w14:paraId="49C62C4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44.56</w:t>
            </w:r>
          </w:p>
        </w:tc>
        <w:tc>
          <w:tcPr>
            <w:tcW w:w="791" w:type="dxa"/>
            <w:tcBorders>
              <w:top w:val="nil"/>
            </w:tcBorders>
            <w:hideMark/>
          </w:tcPr>
          <w:p w14:paraId="529D32E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39.55</w:t>
            </w:r>
          </w:p>
        </w:tc>
        <w:tc>
          <w:tcPr>
            <w:tcW w:w="790" w:type="dxa"/>
            <w:tcBorders>
              <w:top w:val="nil"/>
            </w:tcBorders>
            <w:hideMark/>
          </w:tcPr>
          <w:p w14:paraId="73B6879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26.62</w:t>
            </w:r>
          </w:p>
        </w:tc>
        <w:tc>
          <w:tcPr>
            <w:tcW w:w="790" w:type="dxa"/>
            <w:tcBorders>
              <w:top w:val="nil"/>
            </w:tcBorders>
            <w:hideMark/>
          </w:tcPr>
          <w:p w14:paraId="3C7D2E4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24.88</w:t>
            </w:r>
          </w:p>
        </w:tc>
        <w:tc>
          <w:tcPr>
            <w:tcW w:w="791" w:type="dxa"/>
            <w:tcBorders>
              <w:top w:val="nil"/>
            </w:tcBorders>
            <w:hideMark/>
          </w:tcPr>
          <w:p w14:paraId="29656C6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22.97</w:t>
            </w:r>
          </w:p>
        </w:tc>
        <w:tc>
          <w:tcPr>
            <w:tcW w:w="790" w:type="dxa"/>
            <w:tcBorders>
              <w:top w:val="nil"/>
            </w:tcBorders>
            <w:hideMark/>
          </w:tcPr>
          <w:p w14:paraId="32FD7D7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31.10</w:t>
            </w:r>
          </w:p>
        </w:tc>
        <w:tc>
          <w:tcPr>
            <w:tcW w:w="791" w:type="dxa"/>
            <w:tcBorders>
              <w:top w:val="nil"/>
            </w:tcBorders>
            <w:hideMark/>
          </w:tcPr>
          <w:p w14:paraId="41C43A3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val="en-US" w:eastAsia="zh-CN"/>
              </w:rPr>
              <w:t>25.37</w:t>
            </w:r>
          </w:p>
        </w:tc>
      </w:tr>
    </w:tbl>
    <w:p w14:paraId="393755A8" w14:textId="77777777" w:rsidR="00AB238E" w:rsidRPr="00705903" w:rsidRDefault="00AB238E" w:rsidP="0097761F">
      <w:pPr>
        <w:spacing w:line="259" w:lineRule="auto"/>
        <w:ind w:firstLine="0"/>
        <w:jc w:val="both"/>
        <w:rPr>
          <w:b/>
          <w:bCs/>
          <w:szCs w:val="24"/>
          <w:lang w:val="en-US" w:eastAsia="zh-CN"/>
        </w:rPr>
      </w:pPr>
    </w:p>
    <w:p w14:paraId="1ADDD511"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ESG ratings are industry-average firm scores on a 0–100 scale, derived from CNRDS ESG assessments. Higher values indicate stronger environmental, social, and governance performance. The results show that ESG ratings generally improved across all industries during 2007–2022, with pronounced acceleration after 2015. The high-ESG sectors (Consumer Staples, Materials, and Health Care) exhibit consistently strong performance, while Real Estate and Telecommunication Services lag behind due to limited disclosure and slower ESG adoption.</w:t>
      </w:r>
    </w:p>
    <w:p w14:paraId="4B43A825" w14:textId="77777777" w:rsidR="00AB238E" w:rsidRPr="00705903" w:rsidRDefault="00AB238E" w:rsidP="0097761F">
      <w:pPr>
        <w:spacing w:line="259" w:lineRule="auto"/>
        <w:ind w:firstLine="0"/>
        <w:jc w:val="both"/>
        <w:rPr>
          <w:sz w:val="20"/>
          <w:szCs w:val="20"/>
          <w:lang w:eastAsia="zh-CN"/>
        </w:rPr>
      </w:pPr>
    </w:p>
    <w:p w14:paraId="7D966B67" w14:textId="77777777" w:rsidR="00AB238E" w:rsidRPr="00705903" w:rsidRDefault="00AB238E" w:rsidP="0097761F">
      <w:pPr>
        <w:spacing w:line="259" w:lineRule="auto"/>
        <w:ind w:firstLine="0"/>
        <w:jc w:val="both"/>
        <w:rPr>
          <w:sz w:val="20"/>
          <w:szCs w:val="20"/>
          <w:lang w:eastAsia="zh-CN"/>
        </w:rPr>
      </w:pPr>
    </w:p>
    <w:p w14:paraId="0EA35811" w14:textId="77777777" w:rsidR="00AB238E" w:rsidRPr="00705903" w:rsidRDefault="00AB238E" w:rsidP="0097761F">
      <w:pPr>
        <w:spacing w:after="160" w:line="259" w:lineRule="auto"/>
        <w:ind w:firstLine="0"/>
        <w:jc w:val="both"/>
        <w:rPr>
          <w:b/>
          <w:bCs/>
          <w:sz w:val="20"/>
          <w:szCs w:val="20"/>
          <w:lang w:val="en-US" w:eastAsia="zh-CN"/>
        </w:rPr>
      </w:pPr>
      <w:r w:rsidRPr="00705903">
        <w:rPr>
          <w:b/>
          <w:bCs/>
          <w:sz w:val="20"/>
          <w:szCs w:val="20"/>
          <w:lang w:val="en-US" w:eastAsia="zh-CN"/>
        </w:rPr>
        <w:br w:type="page"/>
      </w:r>
    </w:p>
    <w:p w14:paraId="2B762B37" w14:textId="77777777" w:rsidR="00AB238E" w:rsidRPr="00705903" w:rsidRDefault="00AB238E" w:rsidP="0097761F">
      <w:pPr>
        <w:pStyle w:val="Heading1"/>
      </w:pPr>
      <w:r w:rsidRPr="00705903">
        <w:t xml:space="preserve">Table 7. </w:t>
      </w:r>
      <w:bookmarkStart w:id="9" w:name="_Hlk212677911"/>
      <w:r w:rsidRPr="00705903">
        <w:t>Average Annual Growth Rate of ESG Ratings by Industry (2007–2022)</w:t>
      </w:r>
      <w:bookmarkEnd w:id="9"/>
    </w:p>
    <w:p w14:paraId="6F64A8CE" w14:textId="77777777" w:rsidR="00AB238E" w:rsidRPr="00705903" w:rsidRDefault="00AB238E" w:rsidP="0097761F">
      <w:pPr>
        <w:spacing w:line="259" w:lineRule="auto"/>
        <w:ind w:firstLine="0"/>
        <w:jc w:val="both"/>
        <w:rPr>
          <w:sz w:val="20"/>
          <w:szCs w:val="20"/>
          <w:lang w:val="en-US" w:eastAsia="zh-CN"/>
        </w:rPr>
      </w:pPr>
    </w:p>
    <w:p w14:paraId="03ACE026"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t xml:space="preserve">This table reports the average annual growth rate (CAGR) of ESG scores for each GICS </w:t>
      </w:r>
      <w:proofErr w:type="gramStart"/>
      <w:r w:rsidRPr="00705903">
        <w:rPr>
          <w:sz w:val="20"/>
          <w:szCs w:val="20"/>
          <w:lang w:val="en-US" w:eastAsia="zh-CN"/>
        </w:rPr>
        <w:t>Level-1</w:t>
      </w:r>
      <w:proofErr w:type="gramEnd"/>
      <w:r w:rsidRPr="00705903">
        <w:rPr>
          <w:sz w:val="20"/>
          <w:szCs w:val="20"/>
          <w:lang w:val="en-US" w:eastAsia="zh-CN"/>
        </w:rPr>
        <w:t xml:space="preserve"> industry, calculated from 2007 to 2022 using the Wind ESG database as of February 2025. The growth rate measures the compound annual increase in each industry’s average ESG rating over the sample period. A higher value indicates faster improvement in ESG performance.</w:t>
      </w:r>
    </w:p>
    <w:p w14:paraId="1A1FC848" w14:textId="77777777" w:rsidR="00AB238E" w:rsidRPr="00705903" w:rsidRDefault="00AB238E" w:rsidP="0097761F">
      <w:pPr>
        <w:spacing w:line="259" w:lineRule="auto"/>
        <w:ind w:firstLine="0"/>
        <w:jc w:val="both"/>
        <w:rPr>
          <w:sz w:val="20"/>
          <w:szCs w:val="20"/>
          <w:lang w:val="en-US" w:eastAsia="zh-CN"/>
        </w:rPr>
      </w:pPr>
    </w:p>
    <w:p w14:paraId="505327A8" w14:textId="77777777" w:rsidR="00AB238E" w:rsidRPr="00705903" w:rsidRDefault="00AB238E" w:rsidP="0097761F">
      <w:pPr>
        <w:spacing w:line="259" w:lineRule="auto"/>
        <w:ind w:firstLine="0"/>
        <w:jc w:val="both"/>
        <w:rPr>
          <w:sz w:val="20"/>
          <w:szCs w:val="20"/>
          <w:lang w:val="en-US" w:eastAsia="zh-CN"/>
        </w:rPr>
      </w:pPr>
      <w:r w:rsidRPr="00705903">
        <w:rPr>
          <w:sz w:val="20"/>
          <w:szCs w:val="20"/>
          <w:lang w:eastAsia="zh-CN"/>
        </w:rPr>
        <w:t>The overall average annual growth rate across all industries is 3.64%, suggesting a steady upward trend in corporate ESG performance among Chinese listed firms. Traditional and regulated sectors such as Utilities and Financials demonstrate the most rapid ESG improvement, likely driven by policy mandates and investor scrutiny. In contrast, Telecommunication Services and Information Technology show relatively modest growth, reflecting slower adaptation of ESG disclosure and reporting frameworks in these sectors.</w:t>
      </w:r>
    </w:p>
    <w:p w14:paraId="21252609" w14:textId="77777777" w:rsidR="00AB238E" w:rsidRPr="00705903" w:rsidRDefault="00AB238E" w:rsidP="0097761F">
      <w:pPr>
        <w:spacing w:line="259" w:lineRule="auto"/>
        <w:ind w:firstLine="0"/>
        <w:jc w:val="both"/>
        <w:rPr>
          <w:sz w:val="20"/>
          <w:szCs w:val="20"/>
          <w:lang w:val="en-US" w:eastAsia="zh-CN"/>
        </w:rPr>
      </w:pPr>
    </w:p>
    <w:p w14:paraId="2930DE1E" w14:textId="77777777" w:rsidR="00AB238E" w:rsidRPr="00705903" w:rsidRDefault="00AB238E" w:rsidP="0097761F">
      <w:pPr>
        <w:spacing w:line="259" w:lineRule="auto"/>
        <w:ind w:firstLine="0"/>
        <w:jc w:val="both"/>
        <w:rPr>
          <w:sz w:val="20"/>
          <w:szCs w:val="20"/>
          <w:lang w:val="en-US" w:eastAsia="zh-CN"/>
        </w:rPr>
      </w:pPr>
    </w:p>
    <w:tbl>
      <w:tblPr>
        <w:tblStyle w:val="PlainTable2"/>
        <w:tblW w:w="0" w:type="auto"/>
        <w:tblLook w:val="04A0" w:firstRow="1" w:lastRow="0" w:firstColumn="1" w:lastColumn="0" w:noHBand="0" w:noVBand="1"/>
      </w:tblPr>
      <w:tblGrid>
        <w:gridCol w:w="4635"/>
        <w:gridCol w:w="4635"/>
      </w:tblGrid>
      <w:tr w:rsidR="00AB238E" w:rsidRPr="00705903" w14:paraId="22DDD275"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5" w:type="dxa"/>
            <w:hideMark/>
          </w:tcPr>
          <w:p w14:paraId="52C5FD3D" w14:textId="77777777" w:rsidR="00AB238E" w:rsidRPr="00705903" w:rsidRDefault="00AB238E" w:rsidP="0097761F">
            <w:pPr>
              <w:spacing w:line="259" w:lineRule="auto"/>
              <w:ind w:firstLine="0"/>
              <w:jc w:val="both"/>
              <w:rPr>
                <w:b w:val="0"/>
                <w:bCs w:val="0"/>
                <w:sz w:val="20"/>
                <w:szCs w:val="20"/>
                <w:lang w:val="en-US" w:eastAsia="zh-CN"/>
              </w:rPr>
            </w:pPr>
            <w:r w:rsidRPr="00705903">
              <w:rPr>
                <w:b w:val="0"/>
                <w:bCs w:val="0"/>
                <w:sz w:val="20"/>
                <w:szCs w:val="20"/>
                <w:lang w:val="en-US" w:eastAsia="zh-CN"/>
              </w:rPr>
              <w:t>Industry</w:t>
            </w:r>
          </w:p>
        </w:tc>
        <w:tc>
          <w:tcPr>
            <w:tcW w:w="4635" w:type="dxa"/>
            <w:hideMark/>
          </w:tcPr>
          <w:p w14:paraId="1090ECEC"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Avg. Annual Growth</w:t>
            </w:r>
          </w:p>
        </w:tc>
      </w:tr>
      <w:tr w:rsidR="00AB238E" w:rsidRPr="00705903" w14:paraId="5F345BD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5" w:type="dxa"/>
            <w:tcBorders>
              <w:bottom w:val="nil"/>
            </w:tcBorders>
            <w:hideMark/>
          </w:tcPr>
          <w:p w14:paraId="32DF993D"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Utilities</w:t>
            </w:r>
          </w:p>
        </w:tc>
        <w:tc>
          <w:tcPr>
            <w:tcW w:w="4635" w:type="dxa"/>
            <w:tcBorders>
              <w:bottom w:val="nil"/>
            </w:tcBorders>
            <w:hideMark/>
          </w:tcPr>
          <w:p w14:paraId="47067E9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0.0464</w:t>
            </w:r>
          </w:p>
        </w:tc>
      </w:tr>
      <w:tr w:rsidR="00AB238E" w:rsidRPr="00705903" w14:paraId="16F27D55" w14:textId="77777777" w:rsidTr="00A4523E">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76B4759C"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Financials</w:t>
            </w:r>
          </w:p>
        </w:tc>
        <w:tc>
          <w:tcPr>
            <w:tcW w:w="4635" w:type="dxa"/>
            <w:tcBorders>
              <w:top w:val="nil"/>
              <w:bottom w:val="nil"/>
            </w:tcBorders>
            <w:hideMark/>
          </w:tcPr>
          <w:p w14:paraId="0410E37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0.0411</w:t>
            </w:r>
          </w:p>
        </w:tc>
      </w:tr>
      <w:tr w:rsidR="00AB238E" w:rsidRPr="00705903" w14:paraId="742F816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6FBEF573"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Materials</w:t>
            </w:r>
          </w:p>
        </w:tc>
        <w:tc>
          <w:tcPr>
            <w:tcW w:w="4635" w:type="dxa"/>
            <w:tcBorders>
              <w:top w:val="nil"/>
              <w:bottom w:val="nil"/>
            </w:tcBorders>
            <w:hideMark/>
          </w:tcPr>
          <w:p w14:paraId="0BDB393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0.0384</w:t>
            </w:r>
          </w:p>
        </w:tc>
      </w:tr>
      <w:tr w:rsidR="00AB238E" w:rsidRPr="00705903" w14:paraId="609C545E" w14:textId="77777777" w:rsidTr="00A4523E">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5D83EE49"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Real Estate</w:t>
            </w:r>
          </w:p>
        </w:tc>
        <w:tc>
          <w:tcPr>
            <w:tcW w:w="4635" w:type="dxa"/>
            <w:tcBorders>
              <w:top w:val="nil"/>
              <w:bottom w:val="nil"/>
            </w:tcBorders>
            <w:hideMark/>
          </w:tcPr>
          <w:p w14:paraId="2959444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0.0382</w:t>
            </w:r>
          </w:p>
        </w:tc>
      </w:tr>
      <w:tr w:rsidR="00AB238E" w:rsidRPr="00705903" w14:paraId="7D429CFE"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685D836C"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Consumer Staples</w:t>
            </w:r>
          </w:p>
        </w:tc>
        <w:tc>
          <w:tcPr>
            <w:tcW w:w="4635" w:type="dxa"/>
            <w:tcBorders>
              <w:top w:val="nil"/>
              <w:bottom w:val="nil"/>
            </w:tcBorders>
            <w:hideMark/>
          </w:tcPr>
          <w:p w14:paraId="6687A7F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0.0372</w:t>
            </w:r>
          </w:p>
        </w:tc>
      </w:tr>
      <w:tr w:rsidR="00AB238E" w:rsidRPr="00705903" w14:paraId="7253B8C5" w14:textId="77777777" w:rsidTr="00A4523E">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7F8DB14F"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Industrials</w:t>
            </w:r>
          </w:p>
        </w:tc>
        <w:tc>
          <w:tcPr>
            <w:tcW w:w="4635" w:type="dxa"/>
            <w:tcBorders>
              <w:top w:val="nil"/>
              <w:bottom w:val="nil"/>
            </w:tcBorders>
            <w:hideMark/>
          </w:tcPr>
          <w:p w14:paraId="79D8196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0.0371</w:t>
            </w:r>
          </w:p>
        </w:tc>
      </w:tr>
      <w:tr w:rsidR="00AB238E" w:rsidRPr="00705903" w14:paraId="7A3B6197"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10E43F80"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Consumer Discretionary</w:t>
            </w:r>
          </w:p>
        </w:tc>
        <w:tc>
          <w:tcPr>
            <w:tcW w:w="4635" w:type="dxa"/>
            <w:tcBorders>
              <w:top w:val="nil"/>
              <w:bottom w:val="nil"/>
            </w:tcBorders>
            <w:hideMark/>
          </w:tcPr>
          <w:p w14:paraId="1F64D49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0.0365</w:t>
            </w:r>
          </w:p>
        </w:tc>
      </w:tr>
      <w:tr w:rsidR="00AB238E" w:rsidRPr="00705903" w14:paraId="3BCB916C" w14:textId="77777777" w:rsidTr="00A4523E">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531BD06C"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Energy</w:t>
            </w:r>
          </w:p>
        </w:tc>
        <w:tc>
          <w:tcPr>
            <w:tcW w:w="4635" w:type="dxa"/>
            <w:tcBorders>
              <w:top w:val="nil"/>
              <w:bottom w:val="nil"/>
            </w:tcBorders>
            <w:hideMark/>
          </w:tcPr>
          <w:p w14:paraId="6D178EB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0.0356</w:t>
            </w:r>
          </w:p>
        </w:tc>
      </w:tr>
      <w:tr w:rsidR="00AB238E" w:rsidRPr="00705903" w14:paraId="105AD34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0B96AEE2"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Health Care</w:t>
            </w:r>
          </w:p>
        </w:tc>
        <w:tc>
          <w:tcPr>
            <w:tcW w:w="4635" w:type="dxa"/>
            <w:tcBorders>
              <w:top w:val="nil"/>
              <w:bottom w:val="nil"/>
            </w:tcBorders>
            <w:hideMark/>
          </w:tcPr>
          <w:p w14:paraId="2EBFD4F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0.0347</w:t>
            </w:r>
          </w:p>
        </w:tc>
      </w:tr>
      <w:tr w:rsidR="00AB238E" w:rsidRPr="00705903" w14:paraId="33296194" w14:textId="77777777" w:rsidTr="00A4523E">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07688E82"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Information Technology</w:t>
            </w:r>
          </w:p>
        </w:tc>
        <w:tc>
          <w:tcPr>
            <w:tcW w:w="4635" w:type="dxa"/>
            <w:tcBorders>
              <w:top w:val="nil"/>
              <w:bottom w:val="nil"/>
            </w:tcBorders>
            <w:hideMark/>
          </w:tcPr>
          <w:p w14:paraId="512FD5C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0.0310</w:t>
            </w:r>
          </w:p>
        </w:tc>
      </w:tr>
      <w:tr w:rsidR="00AB238E" w:rsidRPr="00705903" w14:paraId="583821C8"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5" w:type="dxa"/>
            <w:tcBorders>
              <w:top w:val="nil"/>
            </w:tcBorders>
            <w:hideMark/>
          </w:tcPr>
          <w:p w14:paraId="55913146"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Telecommunication Services</w:t>
            </w:r>
          </w:p>
        </w:tc>
        <w:tc>
          <w:tcPr>
            <w:tcW w:w="4635" w:type="dxa"/>
            <w:tcBorders>
              <w:top w:val="nil"/>
            </w:tcBorders>
            <w:hideMark/>
          </w:tcPr>
          <w:p w14:paraId="3E1C215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0.0241</w:t>
            </w:r>
          </w:p>
        </w:tc>
      </w:tr>
    </w:tbl>
    <w:p w14:paraId="7C74D64F" w14:textId="77777777" w:rsidR="00AB238E" w:rsidRPr="00705903" w:rsidRDefault="00AB238E" w:rsidP="0097761F">
      <w:pPr>
        <w:spacing w:line="259" w:lineRule="auto"/>
        <w:ind w:firstLine="0"/>
        <w:jc w:val="both"/>
        <w:rPr>
          <w:sz w:val="20"/>
          <w:szCs w:val="20"/>
          <w:lang w:val="en-US" w:eastAsia="zh-CN"/>
        </w:rPr>
      </w:pPr>
    </w:p>
    <w:p w14:paraId="294EA10B" w14:textId="77777777" w:rsidR="00AB238E" w:rsidRPr="00705903" w:rsidRDefault="00AB238E" w:rsidP="0097761F">
      <w:pPr>
        <w:spacing w:line="259" w:lineRule="auto"/>
        <w:ind w:firstLine="0"/>
        <w:jc w:val="both"/>
        <w:rPr>
          <w:sz w:val="20"/>
          <w:szCs w:val="20"/>
          <w:lang w:val="en-US" w:eastAsia="zh-CN"/>
        </w:rPr>
      </w:pPr>
    </w:p>
    <w:p w14:paraId="4884DEB7" w14:textId="77777777" w:rsidR="00AB238E" w:rsidRPr="00705903" w:rsidRDefault="00AB238E" w:rsidP="0097761F">
      <w:pPr>
        <w:spacing w:line="259" w:lineRule="auto"/>
        <w:ind w:firstLine="0"/>
        <w:jc w:val="both"/>
        <w:rPr>
          <w:sz w:val="20"/>
          <w:szCs w:val="20"/>
          <w:lang w:val="en-US" w:eastAsia="zh-CN"/>
        </w:rPr>
      </w:pPr>
    </w:p>
    <w:p w14:paraId="2C60E368" w14:textId="77777777" w:rsidR="00AB238E" w:rsidRPr="00705903" w:rsidRDefault="00AB238E" w:rsidP="0097761F">
      <w:pPr>
        <w:spacing w:line="259" w:lineRule="auto"/>
        <w:ind w:firstLine="0"/>
        <w:jc w:val="both"/>
        <w:rPr>
          <w:sz w:val="20"/>
          <w:szCs w:val="20"/>
          <w:lang w:val="en-US" w:eastAsia="zh-CN"/>
        </w:rPr>
      </w:pPr>
    </w:p>
    <w:p w14:paraId="1C00C6DA" w14:textId="77777777" w:rsidR="00AB238E" w:rsidRPr="00705903" w:rsidRDefault="00AB238E" w:rsidP="0097761F">
      <w:pPr>
        <w:spacing w:after="160" w:line="259" w:lineRule="auto"/>
        <w:ind w:firstLine="0"/>
        <w:jc w:val="both"/>
        <w:rPr>
          <w:sz w:val="20"/>
          <w:szCs w:val="20"/>
          <w:lang w:val="en-US" w:eastAsia="zh-CN"/>
        </w:rPr>
      </w:pPr>
      <w:r w:rsidRPr="00705903">
        <w:rPr>
          <w:sz w:val="20"/>
          <w:szCs w:val="20"/>
          <w:lang w:val="en-US" w:eastAsia="zh-CN"/>
        </w:rPr>
        <w:br w:type="page"/>
      </w:r>
    </w:p>
    <w:p w14:paraId="64D96A44" w14:textId="77777777" w:rsidR="00AB238E" w:rsidRPr="00705903" w:rsidRDefault="00AB238E" w:rsidP="0097761F">
      <w:pPr>
        <w:pStyle w:val="Heading1"/>
      </w:pPr>
      <w:r w:rsidRPr="00705903">
        <w:t xml:space="preserve">Table 8. </w:t>
      </w:r>
      <w:bookmarkStart w:id="10" w:name="_Hlk212500166"/>
      <w:r w:rsidRPr="00705903">
        <w:t>Average Industry-level E, S, G Ratings (2007–2022)</w:t>
      </w:r>
      <w:bookmarkEnd w:id="10"/>
    </w:p>
    <w:p w14:paraId="03CEA114" w14:textId="77777777" w:rsidR="00AB238E" w:rsidRPr="00705903" w:rsidRDefault="00AB238E" w:rsidP="0097761F">
      <w:pPr>
        <w:spacing w:line="259" w:lineRule="auto"/>
        <w:ind w:firstLine="0"/>
        <w:jc w:val="both"/>
        <w:rPr>
          <w:sz w:val="20"/>
          <w:szCs w:val="20"/>
          <w:lang w:val="en-US" w:eastAsia="zh-CN"/>
        </w:rPr>
      </w:pPr>
    </w:p>
    <w:p w14:paraId="29061EBC"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t>This table reports the average environmental (E), social (S), and governance (G) ratings across industries from 2007 to 2022. The results reveal that the Environmental (E) dimension exhibits the highest cross-industry volatility (σ = 5.52), indicating substantial heterogeneity in firms’ environmental practices and disclosure intensity. In comparison, the Social (S) and Governance (G) dimensions show lower volatilities (σ = 3.57 and 3.89, respectively), suggesting more consistent performance across sectors.</w:t>
      </w:r>
    </w:p>
    <w:p w14:paraId="6AD5DB0D" w14:textId="77777777" w:rsidR="00AB238E" w:rsidRPr="00705903" w:rsidRDefault="00AB238E" w:rsidP="0097761F">
      <w:pPr>
        <w:spacing w:line="259" w:lineRule="auto"/>
        <w:ind w:firstLine="0"/>
        <w:jc w:val="both"/>
        <w:rPr>
          <w:sz w:val="20"/>
          <w:szCs w:val="20"/>
          <w:lang w:val="en-US" w:eastAsia="zh-CN"/>
        </w:rPr>
      </w:pPr>
    </w:p>
    <w:p w14:paraId="294169E0"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t>Industries such as Materials, Consumer Staples, and Health Care exhibit higher overall ESG ratings, reflecting stronger sustainability engagement and governance frameworks. In contrast, Telecommunication Services and Real Estate display relatively lower average scores, particularly in the environmental domain, implying uneven ESG integration across industry structures.</w:t>
      </w:r>
    </w:p>
    <w:p w14:paraId="4D877C6F" w14:textId="77777777" w:rsidR="00AB238E" w:rsidRPr="00705903" w:rsidRDefault="00AB238E" w:rsidP="0097761F">
      <w:pPr>
        <w:spacing w:line="259" w:lineRule="auto"/>
        <w:ind w:firstLine="0"/>
        <w:jc w:val="both"/>
        <w:rPr>
          <w:sz w:val="20"/>
          <w:szCs w:val="20"/>
          <w:lang w:val="en-US" w:eastAsia="zh-CN"/>
        </w:rPr>
      </w:pPr>
    </w:p>
    <w:p w14:paraId="61BD81CB"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t xml:space="preserve">E, S, and G represent the environmental, social, and governance dimensions of ESG ratings, respectively. Values indicate the mean rating across all listed firms in each industry from 2007 to 2022, and volatilities (standard deviations) capture the degree of dispersion in. </w:t>
      </w:r>
    </w:p>
    <w:p w14:paraId="3E292FEC" w14:textId="77777777" w:rsidR="00AB238E" w:rsidRPr="00705903" w:rsidRDefault="00AB238E" w:rsidP="0097761F">
      <w:pPr>
        <w:spacing w:line="259" w:lineRule="auto"/>
        <w:ind w:firstLine="0"/>
        <w:jc w:val="both"/>
        <w:rPr>
          <w:sz w:val="20"/>
          <w:szCs w:val="20"/>
          <w:lang w:val="en-US" w:eastAsia="zh-CN"/>
        </w:rPr>
      </w:pPr>
    </w:p>
    <w:p w14:paraId="4D204F25" w14:textId="77777777" w:rsidR="00AB238E" w:rsidRPr="00705903" w:rsidRDefault="00AB238E" w:rsidP="0097761F">
      <w:pPr>
        <w:spacing w:line="259" w:lineRule="auto"/>
        <w:ind w:firstLine="0"/>
        <w:jc w:val="both"/>
        <w:rPr>
          <w:sz w:val="20"/>
          <w:szCs w:val="20"/>
          <w:lang w:val="en-US" w:eastAsia="zh-CN"/>
        </w:rPr>
      </w:pPr>
    </w:p>
    <w:tbl>
      <w:tblPr>
        <w:tblStyle w:val="PlainTable2"/>
        <w:tblW w:w="0" w:type="auto"/>
        <w:tblLook w:val="04A0" w:firstRow="1" w:lastRow="0" w:firstColumn="1" w:lastColumn="0" w:noHBand="0" w:noVBand="1"/>
      </w:tblPr>
      <w:tblGrid>
        <w:gridCol w:w="2760"/>
        <w:gridCol w:w="2121"/>
        <w:gridCol w:w="2122"/>
        <w:gridCol w:w="2122"/>
      </w:tblGrid>
      <w:tr w:rsidR="00AB238E" w:rsidRPr="00705903" w14:paraId="1AD9B82C"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9132F" w14:textId="77777777" w:rsidR="00AB238E" w:rsidRPr="00705903" w:rsidRDefault="00AB238E" w:rsidP="0097761F">
            <w:pPr>
              <w:spacing w:line="259" w:lineRule="auto"/>
              <w:ind w:firstLine="0"/>
              <w:jc w:val="both"/>
              <w:rPr>
                <w:b w:val="0"/>
                <w:bCs w:val="0"/>
                <w:sz w:val="20"/>
                <w:szCs w:val="20"/>
                <w:lang w:val="en-US" w:eastAsia="zh-CN"/>
              </w:rPr>
            </w:pPr>
            <w:r w:rsidRPr="00705903">
              <w:rPr>
                <w:b w:val="0"/>
                <w:bCs w:val="0"/>
                <w:sz w:val="20"/>
                <w:szCs w:val="20"/>
                <w:lang w:val="en-US" w:eastAsia="zh-CN"/>
              </w:rPr>
              <w:t>Industry</w:t>
            </w:r>
          </w:p>
        </w:tc>
        <w:tc>
          <w:tcPr>
            <w:tcW w:w="2121" w:type="dxa"/>
            <w:hideMark/>
          </w:tcPr>
          <w:p w14:paraId="04B1DCA0"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E Rating</w:t>
            </w:r>
          </w:p>
        </w:tc>
        <w:tc>
          <w:tcPr>
            <w:tcW w:w="2122" w:type="dxa"/>
            <w:hideMark/>
          </w:tcPr>
          <w:p w14:paraId="3669A4FE"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S Rating</w:t>
            </w:r>
          </w:p>
        </w:tc>
        <w:tc>
          <w:tcPr>
            <w:tcW w:w="2122" w:type="dxa"/>
            <w:hideMark/>
          </w:tcPr>
          <w:p w14:paraId="0DEB66F7"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G Rating</w:t>
            </w:r>
          </w:p>
        </w:tc>
      </w:tr>
      <w:tr w:rsidR="00AB238E" w:rsidRPr="00705903" w14:paraId="6F4EF95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2D7B2A6E"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10 Energy</w:t>
            </w:r>
          </w:p>
        </w:tc>
        <w:tc>
          <w:tcPr>
            <w:tcW w:w="2121" w:type="dxa"/>
            <w:tcBorders>
              <w:bottom w:val="nil"/>
            </w:tcBorders>
            <w:hideMark/>
          </w:tcPr>
          <w:p w14:paraId="69178B8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15.32</w:t>
            </w:r>
          </w:p>
        </w:tc>
        <w:tc>
          <w:tcPr>
            <w:tcW w:w="2122" w:type="dxa"/>
            <w:tcBorders>
              <w:bottom w:val="nil"/>
            </w:tcBorders>
            <w:hideMark/>
          </w:tcPr>
          <w:p w14:paraId="474FFA5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28.84</w:t>
            </w:r>
          </w:p>
        </w:tc>
        <w:tc>
          <w:tcPr>
            <w:tcW w:w="2122" w:type="dxa"/>
            <w:tcBorders>
              <w:bottom w:val="nil"/>
            </w:tcBorders>
            <w:hideMark/>
          </w:tcPr>
          <w:p w14:paraId="62443FC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27.50</w:t>
            </w:r>
          </w:p>
        </w:tc>
      </w:tr>
      <w:tr w:rsidR="00AB238E" w:rsidRPr="00705903" w14:paraId="6F044DC8"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3C0BF8C"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15 Materials</w:t>
            </w:r>
          </w:p>
        </w:tc>
        <w:tc>
          <w:tcPr>
            <w:tcW w:w="2121" w:type="dxa"/>
            <w:tcBorders>
              <w:top w:val="nil"/>
              <w:bottom w:val="nil"/>
            </w:tcBorders>
            <w:hideMark/>
          </w:tcPr>
          <w:p w14:paraId="54812D3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23.37</w:t>
            </w:r>
          </w:p>
        </w:tc>
        <w:tc>
          <w:tcPr>
            <w:tcW w:w="2122" w:type="dxa"/>
            <w:tcBorders>
              <w:top w:val="nil"/>
              <w:bottom w:val="nil"/>
            </w:tcBorders>
            <w:hideMark/>
          </w:tcPr>
          <w:p w14:paraId="7AB031C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23.22</w:t>
            </w:r>
          </w:p>
        </w:tc>
        <w:tc>
          <w:tcPr>
            <w:tcW w:w="2122" w:type="dxa"/>
            <w:tcBorders>
              <w:top w:val="nil"/>
              <w:bottom w:val="nil"/>
            </w:tcBorders>
            <w:hideMark/>
          </w:tcPr>
          <w:p w14:paraId="547386B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23.02</w:t>
            </w:r>
          </w:p>
        </w:tc>
      </w:tr>
      <w:tr w:rsidR="00AB238E" w:rsidRPr="00705903" w14:paraId="1A216B3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328E50D"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20 Industrials</w:t>
            </w:r>
          </w:p>
        </w:tc>
        <w:tc>
          <w:tcPr>
            <w:tcW w:w="2121" w:type="dxa"/>
            <w:tcBorders>
              <w:top w:val="nil"/>
              <w:bottom w:val="nil"/>
            </w:tcBorders>
            <w:hideMark/>
          </w:tcPr>
          <w:p w14:paraId="22E7CCB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12.66</w:t>
            </w:r>
          </w:p>
        </w:tc>
        <w:tc>
          <w:tcPr>
            <w:tcW w:w="2122" w:type="dxa"/>
            <w:tcBorders>
              <w:top w:val="nil"/>
              <w:bottom w:val="nil"/>
            </w:tcBorders>
            <w:hideMark/>
          </w:tcPr>
          <w:p w14:paraId="31A5234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23.59</w:t>
            </w:r>
          </w:p>
        </w:tc>
        <w:tc>
          <w:tcPr>
            <w:tcW w:w="2122" w:type="dxa"/>
            <w:tcBorders>
              <w:top w:val="nil"/>
              <w:bottom w:val="nil"/>
            </w:tcBorders>
            <w:hideMark/>
          </w:tcPr>
          <w:p w14:paraId="2748423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23.01</w:t>
            </w:r>
          </w:p>
        </w:tc>
      </w:tr>
      <w:tr w:rsidR="00AB238E" w:rsidRPr="00705903" w14:paraId="2A5977CE"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F1ABCAE"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25 Consumer Discretionary</w:t>
            </w:r>
          </w:p>
        </w:tc>
        <w:tc>
          <w:tcPr>
            <w:tcW w:w="2121" w:type="dxa"/>
            <w:tcBorders>
              <w:top w:val="nil"/>
              <w:bottom w:val="nil"/>
            </w:tcBorders>
            <w:hideMark/>
          </w:tcPr>
          <w:p w14:paraId="0FC50C5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11.54</w:t>
            </w:r>
          </w:p>
        </w:tc>
        <w:tc>
          <w:tcPr>
            <w:tcW w:w="2122" w:type="dxa"/>
            <w:tcBorders>
              <w:top w:val="nil"/>
              <w:bottom w:val="nil"/>
            </w:tcBorders>
            <w:hideMark/>
          </w:tcPr>
          <w:p w14:paraId="1576669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21.48</w:t>
            </w:r>
          </w:p>
        </w:tc>
        <w:tc>
          <w:tcPr>
            <w:tcW w:w="2122" w:type="dxa"/>
            <w:tcBorders>
              <w:top w:val="nil"/>
              <w:bottom w:val="nil"/>
            </w:tcBorders>
            <w:hideMark/>
          </w:tcPr>
          <w:p w14:paraId="7A4B005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24.37</w:t>
            </w:r>
          </w:p>
        </w:tc>
      </w:tr>
      <w:tr w:rsidR="00AB238E" w:rsidRPr="00705903" w14:paraId="5FB88FAA"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555DE18"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30 Consumer Staples</w:t>
            </w:r>
          </w:p>
        </w:tc>
        <w:tc>
          <w:tcPr>
            <w:tcW w:w="2121" w:type="dxa"/>
            <w:tcBorders>
              <w:top w:val="nil"/>
              <w:bottom w:val="nil"/>
            </w:tcBorders>
            <w:hideMark/>
          </w:tcPr>
          <w:p w14:paraId="0A362AC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17.91</w:t>
            </w:r>
          </w:p>
        </w:tc>
        <w:tc>
          <w:tcPr>
            <w:tcW w:w="2122" w:type="dxa"/>
            <w:tcBorders>
              <w:top w:val="nil"/>
              <w:bottom w:val="nil"/>
            </w:tcBorders>
            <w:hideMark/>
          </w:tcPr>
          <w:p w14:paraId="5B13783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29.67</w:t>
            </w:r>
          </w:p>
        </w:tc>
        <w:tc>
          <w:tcPr>
            <w:tcW w:w="2122" w:type="dxa"/>
            <w:tcBorders>
              <w:top w:val="nil"/>
              <w:bottom w:val="nil"/>
            </w:tcBorders>
            <w:hideMark/>
          </w:tcPr>
          <w:p w14:paraId="14F6EB9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28.80</w:t>
            </w:r>
          </w:p>
        </w:tc>
      </w:tr>
      <w:tr w:rsidR="00AB238E" w:rsidRPr="00705903" w14:paraId="79ADFF3A"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66C531C"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35 Health Care</w:t>
            </w:r>
          </w:p>
        </w:tc>
        <w:tc>
          <w:tcPr>
            <w:tcW w:w="2121" w:type="dxa"/>
            <w:tcBorders>
              <w:top w:val="nil"/>
              <w:bottom w:val="nil"/>
            </w:tcBorders>
            <w:hideMark/>
          </w:tcPr>
          <w:p w14:paraId="44BD37A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17.18</w:t>
            </w:r>
          </w:p>
        </w:tc>
        <w:tc>
          <w:tcPr>
            <w:tcW w:w="2122" w:type="dxa"/>
            <w:tcBorders>
              <w:top w:val="nil"/>
              <w:bottom w:val="nil"/>
            </w:tcBorders>
            <w:hideMark/>
          </w:tcPr>
          <w:p w14:paraId="2A0D03B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25.74</w:t>
            </w:r>
          </w:p>
        </w:tc>
        <w:tc>
          <w:tcPr>
            <w:tcW w:w="2122" w:type="dxa"/>
            <w:tcBorders>
              <w:top w:val="nil"/>
              <w:bottom w:val="nil"/>
            </w:tcBorders>
            <w:hideMark/>
          </w:tcPr>
          <w:p w14:paraId="5055767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24.02</w:t>
            </w:r>
          </w:p>
        </w:tc>
      </w:tr>
      <w:tr w:rsidR="00AB238E" w:rsidRPr="00705903" w14:paraId="4EE958F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3255207"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40 Financials</w:t>
            </w:r>
          </w:p>
        </w:tc>
        <w:tc>
          <w:tcPr>
            <w:tcW w:w="2121" w:type="dxa"/>
            <w:tcBorders>
              <w:top w:val="nil"/>
              <w:bottom w:val="nil"/>
            </w:tcBorders>
            <w:hideMark/>
          </w:tcPr>
          <w:p w14:paraId="69C8970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8.06</w:t>
            </w:r>
          </w:p>
        </w:tc>
        <w:tc>
          <w:tcPr>
            <w:tcW w:w="2122" w:type="dxa"/>
            <w:tcBorders>
              <w:top w:val="nil"/>
              <w:bottom w:val="nil"/>
            </w:tcBorders>
            <w:hideMark/>
          </w:tcPr>
          <w:p w14:paraId="4F57DCF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23.00</w:t>
            </w:r>
          </w:p>
        </w:tc>
        <w:tc>
          <w:tcPr>
            <w:tcW w:w="2122" w:type="dxa"/>
            <w:tcBorders>
              <w:top w:val="nil"/>
              <w:bottom w:val="nil"/>
            </w:tcBorders>
            <w:hideMark/>
          </w:tcPr>
          <w:p w14:paraId="78C594C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33.54</w:t>
            </w:r>
          </w:p>
        </w:tc>
      </w:tr>
      <w:tr w:rsidR="00AB238E" w:rsidRPr="00705903" w14:paraId="5CC0A921"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9076222"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45 Information Technology</w:t>
            </w:r>
          </w:p>
        </w:tc>
        <w:tc>
          <w:tcPr>
            <w:tcW w:w="2121" w:type="dxa"/>
            <w:tcBorders>
              <w:top w:val="nil"/>
              <w:bottom w:val="nil"/>
            </w:tcBorders>
            <w:hideMark/>
          </w:tcPr>
          <w:p w14:paraId="5B4CA11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9.44</w:t>
            </w:r>
          </w:p>
        </w:tc>
        <w:tc>
          <w:tcPr>
            <w:tcW w:w="2122" w:type="dxa"/>
            <w:tcBorders>
              <w:top w:val="nil"/>
              <w:bottom w:val="nil"/>
            </w:tcBorders>
            <w:hideMark/>
          </w:tcPr>
          <w:p w14:paraId="25CD016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22.27</w:t>
            </w:r>
          </w:p>
        </w:tc>
        <w:tc>
          <w:tcPr>
            <w:tcW w:w="2122" w:type="dxa"/>
            <w:tcBorders>
              <w:top w:val="nil"/>
              <w:bottom w:val="nil"/>
            </w:tcBorders>
            <w:hideMark/>
          </w:tcPr>
          <w:p w14:paraId="44BB33D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21.38</w:t>
            </w:r>
          </w:p>
        </w:tc>
      </w:tr>
      <w:tr w:rsidR="00AB238E" w:rsidRPr="00705903" w14:paraId="28BFB8D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62531A6"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50 Telecommunication Services</w:t>
            </w:r>
          </w:p>
        </w:tc>
        <w:tc>
          <w:tcPr>
            <w:tcW w:w="2121" w:type="dxa"/>
            <w:tcBorders>
              <w:top w:val="nil"/>
              <w:bottom w:val="nil"/>
            </w:tcBorders>
            <w:hideMark/>
          </w:tcPr>
          <w:p w14:paraId="3BEEA54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6.05</w:t>
            </w:r>
          </w:p>
        </w:tc>
        <w:tc>
          <w:tcPr>
            <w:tcW w:w="2122" w:type="dxa"/>
            <w:tcBorders>
              <w:top w:val="nil"/>
              <w:bottom w:val="nil"/>
            </w:tcBorders>
            <w:hideMark/>
          </w:tcPr>
          <w:p w14:paraId="4D46F42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17.94</w:t>
            </w:r>
          </w:p>
        </w:tc>
        <w:tc>
          <w:tcPr>
            <w:tcW w:w="2122" w:type="dxa"/>
            <w:tcBorders>
              <w:top w:val="nil"/>
              <w:bottom w:val="nil"/>
            </w:tcBorders>
            <w:hideMark/>
          </w:tcPr>
          <w:p w14:paraId="361041F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27.06</w:t>
            </w:r>
          </w:p>
        </w:tc>
      </w:tr>
      <w:tr w:rsidR="00AB238E" w:rsidRPr="00705903" w14:paraId="19D5B54B"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E22B93D"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55 Utilities</w:t>
            </w:r>
          </w:p>
        </w:tc>
        <w:tc>
          <w:tcPr>
            <w:tcW w:w="2121" w:type="dxa"/>
            <w:tcBorders>
              <w:top w:val="nil"/>
              <w:bottom w:val="nil"/>
            </w:tcBorders>
            <w:hideMark/>
          </w:tcPr>
          <w:p w14:paraId="75294EA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11.46</w:t>
            </w:r>
          </w:p>
        </w:tc>
        <w:tc>
          <w:tcPr>
            <w:tcW w:w="2122" w:type="dxa"/>
            <w:tcBorders>
              <w:top w:val="nil"/>
              <w:bottom w:val="nil"/>
            </w:tcBorders>
            <w:hideMark/>
          </w:tcPr>
          <w:p w14:paraId="4CBB08F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25.30</w:t>
            </w:r>
          </w:p>
        </w:tc>
        <w:tc>
          <w:tcPr>
            <w:tcW w:w="2122" w:type="dxa"/>
            <w:tcBorders>
              <w:top w:val="nil"/>
              <w:bottom w:val="nil"/>
            </w:tcBorders>
            <w:hideMark/>
          </w:tcPr>
          <w:p w14:paraId="3E53399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29.15</w:t>
            </w:r>
          </w:p>
        </w:tc>
      </w:tr>
      <w:tr w:rsidR="00AB238E" w:rsidRPr="00705903" w14:paraId="33F7D2F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3698CAC0"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60 Real Estate</w:t>
            </w:r>
          </w:p>
        </w:tc>
        <w:tc>
          <w:tcPr>
            <w:tcW w:w="2121" w:type="dxa"/>
            <w:tcBorders>
              <w:top w:val="nil"/>
            </w:tcBorders>
            <w:hideMark/>
          </w:tcPr>
          <w:p w14:paraId="1EA6ECB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5.07</w:t>
            </w:r>
          </w:p>
        </w:tc>
        <w:tc>
          <w:tcPr>
            <w:tcW w:w="2122" w:type="dxa"/>
            <w:tcBorders>
              <w:top w:val="nil"/>
            </w:tcBorders>
            <w:hideMark/>
          </w:tcPr>
          <w:p w14:paraId="04D2D39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19.51</w:t>
            </w:r>
          </w:p>
        </w:tc>
        <w:tc>
          <w:tcPr>
            <w:tcW w:w="2122" w:type="dxa"/>
            <w:tcBorders>
              <w:top w:val="nil"/>
            </w:tcBorders>
            <w:hideMark/>
          </w:tcPr>
          <w:p w14:paraId="270CDFF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31.73</w:t>
            </w:r>
          </w:p>
        </w:tc>
      </w:tr>
    </w:tbl>
    <w:p w14:paraId="4565A406" w14:textId="77777777" w:rsidR="00AB238E" w:rsidRPr="00705903" w:rsidRDefault="00AB238E" w:rsidP="0097761F">
      <w:pPr>
        <w:spacing w:line="259" w:lineRule="auto"/>
        <w:ind w:firstLine="0"/>
        <w:jc w:val="both"/>
        <w:rPr>
          <w:sz w:val="20"/>
          <w:szCs w:val="20"/>
          <w:lang w:val="en-US" w:eastAsia="zh-CN"/>
        </w:rPr>
      </w:pPr>
    </w:p>
    <w:p w14:paraId="675266E6" w14:textId="77777777" w:rsidR="00AB238E" w:rsidRPr="00705903" w:rsidRDefault="00AB238E" w:rsidP="0097761F">
      <w:pPr>
        <w:spacing w:line="259" w:lineRule="auto"/>
        <w:ind w:firstLine="0"/>
        <w:jc w:val="both"/>
        <w:rPr>
          <w:sz w:val="20"/>
          <w:szCs w:val="20"/>
          <w:lang w:val="en-US" w:eastAsia="zh-CN"/>
        </w:rPr>
      </w:pPr>
    </w:p>
    <w:p w14:paraId="5F4274E6" w14:textId="77777777" w:rsidR="00AB238E" w:rsidRPr="00705903" w:rsidRDefault="00AB238E" w:rsidP="0097761F">
      <w:pPr>
        <w:spacing w:line="259" w:lineRule="auto"/>
        <w:ind w:firstLine="0"/>
        <w:jc w:val="both"/>
        <w:rPr>
          <w:sz w:val="20"/>
          <w:szCs w:val="20"/>
          <w:lang w:val="en-US" w:eastAsia="zh-CN"/>
        </w:rPr>
      </w:pPr>
    </w:p>
    <w:p w14:paraId="138B7240" w14:textId="77777777" w:rsidR="00AB238E" w:rsidRPr="00705903" w:rsidRDefault="00AB238E" w:rsidP="0097761F">
      <w:pPr>
        <w:spacing w:line="259" w:lineRule="auto"/>
        <w:ind w:firstLine="0"/>
        <w:jc w:val="both"/>
        <w:rPr>
          <w:sz w:val="20"/>
          <w:szCs w:val="20"/>
          <w:lang w:eastAsia="zh-CN"/>
        </w:rPr>
      </w:pPr>
    </w:p>
    <w:p w14:paraId="67AABACB" w14:textId="77777777" w:rsidR="00AB238E" w:rsidRPr="00705903" w:rsidRDefault="00AB238E" w:rsidP="0097761F">
      <w:pPr>
        <w:spacing w:after="160" w:line="259" w:lineRule="auto"/>
        <w:ind w:firstLine="0"/>
        <w:jc w:val="both"/>
        <w:rPr>
          <w:b/>
          <w:bCs/>
          <w:szCs w:val="24"/>
          <w:lang w:val="en-US" w:eastAsia="zh-CN"/>
        </w:rPr>
      </w:pPr>
      <w:r w:rsidRPr="00705903">
        <w:br w:type="page"/>
      </w:r>
    </w:p>
    <w:p w14:paraId="1BCCEAC5" w14:textId="77777777" w:rsidR="00AB238E" w:rsidRPr="00705903" w:rsidRDefault="00AB238E" w:rsidP="0097761F">
      <w:pPr>
        <w:pStyle w:val="Heading1"/>
      </w:pPr>
      <w:r w:rsidRPr="00705903">
        <w:t>Table 9. Industry-level Environmental (E) Ratings by Year (2007–2022)</w:t>
      </w:r>
    </w:p>
    <w:p w14:paraId="1F57460F" w14:textId="77777777" w:rsidR="00AB238E" w:rsidRPr="00705903" w:rsidRDefault="00AB238E" w:rsidP="0097761F">
      <w:pPr>
        <w:spacing w:line="259" w:lineRule="auto"/>
        <w:ind w:firstLine="0"/>
        <w:jc w:val="both"/>
        <w:rPr>
          <w:sz w:val="20"/>
          <w:szCs w:val="20"/>
          <w:lang w:val="en-US"/>
        </w:rPr>
      </w:pPr>
    </w:p>
    <w:p w14:paraId="722773A7"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 xml:space="preserve">This table reports the annual average Environmental (E) ratings of listed firms in China across the 11 GICS </w:t>
      </w:r>
      <w:proofErr w:type="gramStart"/>
      <w:r w:rsidRPr="00705903">
        <w:rPr>
          <w:sz w:val="20"/>
          <w:szCs w:val="20"/>
          <w:lang w:val="en-US"/>
        </w:rPr>
        <w:t>Level-1</w:t>
      </w:r>
      <w:proofErr w:type="gramEnd"/>
      <w:r w:rsidRPr="00705903">
        <w:rPr>
          <w:sz w:val="20"/>
          <w:szCs w:val="20"/>
          <w:lang w:val="en-US"/>
        </w:rPr>
        <w:t xml:space="preserve"> industries from 2007 to 2022, based on data from the Wind ESG database as of February 2025.</w:t>
      </w:r>
      <w:r w:rsidRPr="00705903">
        <w:rPr>
          <w:sz w:val="20"/>
          <w:szCs w:val="20"/>
          <w:lang w:val="en-US"/>
        </w:rPr>
        <w:br/>
        <w:t>The E ratings capture firms’ environmental management quality, including emissions control, resource efficiency, and environmental disclosure practices.</w:t>
      </w:r>
    </w:p>
    <w:p w14:paraId="6E8CD56F" w14:textId="77777777" w:rsidR="00AB238E" w:rsidRPr="00705903" w:rsidRDefault="00AB238E" w:rsidP="0097761F">
      <w:pPr>
        <w:spacing w:line="259" w:lineRule="auto"/>
        <w:ind w:firstLine="0"/>
        <w:jc w:val="both"/>
        <w:rPr>
          <w:sz w:val="20"/>
          <w:szCs w:val="20"/>
          <w:lang w:val="en-US"/>
        </w:rPr>
      </w:pPr>
    </w:p>
    <w:p w14:paraId="2BE508A0"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Across all industries, Environmental (E) scores exhibit a steady upward trend, particularly after 2015.</w:t>
      </w:r>
      <w:r w:rsidRPr="00705903">
        <w:rPr>
          <w:sz w:val="20"/>
          <w:szCs w:val="20"/>
          <w:lang w:val="en-US"/>
        </w:rPr>
        <w:br/>
        <w:t>The Materials and Consumer Staples sectors show the most pronounced improvement, reflecting increasing regulatory pressure and stronger environmental disclosure standards in heavy manufacturing and essential goods production.</w:t>
      </w:r>
      <w:r w:rsidRPr="00705903">
        <w:rPr>
          <w:sz w:val="20"/>
          <w:szCs w:val="20"/>
          <w:lang w:val="en-US" w:eastAsia="zh-CN"/>
        </w:rPr>
        <w:t xml:space="preserve"> </w:t>
      </w:r>
      <w:r w:rsidRPr="00705903">
        <w:rPr>
          <w:sz w:val="20"/>
          <w:szCs w:val="20"/>
          <w:lang w:val="en-US"/>
        </w:rPr>
        <w:t>In contrast, Real Estate and Telecommunication Services remain relatively low in E performance, suggesting slower adaptation to green transformation and limited environmental reporting initiatives.</w:t>
      </w:r>
    </w:p>
    <w:p w14:paraId="0C889B00" w14:textId="77777777" w:rsidR="00AB238E" w:rsidRPr="00705903" w:rsidRDefault="00AB238E" w:rsidP="0097761F">
      <w:pPr>
        <w:spacing w:line="259" w:lineRule="auto"/>
        <w:ind w:firstLine="0"/>
        <w:jc w:val="both"/>
        <w:rPr>
          <w:sz w:val="20"/>
          <w:szCs w:val="20"/>
          <w:lang w:val="en-US"/>
        </w:rPr>
      </w:pPr>
    </w:p>
    <w:p w14:paraId="6FAEFD4E"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Overall, the sharp increase observed in 2021–2022 across most industries corresponds with the tightening of ESG disclosure guidelines and China’s commitment to carbon neutrality goals announced in 2020.</w:t>
      </w:r>
    </w:p>
    <w:p w14:paraId="27387CEB" w14:textId="77777777" w:rsidR="00AB238E" w:rsidRPr="00705903" w:rsidRDefault="00AB238E" w:rsidP="0097761F">
      <w:pPr>
        <w:spacing w:line="259" w:lineRule="auto"/>
        <w:ind w:firstLine="0"/>
        <w:jc w:val="both"/>
        <w:rPr>
          <w:sz w:val="20"/>
          <w:szCs w:val="20"/>
          <w:lang w:val="en-US"/>
        </w:rPr>
      </w:pPr>
    </w:p>
    <w:p w14:paraId="3D1D0648" w14:textId="77777777" w:rsidR="00AB238E" w:rsidRPr="00705903" w:rsidRDefault="00AB238E" w:rsidP="0097761F">
      <w:pPr>
        <w:spacing w:line="259" w:lineRule="auto"/>
        <w:ind w:firstLine="0"/>
        <w:jc w:val="both"/>
        <w:rPr>
          <w:sz w:val="20"/>
          <w:szCs w:val="20"/>
          <w:lang w:val="en-US"/>
        </w:rPr>
      </w:pPr>
    </w:p>
    <w:tbl>
      <w:tblPr>
        <w:tblStyle w:val="PlainTable2"/>
        <w:tblW w:w="0" w:type="auto"/>
        <w:tblLook w:val="04A0" w:firstRow="1" w:lastRow="0" w:firstColumn="1" w:lastColumn="0" w:noHBand="0" w:noVBand="1"/>
      </w:tblPr>
      <w:tblGrid>
        <w:gridCol w:w="576"/>
        <w:gridCol w:w="796"/>
        <w:gridCol w:w="797"/>
        <w:gridCol w:w="797"/>
        <w:gridCol w:w="796"/>
        <w:gridCol w:w="797"/>
        <w:gridCol w:w="797"/>
        <w:gridCol w:w="797"/>
        <w:gridCol w:w="796"/>
        <w:gridCol w:w="797"/>
        <w:gridCol w:w="797"/>
        <w:gridCol w:w="797"/>
      </w:tblGrid>
      <w:tr w:rsidR="00AB238E" w:rsidRPr="00705903" w14:paraId="672EBFE0" w14:textId="77777777" w:rsidTr="00A4523E">
        <w:trPr>
          <w:cnfStyle w:val="100000000000" w:firstRow="1" w:lastRow="0" w:firstColumn="0" w:lastColumn="0" w:oddVBand="0" w:evenVBand="0" w:oddHBand="0" w:evenHBand="0" w:firstRowFirstColumn="0" w:firstRowLastColumn="0" w:lastRowFirstColumn="0" w:lastRowLastColumn="0"/>
          <w:cantSplit/>
          <w:trHeight w:val="1304"/>
        </w:trPr>
        <w:tc>
          <w:tcPr>
            <w:cnfStyle w:val="001000000000" w:firstRow="0" w:lastRow="0" w:firstColumn="1" w:lastColumn="0" w:oddVBand="0" w:evenVBand="0" w:oddHBand="0" w:evenHBand="0" w:firstRowFirstColumn="0" w:firstRowLastColumn="0" w:lastRowFirstColumn="0" w:lastRowLastColumn="0"/>
            <w:tcW w:w="0" w:type="auto"/>
            <w:textDirection w:val="btLr"/>
            <w:hideMark/>
          </w:tcPr>
          <w:p w14:paraId="1D86D9DD" w14:textId="77777777" w:rsidR="00AB238E" w:rsidRPr="00705903" w:rsidRDefault="00AB238E" w:rsidP="0097761F">
            <w:pPr>
              <w:spacing w:line="259" w:lineRule="auto"/>
              <w:ind w:left="113" w:right="113" w:firstLine="0"/>
              <w:jc w:val="both"/>
              <w:rPr>
                <w:b w:val="0"/>
                <w:bCs w:val="0"/>
                <w:sz w:val="18"/>
                <w:szCs w:val="18"/>
                <w:lang w:val="en-US"/>
              </w:rPr>
            </w:pPr>
            <w:r w:rsidRPr="00705903">
              <w:rPr>
                <w:b w:val="0"/>
                <w:bCs w:val="0"/>
                <w:sz w:val="18"/>
                <w:szCs w:val="18"/>
                <w:lang w:val="en-US"/>
              </w:rPr>
              <w:t>Year</w:t>
            </w:r>
          </w:p>
        </w:tc>
        <w:tc>
          <w:tcPr>
            <w:tcW w:w="796" w:type="dxa"/>
            <w:textDirection w:val="btLr"/>
            <w:hideMark/>
          </w:tcPr>
          <w:p w14:paraId="5960C7BA"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Energy</w:t>
            </w:r>
          </w:p>
        </w:tc>
        <w:tc>
          <w:tcPr>
            <w:tcW w:w="797" w:type="dxa"/>
            <w:textDirection w:val="btLr"/>
            <w:hideMark/>
          </w:tcPr>
          <w:p w14:paraId="70DB1F9B"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Materials</w:t>
            </w:r>
          </w:p>
        </w:tc>
        <w:tc>
          <w:tcPr>
            <w:tcW w:w="797" w:type="dxa"/>
            <w:textDirection w:val="btLr"/>
            <w:hideMark/>
          </w:tcPr>
          <w:p w14:paraId="215872E0"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Industrials</w:t>
            </w:r>
          </w:p>
        </w:tc>
        <w:tc>
          <w:tcPr>
            <w:tcW w:w="796" w:type="dxa"/>
            <w:textDirection w:val="btLr"/>
            <w:hideMark/>
          </w:tcPr>
          <w:p w14:paraId="593BAEB3"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Consumer Discretionary</w:t>
            </w:r>
          </w:p>
        </w:tc>
        <w:tc>
          <w:tcPr>
            <w:tcW w:w="797" w:type="dxa"/>
            <w:textDirection w:val="btLr"/>
            <w:hideMark/>
          </w:tcPr>
          <w:p w14:paraId="61A9F320"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Consumer Staples</w:t>
            </w:r>
          </w:p>
        </w:tc>
        <w:tc>
          <w:tcPr>
            <w:tcW w:w="797" w:type="dxa"/>
            <w:textDirection w:val="btLr"/>
            <w:hideMark/>
          </w:tcPr>
          <w:p w14:paraId="4FE0F442"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Health Care</w:t>
            </w:r>
          </w:p>
        </w:tc>
        <w:tc>
          <w:tcPr>
            <w:tcW w:w="797" w:type="dxa"/>
            <w:textDirection w:val="btLr"/>
            <w:hideMark/>
          </w:tcPr>
          <w:p w14:paraId="04075575"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Financials</w:t>
            </w:r>
          </w:p>
        </w:tc>
        <w:tc>
          <w:tcPr>
            <w:tcW w:w="796" w:type="dxa"/>
            <w:textDirection w:val="btLr"/>
            <w:hideMark/>
          </w:tcPr>
          <w:p w14:paraId="286615F0"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Information Technology</w:t>
            </w:r>
          </w:p>
        </w:tc>
        <w:tc>
          <w:tcPr>
            <w:tcW w:w="797" w:type="dxa"/>
            <w:textDirection w:val="btLr"/>
            <w:hideMark/>
          </w:tcPr>
          <w:p w14:paraId="6F646702"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Telecommunication Services</w:t>
            </w:r>
          </w:p>
        </w:tc>
        <w:tc>
          <w:tcPr>
            <w:tcW w:w="797" w:type="dxa"/>
            <w:textDirection w:val="btLr"/>
            <w:hideMark/>
          </w:tcPr>
          <w:p w14:paraId="79D0BB39"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Utilities</w:t>
            </w:r>
          </w:p>
        </w:tc>
        <w:tc>
          <w:tcPr>
            <w:tcW w:w="797" w:type="dxa"/>
            <w:textDirection w:val="btLr"/>
            <w:hideMark/>
          </w:tcPr>
          <w:p w14:paraId="57AB7184"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Real Estate</w:t>
            </w:r>
          </w:p>
        </w:tc>
      </w:tr>
      <w:tr w:rsidR="00AB238E" w:rsidRPr="00705903" w14:paraId="2E07A10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0783D5EF"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2007</w:t>
            </w:r>
          </w:p>
        </w:tc>
        <w:tc>
          <w:tcPr>
            <w:tcW w:w="796" w:type="dxa"/>
            <w:tcBorders>
              <w:bottom w:val="nil"/>
            </w:tcBorders>
            <w:hideMark/>
          </w:tcPr>
          <w:p w14:paraId="67B2F85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6.28</w:t>
            </w:r>
          </w:p>
        </w:tc>
        <w:tc>
          <w:tcPr>
            <w:tcW w:w="797" w:type="dxa"/>
            <w:tcBorders>
              <w:bottom w:val="nil"/>
            </w:tcBorders>
            <w:hideMark/>
          </w:tcPr>
          <w:p w14:paraId="57EDABC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10.88</w:t>
            </w:r>
          </w:p>
        </w:tc>
        <w:tc>
          <w:tcPr>
            <w:tcW w:w="797" w:type="dxa"/>
            <w:tcBorders>
              <w:bottom w:val="nil"/>
            </w:tcBorders>
            <w:hideMark/>
          </w:tcPr>
          <w:p w14:paraId="53E47F8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4.31</w:t>
            </w:r>
          </w:p>
        </w:tc>
        <w:tc>
          <w:tcPr>
            <w:tcW w:w="796" w:type="dxa"/>
            <w:tcBorders>
              <w:bottom w:val="nil"/>
            </w:tcBorders>
            <w:hideMark/>
          </w:tcPr>
          <w:p w14:paraId="7FFE719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5.42</w:t>
            </w:r>
          </w:p>
        </w:tc>
        <w:tc>
          <w:tcPr>
            <w:tcW w:w="797" w:type="dxa"/>
            <w:tcBorders>
              <w:bottom w:val="nil"/>
            </w:tcBorders>
            <w:hideMark/>
          </w:tcPr>
          <w:p w14:paraId="5F592D4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8.76</w:t>
            </w:r>
          </w:p>
        </w:tc>
        <w:tc>
          <w:tcPr>
            <w:tcW w:w="797" w:type="dxa"/>
            <w:tcBorders>
              <w:bottom w:val="nil"/>
            </w:tcBorders>
            <w:hideMark/>
          </w:tcPr>
          <w:p w14:paraId="7B2B2B9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7.30</w:t>
            </w:r>
          </w:p>
        </w:tc>
        <w:tc>
          <w:tcPr>
            <w:tcW w:w="797" w:type="dxa"/>
            <w:tcBorders>
              <w:bottom w:val="nil"/>
            </w:tcBorders>
            <w:hideMark/>
          </w:tcPr>
          <w:p w14:paraId="423483D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3.03</w:t>
            </w:r>
          </w:p>
        </w:tc>
        <w:tc>
          <w:tcPr>
            <w:tcW w:w="796" w:type="dxa"/>
            <w:tcBorders>
              <w:bottom w:val="nil"/>
            </w:tcBorders>
            <w:hideMark/>
          </w:tcPr>
          <w:p w14:paraId="73B3BC1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3.71</w:t>
            </w:r>
          </w:p>
        </w:tc>
        <w:tc>
          <w:tcPr>
            <w:tcW w:w="797" w:type="dxa"/>
            <w:tcBorders>
              <w:bottom w:val="nil"/>
            </w:tcBorders>
            <w:hideMark/>
          </w:tcPr>
          <w:p w14:paraId="514342B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1.48</w:t>
            </w:r>
          </w:p>
        </w:tc>
        <w:tc>
          <w:tcPr>
            <w:tcW w:w="797" w:type="dxa"/>
            <w:tcBorders>
              <w:bottom w:val="nil"/>
            </w:tcBorders>
            <w:hideMark/>
          </w:tcPr>
          <w:p w14:paraId="1C62BB8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4.66</w:t>
            </w:r>
          </w:p>
        </w:tc>
        <w:tc>
          <w:tcPr>
            <w:tcW w:w="797" w:type="dxa"/>
            <w:tcBorders>
              <w:bottom w:val="nil"/>
            </w:tcBorders>
            <w:hideMark/>
          </w:tcPr>
          <w:p w14:paraId="12C1C0A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2.44</w:t>
            </w:r>
          </w:p>
        </w:tc>
      </w:tr>
      <w:tr w:rsidR="00AB238E" w:rsidRPr="00705903" w14:paraId="56BF9849"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5B865E6"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2008</w:t>
            </w:r>
          </w:p>
        </w:tc>
        <w:tc>
          <w:tcPr>
            <w:tcW w:w="796" w:type="dxa"/>
            <w:tcBorders>
              <w:top w:val="nil"/>
              <w:bottom w:val="nil"/>
            </w:tcBorders>
            <w:hideMark/>
          </w:tcPr>
          <w:p w14:paraId="3E2A0DC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8.07</w:t>
            </w:r>
          </w:p>
        </w:tc>
        <w:tc>
          <w:tcPr>
            <w:tcW w:w="797" w:type="dxa"/>
            <w:tcBorders>
              <w:top w:val="nil"/>
              <w:bottom w:val="nil"/>
            </w:tcBorders>
            <w:hideMark/>
          </w:tcPr>
          <w:p w14:paraId="6E5F9AC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12.20</w:t>
            </w:r>
          </w:p>
        </w:tc>
        <w:tc>
          <w:tcPr>
            <w:tcW w:w="797" w:type="dxa"/>
            <w:tcBorders>
              <w:top w:val="nil"/>
              <w:bottom w:val="nil"/>
            </w:tcBorders>
            <w:hideMark/>
          </w:tcPr>
          <w:p w14:paraId="64C1BE6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6.22</w:t>
            </w:r>
          </w:p>
        </w:tc>
        <w:tc>
          <w:tcPr>
            <w:tcW w:w="796" w:type="dxa"/>
            <w:tcBorders>
              <w:top w:val="nil"/>
              <w:bottom w:val="nil"/>
            </w:tcBorders>
            <w:hideMark/>
          </w:tcPr>
          <w:p w14:paraId="77B3386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6.33</w:t>
            </w:r>
          </w:p>
        </w:tc>
        <w:tc>
          <w:tcPr>
            <w:tcW w:w="797" w:type="dxa"/>
            <w:tcBorders>
              <w:top w:val="nil"/>
              <w:bottom w:val="nil"/>
            </w:tcBorders>
            <w:hideMark/>
          </w:tcPr>
          <w:p w14:paraId="3188D63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9.34</w:t>
            </w:r>
          </w:p>
        </w:tc>
        <w:tc>
          <w:tcPr>
            <w:tcW w:w="797" w:type="dxa"/>
            <w:tcBorders>
              <w:top w:val="nil"/>
              <w:bottom w:val="nil"/>
            </w:tcBorders>
            <w:hideMark/>
          </w:tcPr>
          <w:p w14:paraId="698DBD9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9.24</w:t>
            </w:r>
          </w:p>
        </w:tc>
        <w:tc>
          <w:tcPr>
            <w:tcW w:w="797" w:type="dxa"/>
            <w:tcBorders>
              <w:top w:val="nil"/>
              <w:bottom w:val="nil"/>
            </w:tcBorders>
            <w:hideMark/>
          </w:tcPr>
          <w:p w14:paraId="7DAF0EA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5.47</w:t>
            </w:r>
          </w:p>
        </w:tc>
        <w:tc>
          <w:tcPr>
            <w:tcW w:w="796" w:type="dxa"/>
            <w:tcBorders>
              <w:top w:val="nil"/>
              <w:bottom w:val="nil"/>
            </w:tcBorders>
            <w:hideMark/>
          </w:tcPr>
          <w:p w14:paraId="3FD179A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5.49</w:t>
            </w:r>
          </w:p>
        </w:tc>
        <w:tc>
          <w:tcPr>
            <w:tcW w:w="797" w:type="dxa"/>
            <w:tcBorders>
              <w:top w:val="nil"/>
              <w:bottom w:val="nil"/>
            </w:tcBorders>
            <w:hideMark/>
          </w:tcPr>
          <w:p w14:paraId="6235C26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1.52</w:t>
            </w:r>
          </w:p>
        </w:tc>
        <w:tc>
          <w:tcPr>
            <w:tcW w:w="797" w:type="dxa"/>
            <w:tcBorders>
              <w:top w:val="nil"/>
              <w:bottom w:val="nil"/>
            </w:tcBorders>
            <w:hideMark/>
          </w:tcPr>
          <w:p w14:paraId="4370D4F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7.18</w:t>
            </w:r>
          </w:p>
        </w:tc>
        <w:tc>
          <w:tcPr>
            <w:tcW w:w="797" w:type="dxa"/>
            <w:tcBorders>
              <w:top w:val="nil"/>
              <w:bottom w:val="nil"/>
            </w:tcBorders>
            <w:hideMark/>
          </w:tcPr>
          <w:p w14:paraId="5AA7143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3.99</w:t>
            </w:r>
          </w:p>
        </w:tc>
      </w:tr>
      <w:tr w:rsidR="00AB238E" w:rsidRPr="00705903" w14:paraId="33DFE35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F421099"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2009</w:t>
            </w:r>
          </w:p>
        </w:tc>
        <w:tc>
          <w:tcPr>
            <w:tcW w:w="796" w:type="dxa"/>
            <w:tcBorders>
              <w:top w:val="nil"/>
              <w:bottom w:val="nil"/>
            </w:tcBorders>
            <w:hideMark/>
          </w:tcPr>
          <w:p w14:paraId="74837C8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8.60</w:t>
            </w:r>
          </w:p>
        </w:tc>
        <w:tc>
          <w:tcPr>
            <w:tcW w:w="797" w:type="dxa"/>
            <w:tcBorders>
              <w:top w:val="nil"/>
              <w:bottom w:val="nil"/>
            </w:tcBorders>
            <w:hideMark/>
          </w:tcPr>
          <w:p w14:paraId="734CEA5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12.81</w:t>
            </w:r>
          </w:p>
        </w:tc>
        <w:tc>
          <w:tcPr>
            <w:tcW w:w="797" w:type="dxa"/>
            <w:tcBorders>
              <w:top w:val="nil"/>
              <w:bottom w:val="nil"/>
            </w:tcBorders>
            <w:hideMark/>
          </w:tcPr>
          <w:p w14:paraId="68C6ADF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6.60</w:t>
            </w:r>
          </w:p>
        </w:tc>
        <w:tc>
          <w:tcPr>
            <w:tcW w:w="796" w:type="dxa"/>
            <w:tcBorders>
              <w:top w:val="nil"/>
              <w:bottom w:val="nil"/>
            </w:tcBorders>
            <w:hideMark/>
          </w:tcPr>
          <w:p w14:paraId="290DF7D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6.10</w:t>
            </w:r>
          </w:p>
        </w:tc>
        <w:tc>
          <w:tcPr>
            <w:tcW w:w="797" w:type="dxa"/>
            <w:tcBorders>
              <w:top w:val="nil"/>
              <w:bottom w:val="nil"/>
            </w:tcBorders>
            <w:hideMark/>
          </w:tcPr>
          <w:p w14:paraId="17EAA62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9.69</w:t>
            </w:r>
          </w:p>
        </w:tc>
        <w:tc>
          <w:tcPr>
            <w:tcW w:w="797" w:type="dxa"/>
            <w:tcBorders>
              <w:top w:val="nil"/>
              <w:bottom w:val="nil"/>
            </w:tcBorders>
            <w:hideMark/>
          </w:tcPr>
          <w:p w14:paraId="1FF55AA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9.23</w:t>
            </w:r>
          </w:p>
        </w:tc>
        <w:tc>
          <w:tcPr>
            <w:tcW w:w="797" w:type="dxa"/>
            <w:tcBorders>
              <w:top w:val="nil"/>
              <w:bottom w:val="nil"/>
            </w:tcBorders>
            <w:hideMark/>
          </w:tcPr>
          <w:p w14:paraId="22A441E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5.88</w:t>
            </w:r>
          </w:p>
        </w:tc>
        <w:tc>
          <w:tcPr>
            <w:tcW w:w="796" w:type="dxa"/>
            <w:tcBorders>
              <w:top w:val="nil"/>
              <w:bottom w:val="nil"/>
            </w:tcBorders>
            <w:hideMark/>
          </w:tcPr>
          <w:p w14:paraId="1281882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4.99</w:t>
            </w:r>
          </w:p>
        </w:tc>
        <w:tc>
          <w:tcPr>
            <w:tcW w:w="797" w:type="dxa"/>
            <w:tcBorders>
              <w:top w:val="nil"/>
              <w:bottom w:val="nil"/>
            </w:tcBorders>
            <w:hideMark/>
          </w:tcPr>
          <w:p w14:paraId="0E50E0F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2.25</w:t>
            </w:r>
          </w:p>
        </w:tc>
        <w:tc>
          <w:tcPr>
            <w:tcW w:w="797" w:type="dxa"/>
            <w:tcBorders>
              <w:top w:val="nil"/>
              <w:bottom w:val="nil"/>
            </w:tcBorders>
            <w:hideMark/>
          </w:tcPr>
          <w:p w14:paraId="4FD412D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7.72</w:t>
            </w:r>
          </w:p>
        </w:tc>
        <w:tc>
          <w:tcPr>
            <w:tcW w:w="797" w:type="dxa"/>
            <w:tcBorders>
              <w:top w:val="nil"/>
              <w:bottom w:val="nil"/>
            </w:tcBorders>
            <w:hideMark/>
          </w:tcPr>
          <w:p w14:paraId="15E2ABA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4.22</w:t>
            </w:r>
          </w:p>
        </w:tc>
      </w:tr>
      <w:tr w:rsidR="00AB238E" w:rsidRPr="00705903" w14:paraId="084A1B21"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F212087"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2010</w:t>
            </w:r>
          </w:p>
        </w:tc>
        <w:tc>
          <w:tcPr>
            <w:tcW w:w="796" w:type="dxa"/>
            <w:tcBorders>
              <w:top w:val="nil"/>
              <w:bottom w:val="nil"/>
            </w:tcBorders>
            <w:hideMark/>
          </w:tcPr>
          <w:p w14:paraId="24E99D0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8.20</w:t>
            </w:r>
          </w:p>
        </w:tc>
        <w:tc>
          <w:tcPr>
            <w:tcW w:w="797" w:type="dxa"/>
            <w:tcBorders>
              <w:top w:val="nil"/>
              <w:bottom w:val="nil"/>
            </w:tcBorders>
            <w:hideMark/>
          </w:tcPr>
          <w:p w14:paraId="313AFCE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12.58</w:t>
            </w:r>
          </w:p>
        </w:tc>
        <w:tc>
          <w:tcPr>
            <w:tcW w:w="797" w:type="dxa"/>
            <w:tcBorders>
              <w:top w:val="nil"/>
              <w:bottom w:val="nil"/>
            </w:tcBorders>
            <w:hideMark/>
          </w:tcPr>
          <w:p w14:paraId="3F04E31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6.19</w:t>
            </w:r>
          </w:p>
        </w:tc>
        <w:tc>
          <w:tcPr>
            <w:tcW w:w="796" w:type="dxa"/>
            <w:tcBorders>
              <w:top w:val="nil"/>
              <w:bottom w:val="nil"/>
            </w:tcBorders>
            <w:hideMark/>
          </w:tcPr>
          <w:p w14:paraId="3988B38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5.54</w:t>
            </w:r>
          </w:p>
        </w:tc>
        <w:tc>
          <w:tcPr>
            <w:tcW w:w="797" w:type="dxa"/>
            <w:tcBorders>
              <w:top w:val="nil"/>
              <w:bottom w:val="nil"/>
            </w:tcBorders>
            <w:hideMark/>
          </w:tcPr>
          <w:p w14:paraId="4C5C61D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9.05</w:t>
            </w:r>
          </w:p>
        </w:tc>
        <w:tc>
          <w:tcPr>
            <w:tcW w:w="797" w:type="dxa"/>
            <w:tcBorders>
              <w:top w:val="nil"/>
              <w:bottom w:val="nil"/>
            </w:tcBorders>
            <w:hideMark/>
          </w:tcPr>
          <w:p w14:paraId="0F2345F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7.60</w:t>
            </w:r>
          </w:p>
        </w:tc>
        <w:tc>
          <w:tcPr>
            <w:tcW w:w="797" w:type="dxa"/>
            <w:tcBorders>
              <w:top w:val="nil"/>
              <w:bottom w:val="nil"/>
            </w:tcBorders>
            <w:hideMark/>
          </w:tcPr>
          <w:p w14:paraId="5740A13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4.78</w:t>
            </w:r>
          </w:p>
        </w:tc>
        <w:tc>
          <w:tcPr>
            <w:tcW w:w="796" w:type="dxa"/>
            <w:tcBorders>
              <w:top w:val="nil"/>
              <w:bottom w:val="nil"/>
            </w:tcBorders>
            <w:hideMark/>
          </w:tcPr>
          <w:p w14:paraId="6574F46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4.64</w:t>
            </w:r>
          </w:p>
        </w:tc>
        <w:tc>
          <w:tcPr>
            <w:tcW w:w="797" w:type="dxa"/>
            <w:tcBorders>
              <w:top w:val="nil"/>
              <w:bottom w:val="nil"/>
            </w:tcBorders>
            <w:hideMark/>
          </w:tcPr>
          <w:p w14:paraId="52D0C2D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2.24</w:t>
            </w:r>
          </w:p>
        </w:tc>
        <w:tc>
          <w:tcPr>
            <w:tcW w:w="797" w:type="dxa"/>
            <w:tcBorders>
              <w:top w:val="nil"/>
              <w:bottom w:val="nil"/>
            </w:tcBorders>
            <w:hideMark/>
          </w:tcPr>
          <w:p w14:paraId="2DCFD7D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7.17</w:t>
            </w:r>
          </w:p>
        </w:tc>
        <w:tc>
          <w:tcPr>
            <w:tcW w:w="797" w:type="dxa"/>
            <w:tcBorders>
              <w:top w:val="nil"/>
              <w:bottom w:val="nil"/>
            </w:tcBorders>
            <w:hideMark/>
          </w:tcPr>
          <w:p w14:paraId="1998719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3.51</w:t>
            </w:r>
          </w:p>
        </w:tc>
      </w:tr>
      <w:tr w:rsidR="00AB238E" w:rsidRPr="00705903" w14:paraId="23519FC8"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DFF64BB"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2011</w:t>
            </w:r>
          </w:p>
        </w:tc>
        <w:tc>
          <w:tcPr>
            <w:tcW w:w="796" w:type="dxa"/>
            <w:tcBorders>
              <w:top w:val="nil"/>
              <w:bottom w:val="nil"/>
            </w:tcBorders>
            <w:hideMark/>
          </w:tcPr>
          <w:p w14:paraId="69C8260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9.64</w:t>
            </w:r>
          </w:p>
        </w:tc>
        <w:tc>
          <w:tcPr>
            <w:tcW w:w="797" w:type="dxa"/>
            <w:tcBorders>
              <w:top w:val="nil"/>
              <w:bottom w:val="nil"/>
            </w:tcBorders>
            <w:hideMark/>
          </w:tcPr>
          <w:p w14:paraId="3E68FC4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12.62</w:t>
            </w:r>
          </w:p>
        </w:tc>
        <w:tc>
          <w:tcPr>
            <w:tcW w:w="797" w:type="dxa"/>
            <w:tcBorders>
              <w:top w:val="nil"/>
              <w:bottom w:val="nil"/>
            </w:tcBorders>
            <w:hideMark/>
          </w:tcPr>
          <w:p w14:paraId="5CA2AF5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6.26</w:t>
            </w:r>
          </w:p>
        </w:tc>
        <w:tc>
          <w:tcPr>
            <w:tcW w:w="796" w:type="dxa"/>
            <w:tcBorders>
              <w:top w:val="nil"/>
              <w:bottom w:val="nil"/>
            </w:tcBorders>
            <w:hideMark/>
          </w:tcPr>
          <w:p w14:paraId="682D995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5.37</w:t>
            </w:r>
          </w:p>
        </w:tc>
        <w:tc>
          <w:tcPr>
            <w:tcW w:w="797" w:type="dxa"/>
            <w:tcBorders>
              <w:top w:val="nil"/>
              <w:bottom w:val="nil"/>
            </w:tcBorders>
            <w:hideMark/>
          </w:tcPr>
          <w:p w14:paraId="386148D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8.90</w:t>
            </w:r>
          </w:p>
        </w:tc>
        <w:tc>
          <w:tcPr>
            <w:tcW w:w="797" w:type="dxa"/>
            <w:tcBorders>
              <w:top w:val="nil"/>
              <w:bottom w:val="nil"/>
            </w:tcBorders>
            <w:hideMark/>
          </w:tcPr>
          <w:p w14:paraId="0733776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7.81</w:t>
            </w:r>
          </w:p>
        </w:tc>
        <w:tc>
          <w:tcPr>
            <w:tcW w:w="797" w:type="dxa"/>
            <w:tcBorders>
              <w:top w:val="nil"/>
              <w:bottom w:val="nil"/>
            </w:tcBorders>
            <w:hideMark/>
          </w:tcPr>
          <w:p w14:paraId="5C799A5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4.84</w:t>
            </w:r>
          </w:p>
        </w:tc>
        <w:tc>
          <w:tcPr>
            <w:tcW w:w="796" w:type="dxa"/>
            <w:tcBorders>
              <w:top w:val="nil"/>
              <w:bottom w:val="nil"/>
            </w:tcBorders>
            <w:hideMark/>
          </w:tcPr>
          <w:p w14:paraId="4021E9B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4.32</w:t>
            </w:r>
          </w:p>
        </w:tc>
        <w:tc>
          <w:tcPr>
            <w:tcW w:w="797" w:type="dxa"/>
            <w:tcBorders>
              <w:top w:val="nil"/>
              <w:bottom w:val="nil"/>
            </w:tcBorders>
            <w:hideMark/>
          </w:tcPr>
          <w:p w14:paraId="70101EF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2.25</w:t>
            </w:r>
          </w:p>
        </w:tc>
        <w:tc>
          <w:tcPr>
            <w:tcW w:w="797" w:type="dxa"/>
            <w:tcBorders>
              <w:top w:val="nil"/>
              <w:bottom w:val="nil"/>
            </w:tcBorders>
            <w:hideMark/>
          </w:tcPr>
          <w:p w14:paraId="3580015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6.33</w:t>
            </w:r>
          </w:p>
        </w:tc>
        <w:tc>
          <w:tcPr>
            <w:tcW w:w="797" w:type="dxa"/>
            <w:tcBorders>
              <w:top w:val="nil"/>
              <w:bottom w:val="nil"/>
            </w:tcBorders>
            <w:hideMark/>
          </w:tcPr>
          <w:p w14:paraId="0AC0D90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2.89</w:t>
            </w:r>
          </w:p>
        </w:tc>
      </w:tr>
      <w:tr w:rsidR="00AB238E" w:rsidRPr="00705903" w14:paraId="74B7CACA"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D6B79C6"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2012</w:t>
            </w:r>
          </w:p>
        </w:tc>
        <w:tc>
          <w:tcPr>
            <w:tcW w:w="796" w:type="dxa"/>
            <w:tcBorders>
              <w:top w:val="nil"/>
              <w:bottom w:val="nil"/>
            </w:tcBorders>
            <w:hideMark/>
          </w:tcPr>
          <w:p w14:paraId="6F2B6AA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9.46</w:t>
            </w:r>
          </w:p>
        </w:tc>
        <w:tc>
          <w:tcPr>
            <w:tcW w:w="797" w:type="dxa"/>
            <w:tcBorders>
              <w:top w:val="nil"/>
              <w:bottom w:val="nil"/>
            </w:tcBorders>
            <w:hideMark/>
          </w:tcPr>
          <w:p w14:paraId="6FA7A50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15.01</w:t>
            </w:r>
          </w:p>
        </w:tc>
        <w:tc>
          <w:tcPr>
            <w:tcW w:w="797" w:type="dxa"/>
            <w:tcBorders>
              <w:top w:val="nil"/>
              <w:bottom w:val="nil"/>
            </w:tcBorders>
            <w:hideMark/>
          </w:tcPr>
          <w:p w14:paraId="0D73742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7.28</w:t>
            </w:r>
          </w:p>
        </w:tc>
        <w:tc>
          <w:tcPr>
            <w:tcW w:w="796" w:type="dxa"/>
            <w:tcBorders>
              <w:top w:val="nil"/>
              <w:bottom w:val="nil"/>
            </w:tcBorders>
            <w:hideMark/>
          </w:tcPr>
          <w:p w14:paraId="213B0DC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6.83</w:t>
            </w:r>
          </w:p>
        </w:tc>
        <w:tc>
          <w:tcPr>
            <w:tcW w:w="797" w:type="dxa"/>
            <w:tcBorders>
              <w:top w:val="nil"/>
              <w:bottom w:val="nil"/>
            </w:tcBorders>
            <w:hideMark/>
          </w:tcPr>
          <w:p w14:paraId="718D35F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9.95</w:t>
            </w:r>
          </w:p>
        </w:tc>
        <w:tc>
          <w:tcPr>
            <w:tcW w:w="797" w:type="dxa"/>
            <w:tcBorders>
              <w:top w:val="nil"/>
              <w:bottom w:val="nil"/>
            </w:tcBorders>
            <w:hideMark/>
          </w:tcPr>
          <w:p w14:paraId="515BD29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9.96</w:t>
            </w:r>
          </w:p>
        </w:tc>
        <w:tc>
          <w:tcPr>
            <w:tcW w:w="797" w:type="dxa"/>
            <w:tcBorders>
              <w:top w:val="nil"/>
              <w:bottom w:val="nil"/>
            </w:tcBorders>
            <w:hideMark/>
          </w:tcPr>
          <w:p w14:paraId="4AAADBE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4.93</w:t>
            </w:r>
          </w:p>
        </w:tc>
        <w:tc>
          <w:tcPr>
            <w:tcW w:w="796" w:type="dxa"/>
            <w:tcBorders>
              <w:top w:val="nil"/>
              <w:bottom w:val="nil"/>
            </w:tcBorders>
            <w:hideMark/>
          </w:tcPr>
          <w:p w14:paraId="17C3CA3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4.80</w:t>
            </w:r>
          </w:p>
        </w:tc>
        <w:tc>
          <w:tcPr>
            <w:tcW w:w="797" w:type="dxa"/>
            <w:tcBorders>
              <w:top w:val="nil"/>
              <w:bottom w:val="nil"/>
            </w:tcBorders>
            <w:hideMark/>
          </w:tcPr>
          <w:p w14:paraId="4D32A0B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2.23</w:t>
            </w:r>
          </w:p>
        </w:tc>
        <w:tc>
          <w:tcPr>
            <w:tcW w:w="797" w:type="dxa"/>
            <w:tcBorders>
              <w:top w:val="nil"/>
              <w:bottom w:val="nil"/>
            </w:tcBorders>
            <w:hideMark/>
          </w:tcPr>
          <w:p w14:paraId="2A4D41F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6.72</w:t>
            </w:r>
          </w:p>
        </w:tc>
        <w:tc>
          <w:tcPr>
            <w:tcW w:w="797" w:type="dxa"/>
            <w:tcBorders>
              <w:top w:val="nil"/>
              <w:bottom w:val="nil"/>
            </w:tcBorders>
            <w:hideMark/>
          </w:tcPr>
          <w:p w14:paraId="70E74E6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2.99</w:t>
            </w:r>
          </w:p>
        </w:tc>
      </w:tr>
      <w:tr w:rsidR="00AB238E" w:rsidRPr="00705903" w14:paraId="66D35EE2"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9EB8D83"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2013</w:t>
            </w:r>
          </w:p>
        </w:tc>
        <w:tc>
          <w:tcPr>
            <w:tcW w:w="796" w:type="dxa"/>
            <w:tcBorders>
              <w:top w:val="nil"/>
              <w:bottom w:val="nil"/>
            </w:tcBorders>
            <w:hideMark/>
          </w:tcPr>
          <w:p w14:paraId="6CA0A43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9.80</w:t>
            </w:r>
          </w:p>
        </w:tc>
        <w:tc>
          <w:tcPr>
            <w:tcW w:w="797" w:type="dxa"/>
            <w:tcBorders>
              <w:top w:val="nil"/>
              <w:bottom w:val="nil"/>
            </w:tcBorders>
            <w:hideMark/>
          </w:tcPr>
          <w:p w14:paraId="69C9CD9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16.91</w:t>
            </w:r>
          </w:p>
        </w:tc>
        <w:tc>
          <w:tcPr>
            <w:tcW w:w="797" w:type="dxa"/>
            <w:tcBorders>
              <w:top w:val="nil"/>
              <w:bottom w:val="nil"/>
            </w:tcBorders>
            <w:hideMark/>
          </w:tcPr>
          <w:p w14:paraId="7DE0150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7.65</w:t>
            </w:r>
          </w:p>
        </w:tc>
        <w:tc>
          <w:tcPr>
            <w:tcW w:w="796" w:type="dxa"/>
            <w:tcBorders>
              <w:top w:val="nil"/>
              <w:bottom w:val="nil"/>
            </w:tcBorders>
            <w:hideMark/>
          </w:tcPr>
          <w:p w14:paraId="1892C5B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7.38</w:t>
            </w:r>
          </w:p>
        </w:tc>
        <w:tc>
          <w:tcPr>
            <w:tcW w:w="797" w:type="dxa"/>
            <w:tcBorders>
              <w:top w:val="nil"/>
              <w:bottom w:val="nil"/>
            </w:tcBorders>
            <w:hideMark/>
          </w:tcPr>
          <w:p w14:paraId="51B6FAB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10.46</w:t>
            </w:r>
          </w:p>
        </w:tc>
        <w:tc>
          <w:tcPr>
            <w:tcW w:w="797" w:type="dxa"/>
            <w:tcBorders>
              <w:top w:val="nil"/>
              <w:bottom w:val="nil"/>
            </w:tcBorders>
            <w:hideMark/>
          </w:tcPr>
          <w:p w14:paraId="73BDB33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11.25</w:t>
            </w:r>
          </w:p>
        </w:tc>
        <w:tc>
          <w:tcPr>
            <w:tcW w:w="797" w:type="dxa"/>
            <w:tcBorders>
              <w:top w:val="nil"/>
              <w:bottom w:val="nil"/>
            </w:tcBorders>
            <w:hideMark/>
          </w:tcPr>
          <w:p w14:paraId="4F90682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4.97</w:t>
            </w:r>
          </w:p>
        </w:tc>
        <w:tc>
          <w:tcPr>
            <w:tcW w:w="796" w:type="dxa"/>
            <w:tcBorders>
              <w:top w:val="nil"/>
              <w:bottom w:val="nil"/>
            </w:tcBorders>
            <w:hideMark/>
          </w:tcPr>
          <w:p w14:paraId="71F82B5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5.09</w:t>
            </w:r>
          </w:p>
        </w:tc>
        <w:tc>
          <w:tcPr>
            <w:tcW w:w="797" w:type="dxa"/>
            <w:tcBorders>
              <w:top w:val="nil"/>
              <w:bottom w:val="nil"/>
            </w:tcBorders>
            <w:hideMark/>
          </w:tcPr>
          <w:p w14:paraId="58A3383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4.04</w:t>
            </w:r>
          </w:p>
        </w:tc>
        <w:tc>
          <w:tcPr>
            <w:tcW w:w="797" w:type="dxa"/>
            <w:tcBorders>
              <w:top w:val="nil"/>
              <w:bottom w:val="nil"/>
            </w:tcBorders>
            <w:hideMark/>
          </w:tcPr>
          <w:p w14:paraId="08AF814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7.10</w:t>
            </w:r>
          </w:p>
        </w:tc>
        <w:tc>
          <w:tcPr>
            <w:tcW w:w="797" w:type="dxa"/>
            <w:tcBorders>
              <w:top w:val="nil"/>
              <w:bottom w:val="nil"/>
            </w:tcBorders>
            <w:hideMark/>
          </w:tcPr>
          <w:p w14:paraId="4FFE38B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3.11</w:t>
            </w:r>
          </w:p>
        </w:tc>
      </w:tr>
      <w:tr w:rsidR="00AB238E" w:rsidRPr="00705903" w14:paraId="08D1FA38"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5EBF518"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2014</w:t>
            </w:r>
          </w:p>
        </w:tc>
        <w:tc>
          <w:tcPr>
            <w:tcW w:w="796" w:type="dxa"/>
            <w:tcBorders>
              <w:top w:val="nil"/>
              <w:bottom w:val="nil"/>
            </w:tcBorders>
            <w:hideMark/>
          </w:tcPr>
          <w:p w14:paraId="5826704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12.41</w:t>
            </w:r>
          </w:p>
        </w:tc>
        <w:tc>
          <w:tcPr>
            <w:tcW w:w="797" w:type="dxa"/>
            <w:tcBorders>
              <w:top w:val="nil"/>
              <w:bottom w:val="nil"/>
            </w:tcBorders>
            <w:hideMark/>
          </w:tcPr>
          <w:p w14:paraId="55AD8C4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17.23</w:t>
            </w:r>
          </w:p>
        </w:tc>
        <w:tc>
          <w:tcPr>
            <w:tcW w:w="797" w:type="dxa"/>
            <w:tcBorders>
              <w:top w:val="nil"/>
              <w:bottom w:val="nil"/>
            </w:tcBorders>
            <w:hideMark/>
          </w:tcPr>
          <w:p w14:paraId="7DECA7F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8.48</w:t>
            </w:r>
          </w:p>
        </w:tc>
        <w:tc>
          <w:tcPr>
            <w:tcW w:w="796" w:type="dxa"/>
            <w:tcBorders>
              <w:top w:val="nil"/>
              <w:bottom w:val="nil"/>
            </w:tcBorders>
            <w:hideMark/>
          </w:tcPr>
          <w:p w14:paraId="7AF46C7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7.88</w:t>
            </w:r>
          </w:p>
        </w:tc>
        <w:tc>
          <w:tcPr>
            <w:tcW w:w="797" w:type="dxa"/>
            <w:tcBorders>
              <w:top w:val="nil"/>
              <w:bottom w:val="nil"/>
            </w:tcBorders>
            <w:hideMark/>
          </w:tcPr>
          <w:p w14:paraId="0DF22B3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11.23</w:t>
            </w:r>
          </w:p>
        </w:tc>
        <w:tc>
          <w:tcPr>
            <w:tcW w:w="797" w:type="dxa"/>
            <w:tcBorders>
              <w:top w:val="nil"/>
              <w:bottom w:val="nil"/>
            </w:tcBorders>
            <w:hideMark/>
          </w:tcPr>
          <w:p w14:paraId="1E70749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12.64</w:t>
            </w:r>
          </w:p>
        </w:tc>
        <w:tc>
          <w:tcPr>
            <w:tcW w:w="797" w:type="dxa"/>
            <w:tcBorders>
              <w:top w:val="nil"/>
              <w:bottom w:val="nil"/>
            </w:tcBorders>
            <w:hideMark/>
          </w:tcPr>
          <w:p w14:paraId="5B355A4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5.40</w:t>
            </w:r>
          </w:p>
        </w:tc>
        <w:tc>
          <w:tcPr>
            <w:tcW w:w="796" w:type="dxa"/>
            <w:tcBorders>
              <w:top w:val="nil"/>
              <w:bottom w:val="nil"/>
            </w:tcBorders>
            <w:hideMark/>
          </w:tcPr>
          <w:p w14:paraId="28D57A6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5.11</w:t>
            </w:r>
          </w:p>
        </w:tc>
        <w:tc>
          <w:tcPr>
            <w:tcW w:w="797" w:type="dxa"/>
            <w:tcBorders>
              <w:top w:val="nil"/>
              <w:bottom w:val="nil"/>
            </w:tcBorders>
            <w:hideMark/>
          </w:tcPr>
          <w:p w14:paraId="20C5EA7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4.06</w:t>
            </w:r>
          </w:p>
        </w:tc>
        <w:tc>
          <w:tcPr>
            <w:tcW w:w="797" w:type="dxa"/>
            <w:tcBorders>
              <w:top w:val="nil"/>
              <w:bottom w:val="nil"/>
            </w:tcBorders>
            <w:hideMark/>
          </w:tcPr>
          <w:p w14:paraId="63C05BF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7.96</w:t>
            </w:r>
          </w:p>
        </w:tc>
        <w:tc>
          <w:tcPr>
            <w:tcW w:w="797" w:type="dxa"/>
            <w:tcBorders>
              <w:top w:val="nil"/>
              <w:bottom w:val="nil"/>
            </w:tcBorders>
            <w:hideMark/>
          </w:tcPr>
          <w:p w14:paraId="6594642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3.28</w:t>
            </w:r>
          </w:p>
        </w:tc>
      </w:tr>
      <w:tr w:rsidR="00AB238E" w:rsidRPr="00705903" w14:paraId="67E76A54"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A78DA9B"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2015</w:t>
            </w:r>
          </w:p>
        </w:tc>
        <w:tc>
          <w:tcPr>
            <w:tcW w:w="796" w:type="dxa"/>
            <w:tcBorders>
              <w:top w:val="nil"/>
              <w:bottom w:val="nil"/>
            </w:tcBorders>
            <w:hideMark/>
          </w:tcPr>
          <w:p w14:paraId="0967693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12.67</w:t>
            </w:r>
          </w:p>
        </w:tc>
        <w:tc>
          <w:tcPr>
            <w:tcW w:w="797" w:type="dxa"/>
            <w:tcBorders>
              <w:top w:val="nil"/>
              <w:bottom w:val="nil"/>
            </w:tcBorders>
            <w:hideMark/>
          </w:tcPr>
          <w:p w14:paraId="5F3C350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18.34</w:t>
            </w:r>
          </w:p>
        </w:tc>
        <w:tc>
          <w:tcPr>
            <w:tcW w:w="797" w:type="dxa"/>
            <w:tcBorders>
              <w:top w:val="nil"/>
              <w:bottom w:val="nil"/>
            </w:tcBorders>
            <w:hideMark/>
          </w:tcPr>
          <w:p w14:paraId="23CB236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8.71</w:t>
            </w:r>
          </w:p>
        </w:tc>
        <w:tc>
          <w:tcPr>
            <w:tcW w:w="796" w:type="dxa"/>
            <w:tcBorders>
              <w:top w:val="nil"/>
              <w:bottom w:val="nil"/>
            </w:tcBorders>
            <w:hideMark/>
          </w:tcPr>
          <w:p w14:paraId="431A532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8.03</w:t>
            </w:r>
          </w:p>
        </w:tc>
        <w:tc>
          <w:tcPr>
            <w:tcW w:w="797" w:type="dxa"/>
            <w:tcBorders>
              <w:top w:val="nil"/>
              <w:bottom w:val="nil"/>
            </w:tcBorders>
            <w:hideMark/>
          </w:tcPr>
          <w:p w14:paraId="63F3E69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11.25</w:t>
            </w:r>
          </w:p>
        </w:tc>
        <w:tc>
          <w:tcPr>
            <w:tcW w:w="797" w:type="dxa"/>
            <w:tcBorders>
              <w:top w:val="nil"/>
              <w:bottom w:val="nil"/>
            </w:tcBorders>
            <w:hideMark/>
          </w:tcPr>
          <w:p w14:paraId="1EE2F5C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12.58</w:t>
            </w:r>
          </w:p>
        </w:tc>
        <w:tc>
          <w:tcPr>
            <w:tcW w:w="797" w:type="dxa"/>
            <w:tcBorders>
              <w:top w:val="nil"/>
              <w:bottom w:val="nil"/>
            </w:tcBorders>
            <w:hideMark/>
          </w:tcPr>
          <w:p w14:paraId="03FB4D2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5.27</w:t>
            </w:r>
          </w:p>
        </w:tc>
        <w:tc>
          <w:tcPr>
            <w:tcW w:w="796" w:type="dxa"/>
            <w:tcBorders>
              <w:top w:val="nil"/>
              <w:bottom w:val="nil"/>
            </w:tcBorders>
            <w:hideMark/>
          </w:tcPr>
          <w:p w14:paraId="5ACB88B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5.38</w:t>
            </w:r>
          </w:p>
        </w:tc>
        <w:tc>
          <w:tcPr>
            <w:tcW w:w="797" w:type="dxa"/>
            <w:tcBorders>
              <w:top w:val="nil"/>
              <w:bottom w:val="nil"/>
            </w:tcBorders>
            <w:hideMark/>
          </w:tcPr>
          <w:p w14:paraId="4D47B8A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4.08</w:t>
            </w:r>
          </w:p>
        </w:tc>
        <w:tc>
          <w:tcPr>
            <w:tcW w:w="797" w:type="dxa"/>
            <w:tcBorders>
              <w:top w:val="nil"/>
              <w:bottom w:val="nil"/>
            </w:tcBorders>
            <w:hideMark/>
          </w:tcPr>
          <w:p w14:paraId="5382D98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9.16</w:t>
            </w:r>
          </w:p>
        </w:tc>
        <w:tc>
          <w:tcPr>
            <w:tcW w:w="797" w:type="dxa"/>
            <w:tcBorders>
              <w:top w:val="nil"/>
              <w:bottom w:val="nil"/>
            </w:tcBorders>
            <w:hideMark/>
          </w:tcPr>
          <w:p w14:paraId="5DDFA5C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3.21</w:t>
            </w:r>
          </w:p>
        </w:tc>
      </w:tr>
      <w:tr w:rsidR="00AB238E" w:rsidRPr="00705903" w14:paraId="118DDF22"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3E70AB5"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2016</w:t>
            </w:r>
          </w:p>
        </w:tc>
        <w:tc>
          <w:tcPr>
            <w:tcW w:w="796" w:type="dxa"/>
            <w:tcBorders>
              <w:top w:val="nil"/>
              <w:bottom w:val="nil"/>
            </w:tcBorders>
            <w:hideMark/>
          </w:tcPr>
          <w:p w14:paraId="419294B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13.40</w:t>
            </w:r>
          </w:p>
        </w:tc>
        <w:tc>
          <w:tcPr>
            <w:tcW w:w="797" w:type="dxa"/>
            <w:tcBorders>
              <w:top w:val="nil"/>
              <w:bottom w:val="nil"/>
            </w:tcBorders>
            <w:hideMark/>
          </w:tcPr>
          <w:p w14:paraId="2F5F73C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19.60</w:t>
            </w:r>
          </w:p>
        </w:tc>
        <w:tc>
          <w:tcPr>
            <w:tcW w:w="797" w:type="dxa"/>
            <w:tcBorders>
              <w:top w:val="nil"/>
              <w:bottom w:val="nil"/>
            </w:tcBorders>
            <w:hideMark/>
          </w:tcPr>
          <w:p w14:paraId="7BE9E14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9.40</w:t>
            </w:r>
          </w:p>
        </w:tc>
        <w:tc>
          <w:tcPr>
            <w:tcW w:w="796" w:type="dxa"/>
            <w:tcBorders>
              <w:top w:val="nil"/>
              <w:bottom w:val="nil"/>
            </w:tcBorders>
            <w:hideMark/>
          </w:tcPr>
          <w:p w14:paraId="567432E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8.08</w:t>
            </w:r>
          </w:p>
        </w:tc>
        <w:tc>
          <w:tcPr>
            <w:tcW w:w="797" w:type="dxa"/>
            <w:tcBorders>
              <w:top w:val="nil"/>
              <w:bottom w:val="nil"/>
            </w:tcBorders>
            <w:hideMark/>
          </w:tcPr>
          <w:p w14:paraId="42D217D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11.61</w:t>
            </w:r>
          </w:p>
        </w:tc>
        <w:tc>
          <w:tcPr>
            <w:tcW w:w="797" w:type="dxa"/>
            <w:tcBorders>
              <w:top w:val="nil"/>
              <w:bottom w:val="nil"/>
            </w:tcBorders>
            <w:hideMark/>
          </w:tcPr>
          <w:p w14:paraId="10E9955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12.46</w:t>
            </w:r>
          </w:p>
        </w:tc>
        <w:tc>
          <w:tcPr>
            <w:tcW w:w="797" w:type="dxa"/>
            <w:tcBorders>
              <w:top w:val="nil"/>
              <w:bottom w:val="nil"/>
            </w:tcBorders>
            <w:hideMark/>
          </w:tcPr>
          <w:p w14:paraId="6C12ABE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5.90</w:t>
            </w:r>
          </w:p>
        </w:tc>
        <w:tc>
          <w:tcPr>
            <w:tcW w:w="796" w:type="dxa"/>
            <w:tcBorders>
              <w:top w:val="nil"/>
              <w:bottom w:val="nil"/>
            </w:tcBorders>
            <w:hideMark/>
          </w:tcPr>
          <w:p w14:paraId="2358B3F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5.64</w:t>
            </w:r>
          </w:p>
        </w:tc>
        <w:tc>
          <w:tcPr>
            <w:tcW w:w="797" w:type="dxa"/>
            <w:tcBorders>
              <w:top w:val="nil"/>
              <w:bottom w:val="nil"/>
            </w:tcBorders>
            <w:hideMark/>
          </w:tcPr>
          <w:p w14:paraId="1CFC499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5.25</w:t>
            </w:r>
          </w:p>
        </w:tc>
        <w:tc>
          <w:tcPr>
            <w:tcW w:w="797" w:type="dxa"/>
            <w:tcBorders>
              <w:top w:val="nil"/>
              <w:bottom w:val="nil"/>
            </w:tcBorders>
            <w:hideMark/>
          </w:tcPr>
          <w:p w14:paraId="15A1122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9.35</w:t>
            </w:r>
          </w:p>
        </w:tc>
        <w:tc>
          <w:tcPr>
            <w:tcW w:w="797" w:type="dxa"/>
            <w:tcBorders>
              <w:top w:val="nil"/>
              <w:bottom w:val="nil"/>
            </w:tcBorders>
            <w:hideMark/>
          </w:tcPr>
          <w:p w14:paraId="5F42679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3.02</w:t>
            </w:r>
          </w:p>
        </w:tc>
      </w:tr>
      <w:tr w:rsidR="00AB238E" w:rsidRPr="00705903" w14:paraId="66EED16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AB5E0D0"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2017</w:t>
            </w:r>
          </w:p>
        </w:tc>
        <w:tc>
          <w:tcPr>
            <w:tcW w:w="796" w:type="dxa"/>
            <w:tcBorders>
              <w:top w:val="nil"/>
              <w:bottom w:val="nil"/>
            </w:tcBorders>
            <w:hideMark/>
          </w:tcPr>
          <w:p w14:paraId="7E7E4DA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16.53</w:t>
            </w:r>
          </w:p>
        </w:tc>
        <w:tc>
          <w:tcPr>
            <w:tcW w:w="797" w:type="dxa"/>
            <w:tcBorders>
              <w:top w:val="nil"/>
              <w:bottom w:val="nil"/>
            </w:tcBorders>
            <w:hideMark/>
          </w:tcPr>
          <w:p w14:paraId="4E75BB1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22.64</w:t>
            </w:r>
          </w:p>
        </w:tc>
        <w:tc>
          <w:tcPr>
            <w:tcW w:w="797" w:type="dxa"/>
            <w:tcBorders>
              <w:top w:val="nil"/>
              <w:bottom w:val="nil"/>
            </w:tcBorders>
            <w:hideMark/>
          </w:tcPr>
          <w:p w14:paraId="1597167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10.89</w:t>
            </w:r>
          </w:p>
        </w:tc>
        <w:tc>
          <w:tcPr>
            <w:tcW w:w="796" w:type="dxa"/>
            <w:tcBorders>
              <w:top w:val="nil"/>
              <w:bottom w:val="nil"/>
            </w:tcBorders>
            <w:hideMark/>
          </w:tcPr>
          <w:p w14:paraId="60463E3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9.05</w:t>
            </w:r>
          </w:p>
        </w:tc>
        <w:tc>
          <w:tcPr>
            <w:tcW w:w="797" w:type="dxa"/>
            <w:tcBorders>
              <w:top w:val="nil"/>
              <w:bottom w:val="nil"/>
            </w:tcBorders>
            <w:hideMark/>
          </w:tcPr>
          <w:p w14:paraId="01CD42B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15.47</w:t>
            </w:r>
          </w:p>
        </w:tc>
        <w:tc>
          <w:tcPr>
            <w:tcW w:w="797" w:type="dxa"/>
            <w:tcBorders>
              <w:top w:val="nil"/>
              <w:bottom w:val="nil"/>
            </w:tcBorders>
            <w:hideMark/>
          </w:tcPr>
          <w:p w14:paraId="3A84F03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14.47</w:t>
            </w:r>
          </w:p>
        </w:tc>
        <w:tc>
          <w:tcPr>
            <w:tcW w:w="797" w:type="dxa"/>
            <w:tcBorders>
              <w:top w:val="nil"/>
              <w:bottom w:val="nil"/>
            </w:tcBorders>
            <w:hideMark/>
          </w:tcPr>
          <w:p w14:paraId="190085B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6.21</w:t>
            </w:r>
          </w:p>
        </w:tc>
        <w:tc>
          <w:tcPr>
            <w:tcW w:w="796" w:type="dxa"/>
            <w:tcBorders>
              <w:top w:val="nil"/>
              <w:bottom w:val="nil"/>
            </w:tcBorders>
            <w:hideMark/>
          </w:tcPr>
          <w:p w14:paraId="4416812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6.47</w:t>
            </w:r>
          </w:p>
        </w:tc>
        <w:tc>
          <w:tcPr>
            <w:tcW w:w="797" w:type="dxa"/>
            <w:tcBorders>
              <w:top w:val="nil"/>
              <w:bottom w:val="nil"/>
            </w:tcBorders>
            <w:hideMark/>
          </w:tcPr>
          <w:p w14:paraId="2E651CB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1.88</w:t>
            </w:r>
          </w:p>
        </w:tc>
        <w:tc>
          <w:tcPr>
            <w:tcW w:w="797" w:type="dxa"/>
            <w:tcBorders>
              <w:top w:val="nil"/>
              <w:bottom w:val="nil"/>
            </w:tcBorders>
            <w:hideMark/>
          </w:tcPr>
          <w:p w14:paraId="780C769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10.70</w:t>
            </w:r>
          </w:p>
        </w:tc>
        <w:tc>
          <w:tcPr>
            <w:tcW w:w="797" w:type="dxa"/>
            <w:tcBorders>
              <w:top w:val="nil"/>
              <w:bottom w:val="nil"/>
            </w:tcBorders>
            <w:hideMark/>
          </w:tcPr>
          <w:p w14:paraId="112F843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3.84</w:t>
            </w:r>
          </w:p>
        </w:tc>
      </w:tr>
      <w:tr w:rsidR="00AB238E" w:rsidRPr="00705903" w14:paraId="4B9A6DF3"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2E4E79C"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2018</w:t>
            </w:r>
          </w:p>
        </w:tc>
        <w:tc>
          <w:tcPr>
            <w:tcW w:w="796" w:type="dxa"/>
            <w:tcBorders>
              <w:top w:val="nil"/>
              <w:bottom w:val="nil"/>
            </w:tcBorders>
            <w:hideMark/>
          </w:tcPr>
          <w:p w14:paraId="5296418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17.73</w:t>
            </w:r>
          </w:p>
        </w:tc>
        <w:tc>
          <w:tcPr>
            <w:tcW w:w="797" w:type="dxa"/>
            <w:tcBorders>
              <w:top w:val="nil"/>
              <w:bottom w:val="nil"/>
            </w:tcBorders>
            <w:hideMark/>
          </w:tcPr>
          <w:p w14:paraId="695CF3F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23.97</w:t>
            </w:r>
          </w:p>
        </w:tc>
        <w:tc>
          <w:tcPr>
            <w:tcW w:w="797" w:type="dxa"/>
            <w:tcBorders>
              <w:top w:val="nil"/>
              <w:bottom w:val="nil"/>
            </w:tcBorders>
            <w:hideMark/>
          </w:tcPr>
          <w:p w14:paraId="2E084AB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11.91</w:t>
            </w:r>
          </w:p>
        </w:tc>
        <w:tc>
          <w:tcPr>
            <w:tcW w:w="796" w:type="dxa"/>
            <w:tcBorders>
              <w:top w:val="nil"/>
              <w:bottom w:val="nil"/>
            </w:tcBorders>
            <w:hideMark/>
          </w:tcPr>
          <w:p w14:paraId="0F26E4E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9.90</w:t>
            </w:r>
          </w:p>
        </w:tc>
        <w:tc>
          <w:tcPr>
            <w:tcW w:w="797" w:type="dxa"/>
            <w:tcBorders>
              <w:top w:val="nil"/>
              <w:bottom w:val="nil"/>
            </w:tcBorders>
            <w:hideMark/>
          </w:tcPr>
          <w:p w14:paraId="622797D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18.57</w:t>
            </w:r>
          </w:p>
        </w:tc>
        <w:tc>
          <w:tcPr>
            <w:tcW w:w="797" w:type="dxa"/>
            <w:tcBorders>
              <w:top w:val="nil"/>
              <w:bottom w:val="nil"/>
            </w:tcBorders>
            <w:hideMark/>
          </w:tcPr>
          <w:p w14:paraId="23F979A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15.85</w:t>
            </w:r>
          </w:p>
        </w:tc>
        <w:tc>
          <w:tcPr>
            <w:tcW w:w="797" w:type="dxa"/>
            <w:tcBorders>
              <w:top w:val="nil"/>
              <w:bottom w:val="nil"/>
            </w:tcBorders>
            <w:hideMark/>
          </w:tcPr>
          <w:p w14:paraId="34BD1EB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7.22</w:t>
            </w:r>
          </w:p>
        </w:tc>
        <w:tc>
          <w:tcPr>
            <w:tcW w:w="796" w:type="dxa"/>
            <w:tcBorders>
              <w:top w:val="nil"/>
              <w:bottom w:val="nil"/>
            </w:tcBorders>
            <w:hideMark/>
          </w:tcPr>
          <w:p w14:paraId="56500F8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7.48</w:t>
            </w:r>
          </w:p>
        </w:tc>
        <w:tc>
          <w:tcPr>
            <w:tcW w:w="797" w:type="dxa"/>
            <w:tcBorders>
              <w:top w:val="nil"/>
              <w:bottom w:val="nil"/>
            </w:tcBorders>
            <w:hideMark/>
          </w:tcPr>
          <w:p w14:paraId="5871491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3.10</w:t>
            </w:r>
          </w:p>
        </w:tc>
        <w:tc>
          <w:tcPr>
            <w:tcW w:w="797" w:type="dxa"/>
            <w:tcBorders>
              <w:top w:val="nil"/>
              <w:bottom w:val="nil"/>
            </w:tcBorders>
            <w:hideMark/>
          </w:tcPr>
          <w:p w14:paraId="0D0F0D3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11.06</w:t>
            </w:r>
          </w:p>
        </w:tc>
        <w:tc>
          <w:tcPr>
            <w:tcW w:w="797" w:type="dxa"/>
            <w:tcBorders>
              <w:top w:val="nil"/>
              <w:bottom w:val="nil"/>
            </w:tcBorders>
            <w:hideMark/>
          </w:tcPr>
          <w:p w14:paraId="157BDB5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4.13</w:t>
            </w:r>
          </w:p>
        </w:tc>
      </w:tr>
      <w:tr w:rsidR="00AB238E" w:rsidRPr="00705903" w14:paraId="2EEEC8E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E78D8D8"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2019</w:t>
            </w:r>
          </w:p>
        </w:tc>
        <w:tc>
          <w:tcPr>
            <w:tcW w:w="796" w:type="dxa"/>
            <w:tcBorders>
              <w:top w:val="nil"/>
              <w:bottom w:val="nil"/>
            </w:tcBorders>
            <w:hideMark/>
          </w:tcPr>
          <w:p w14:paraId="7D23C0F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17.87</w:t>
            </w:r>
          </w:p>
        </w:tc>
        <w:tc>
          <w:tcPr>
            <w:tcW w:w="797" w:type="dxa"/>
            <w:tcBorders>
              <w:top w:val="nil"/>
              <w:bottom w:val="nil"/>
            </w:tcBorders>
            <w:hideMark/>
          </w:tcPr>
          <w:p w14:paraId="5FADBBB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24.66</w:t>
            </w:r>
          </w:p>
        </w:tc>
        <w:tc>
          <w:tcPr>
            <w:tcW w:w="797" w:type="dxa"/>
            <w:tcBorders>
              <w:top w:val="nil"/>
              <w:bottom w:val="nil"/>
            </w:tcBorders>
            <w:hideMark/>
          </w:tcPr>
          <w:p w14:paraId="2708019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11.88</w:t>
            </w:r>
          </w:p>
        </w:tc>
        <w:tc>
          <w:tcPr>
            <w:tcW w:w="796" w:type="dxa"/>
            <w:tcBorders>
              <w:top w:val="nil"/>
              <w:bottom w:val="nil"/>
            </w:tcBorders>
            <w:hideMark/>
          </w:tcPr>
          <w:p w14:paraId="79313BE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10.01</w:t>
            </w:r>
          </w:p>
        </w:tc>
        <w:tc>
          <w:tcPr>
            <w:tcW w:w="797" w:type="dxa"/>
            <w:tcBorders>
              <w:top w:val="nil"/>
              <w:bottom w:val="nil"/>
            </w:tcBorders>
            <w:hideMark/>
          </w:tcPr>
          <w:p w14:paraId="70D4863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18.57</w:t>
            </w:r>
          </w:p>
        </w:tc>
        <w:tc>
          <w:tcPr>
            <w:tcW w:w="797" w:type="dxa"/>
            <w:tcBorders>
              <w:top w:val="nil"/>
              <w:bottom w:val="nil"/>
            </w:tcBorders>
            <w:hideMark/>
          </w:tcPr>
          <w:p w14:paraId="242D5F0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15.00</w:t>
            </w:r>
          </w:p>
        </w:tc>
        <w:tc>
          <w:tcPr>
            <w:tcW w:w="797" w:type="dxa"/>
            <w:tcBorders>
              <w:top w:val="nil"/>
              <w:bottom w:val="nil"/>
            </w:tcBorders>
            <w:hideMark/>
          </w:tcPr>
          <w:p w14:paraId="7BA30C7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7.29</w:t>
            </w:r>
          </w:p>
        </w:tc>
        <w:tc>
          <w:tcPr>
            <w:tcW w:w="796" w:type="dxa"/>
            <w:tcBorders>
              <w:top w:val="nil"/>
              <w:bottom w:val="nil"/>
            </w:tcBorders>
            <w:hideMark/>
          </w:tcPr>
          <w:p w14:paraId="392246A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7.80</w:t>
            </w:r>
          </w:p>
        </w:tc>
        <w:tc>
          <w:tcPr>
            <w:tcW w:w="797" w:type="dxa"/>
            <w:tcBorders>
              <w:top w:val="nil"/>
              <w:bottom w:val="nil"/>
            </w:tcBorders>
            <w:hideMark/>
          </w:tcPr>
          <w:p w14:paraId="72FCBC8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1.65</w:t>
            </w:r>
          </w:p>
        </w:tc>
        <w:tc>
          <w:tcPr>
            <w:tcW w:w="797" w:type="dxa"/>
            <w:tcBorders>
              <w:top w:val="nil"/>
              <w:bottom w:val="nil"/>
            </w:tcBorders>
            <w:hideMark/>
          </w:tcPr>
          <w:p w14:paraId="64DA1ED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10.99</w:t>
            </w:r>
          </w:p>
        </w:tc>
        <w:tc>
          <w:tcPr>
            <w:tcW w:w="797" w:type="dxa"/>
            <w:tcBorders>
              <w:top w:val="nil"/>
              <w:bottom w:val="nil"/>
            </w:tcBorders>
            <w:hideMark/>
          </w:tcPr>
          <w:p w14:paraId="1EDD681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4.56</w:t>
            </w:r>
          </w:p>
        </w:tc>
      </w:tr>
      <w:tr w:rsidR="00AB238E" w:rsidRPr="00705903" w14:paraId="1481D60C"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99DB5D0"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2020</w:t>
            </w:r>
          </w:p>
        </w:tc>
        <w:tc>
          <w:tcPr>
            <w:tcW w:w="796" w:type="dxa"/>
            <w:tcBorders>
              <w:top w:val="nil"/>
              <w:bottom w:val="nil"/>
            </w:tcBorders>
            <w:hideMark/>
          </w:tcPr>
          <w:p w14:paraId="52549E0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19.80</w:t>
            </w:r>
          </w:p>
        </w:tc>
        <w:tc>
          <w:tcPr>
            <w:tcW w:w="797" w:type="dxa"/>
            <w:tcBorders>
              <w:top w:val="nil"/>
              <w:bottom w:val="nil"/>
            </w:tcBorders>
            <w:hideMark/>
          </w:tcPr>
          <w:p w14:paraId="133ED4C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27.13</w:t>
            </w:r>
          </w:p>
        </w:tc>
        <w:tc>
          <w:tcPr>
            <w:tcW w:w="797" w:type="dxa"/>
            <w:tcBorders>
              <w:top w:val="nil"/>
              <w:bottom w:val="nil"/>
            </w:tcBorders>
            <w:hideMark/>
          </w:tcPr>
          <w:p w14:paraId="6C766BA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13.29</w:t>
            </w:r>
          </w:p>
        </w:tc>
        <w:tc>
          <w:tcPr>
            <w:tcW w:w="796" w:type="dxa"/>
            <w:tcBorders>
              <w:top w:val="nil"/>
              <w:bottom w:val="nil"/>
            </w:tcBorders>
            <w:hideMark/>
          </w:tcPr>
          <w:p w14:paraId="160DB65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11.18</w:t>
            </w:r>
          </w:p>
        </w:tc>
        <w:tc>
          <w:tcPr>
            <w:tcW w:w="797" w:type="dxa"/>
            <w:tcBorders>
              <w:top w:val="nil"/>
              <w:bottom w:val="nil"/>
            </w:tcBorders>
            <w:hideMark/>
          </w:tcPr>
          <w:p w14:paraId="271845F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19.27</w:t>
            </w:r>
          </w:p>
        </w:tc>
        <w:tc>
          <w:tcPr>
            <w:tcW w:w="797" w:type="dxa"/>
            <w:tcBorders>
              <w:top w:val="nil"/>
              <w:bottom w:val="nil"/>
            </w:tcBorders>
            <w:hideMark/>
          </w:tcPr>
          <w:p w14:paraId="694147A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15.69</w:t>
            </w:r>
          </w:p>
        </w:tc>
        <w:tc>
          <w:tcPr>
            <w:tcW w:w="797" w:type="dxa"/>
            <w:tcBorders>
              <w:top w:val="nil"/>
              <w:bottom w:val="nil"/>
            </w:tcBorders>
            <w:hideMark/>
          </w:tcPr>
          <w:p w14:paraId="0866EEF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9.01</w:t>
            </w:r>
          </w:p>
        </w:tc>
        <w:tc>
          <w:tcPr>
            <w:tcW w:w="796" w:type="dxa"/>
            <w:tcBorders>
              <w:top w:val="nil"/>
              <w:bottom w:val="nil"/>
            </w:tcBorders>
            <w:hideMark/>
          </w:tcPr>
          <w:p w14:paraId="6FE9778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8.69</w:t>
            </w:r>
          </w:p>
        </w:tc>
        <w:tc>
          <w:tcPr>
            <w:tcW w:w="797" w:type="dxa"/>
            <w:tcBorders>
              <w:top w:val="nil"/>
              <w:bottom w:val="nil"/>
            </w:tcBorders>
            <w:hideMark/>
          </w:tcPr>
          <w:p w14:paraId="6A9A758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2.44</w:t>
            </w:r>
          </w:p>
        </w:tc>
        <w:tc>
          <w:tcPr>
            <w:tcW w:w="797" w:type="dxa"/>
            <w:tcBorders>
              <w:top w:val="nil"/>
              <w:bottom w:val="nil"/>
            </w:tcBorders>
            <w:hideMark/>
          </w:tcPr>
          <w:p w14:paraId="429C1BB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13.01</w:t>
            </w:r>
          </w:p>
        </w:tc>
        <w:tc>
          <w:tcPr>
            <w:tcW w:w="797" w:type="dxa"/>
            <w:tcBorders>
              <w:top w:val="nil"/>
              <w:bottom w:val="nil"/>
            </w:tcBorders>
            <w:hideMark/>
          </w:tcPr>
          <w:p w14:paraId="79DFA9C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5.86</w:t>
            </w:r>
          </w:p>
        </w:tc>
      </w:tr>
      <w:tr w:rsidR="00AB238E" w:rsidRPr="00705903" w14:paraId="06D5AC9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3FD433B"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2021</w:t>
            </w:r>
          </w:p>
        </w:tc>
        <w:tc>
          <w:tcPr>
            <w:tcW w:w="796" w:type="dxa"/>
            <w:tcBorders>
              <w:top w:val="nil"/>
              <w:bottom w:val="nil"/>
            </w:tcBorders>
            <w:hideMark/>
          </w:tcPr>
          <w:p w14:paraId="3609031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19.89</w:t>
            </w:r>
          </w:p>
        </w:tc>
        <w:tc>
          <w:tcPr>
            <w:tcW w:w="797" w:type="dxa"/>
            <w:tcBorders>
              <w:top w:val="nil"/>
              <w:bottom w:val="nil"/>
            </w:tcBorders>
            <w:hideMark/>
          </w:tcPr>
          <w:p w14:paraId="12C8E00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29.75</w:t>
            </w:r>
          </w:p>
        </w:tc>
        <w:tc>
          <w:tcPr>
            <w:tcW w:w="797" w:type="dxa"/>
            <w:tcBorders>
              <w:top w:val="nil"/>
              <w:bottom w:val="nil"/>
            </w:tcBorders>
            <w:hideMark/>
          </w:tcPr>
          <w:p w14:paraId="3F472F6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15.63</w:t>
            </w:r>
          </w:p>
        </w:tc>
        <w:tc>
          <w:tcPr>
            <w:tcW w:w="796" w:type="dxa"/>
            <w:tcBorders>
              <w:top w:val="nil"/>
              <w:bottom w:val="nil"/>
            </w:tcBorders>
            <w:hideMark/>
          </w:tcPr>
          <w:p w14:paraId="28F176F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13.70</w:t>
            </w:r>
          </w:p>
        </w:tc>
        <w:tc>
          <w:tcPr>
            <w:tcW w:w="797" w:type="dxa"/>
            <w:tcBorders>
              <w:top w:val="nil"/>
              <w:bottom w:val="nil"/>
            </w:tcBorders>
            <w:hideMark/>
          </w:tcPr>
          <w:p w14:paraId="526E2D6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21.68</w:t>
            </w:r>
          </w:p>
        </w:tc>
        <w:tc>
          <w:tcPr>
            <w:tcW w:w="797" w:type="dxa"/>
            <w:tcBorders>
              <w:top w:val="nil"/>
              <w:bottom w:val="nil"/>
            </w:tcBorders>
            <w:hideMark/>
          </w:tcPr>
          <w:p w14:paraId="67CFFD4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19.11</w:t>
            </w:r>
          </w:p>
        </w:tc>
        <w:tc>
          <w:tcPr>
            <w:tcW w:w="797" w:type="dxa"/>
            <w:tcBorders>
              <w:top w:val="nil"/>
              <w:bottom w:val="nil"/>
            </w:tcBorders>
            <w:hideMark/>
          </w:tcPr>
          <w:p w14:paraId="3133EC6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11.12</w:t>
            </w:r>
          </w:p>
        </w:tc>
        <w:tc>
          <w:tcPr>
            <w:tcW w:w="796" w:type="dxa"/>
            <w:tcBorders>
              <w:top w:val="nil"/>
              <w:bottom w:val="nil"/>
            </w:tcBorders>
            <w:hideMark/>
          </w:tcPr>
          <w:p w14:paraId="3001D97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10.50</w:t>
            </w:r>
          </w:p>
        </w:tc>
        <w:tc>
          <w:tcPr>
            <w:tcW w:w="797" w:type="dxa"/>
            <w:tcBorders>
              <w:top w:val="nil"/>
              <w:bottom w:val="nil"/>
            </w:tcBorders>
            <w:hideMark/>
          </w:tcPr>
          <w:p w14:paraId="5200186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8.62</w:t>
            </w:r>
          </w:p>
        </w:tc>
        <w:tc>
          <w:tcPr>
            <w:tcW w:w="797" w:type="dxa"/>
            <w:tcBorders>
              <w:top w:val="nil"/>
              <w:bottom w:val="nil"/>
            </w:tcBorders>
            <w:hideMark/>
          </w:tcPr>
          <w:p w14:paraId="68B4D20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15.22</w:t>
            </w:r>
          </w:p>
        </w:tc>
        <w:tc>
          <w:tcPr>
            <w:tcW w:w="797" w:type="dxa"/>
            <w:tcBorders>
              <w:top w:val="nil"/>
              <w:bottom w:val="nil"/>
            </w:tcBorders>
            <w:hideMark/>
          </w:tcPr>
          <w:p w14:paraId="7BEB241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6.79</w:t>
            </w:r>
          </w:p>
        </w:tc>
      </w:tr>
      <w:tr w:rsidR="00AB238E" w:rsidRPr="00705903" w14:paraId="5DFD66F0"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4E4A7239"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2022</w:t>
            </w:r>
          </w:p>
        </w:tc>
        <w:tc>
          <w:tcPr>
            <w:tcW w:w="796" w:type="dxa"/>
            <w:tcBorders>
              <w:top w:val="nil"/>
            </w:tcBorders>
            <w:hideMark/>
          </w:tcPr>
          <w:p w14:paraId="190CC0F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39.55</w:t>
            </w:r>
          </w:p>
        </w:tc>
        <w:tc>
          <w:tcPr>
            <w:tcW w:w="797" w:type="dxa"/>
            <w:tcBorders>
              <w:top w:val="nil"/>
            </w:tcBorders>
            <w:hideMark/>
          </w:tcPr>
          <w:p w14:paraId="195459F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52.62</w:t>
            </w:r>
          </w:p>
        </w:tc>
        <w:tc>
          <w:tcPr>
            <w:tcW w:w="797" w:type="dxa"/>
            <w:tcBorders>
              <w:top w:val="nil"/>
            </w:tcBorders>
            <w:hideMark/>
          </w:tcPr>
          <w:p w14:paraId="540B369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33.11</w:t>
            </w:r>
          </w:p>
        </w:tc>
        <w:tc>
          <w:tcPr>
            <w:tcW w:w="796" w:type="dxa"/>
            <w:tcBorders>
              <w:top w:val="nil"/>
            </w:tcBorders>
            <w:hideMark/>
          </w:tcPr>
          <w:p w14:paraId="4D39EFA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34.97</w:t>
            </w:r>
          </w:p>
        </w:tc>
        <w:tc>
          <w:tcPr>
            <w:tcW w:w="797" w:type="dxa"/>
            <w:tcBorders>
              <w:top w:val="nil"/>
            </w:tcBorders>
            <w:hideMark/>
          </w:tcPr>
          <w:p w14:paraId="42AAFD3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52.57</w:t>
            </w:r>
          </w:p>
        </w:tc>
        <w:tc>
          <w:tcPr>
            <w:tcW w:w="797" w:type="dxa"/>
            <w:tcBorders>
              <w:top w:val="nil"/>
            </w:tcBorders>
            <w:hideMark/>
          </w:tcPr>
          <w:p w14:paraId="34C0AE8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46.87</w:t>
            </w:r>
          </w:p>
        </w:tc>
        <w:tc>
          <w:tcPr>
            <w:tcW w:w="797" w:type="dxa"/>
            <w:tcBorders>
              <w:top w:val="nil"/>
            </w:tcBorders>
            <w:hideMark/>
          </w:tcPr>
          <w:p w14:paraId="5EF517F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22.00</w:t>
            </w:r>
          </w:p>
        </w:tc>
        <w:tc>
          <w:tcPr>
            <w:tcW w:w="796" w:type="dxa"/>
            <w:tcBorders>
              <w:top w:val="nil"/>
            </w:tcBorders>
            <w:hideMark/>
          </w:tcPr>
          <w:p w14:paraId="7BA50FC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26.56</w:t>
            </w:r>
          </w:p>
        </w:tc>
        <w:tc>
          <w:tcPr>
            <w:tcW w:w="797" w:type="dxa"/>
            <w:tcBorders>
              <w:top w:val="nil"/>
            </w:tcBorders>
            <w:hideMark/>
          </w:tcPr>
          <w:p w14:paraId="065C511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18.96</w:t>
            </w:r>
          </w:p>
        </w:tc>
        <w:tc>
          <w:tcPr>
            <w:tcW w:w="797" w:type="dxa"/>
            <w:tcBorders>
              <w:top w:val="nil"/>
            </w:tcBorders>
            <w:hideMark/>
          </w:tcPr>
          <w:p w14:paraId="1E9EBD2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35.24</w:t>
            </w:r>
          </w:p>
        </w:tc>
        <w:tc>
          <w:tcPr>
            <w:tcW w:w="797" w:type="dxa"/>
            <w:tcBorders>
              <w:top w:val="nil"/>
            </w:tcBorders>
            <w:hideMark/>
          </w:tcPr>
          <w:p w14:paraId="4ACAB7E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21.89</w:t>
            </w:r>
          </w:p>
        </w:tc>
      </w:tr>
    </w:tbl>
    <w:p w14:paraId="5D62FF78" w14:textId="77777777" w:rsidR="00AB238E" w:rsidRPr="00705903" w:rsidRDefault="00AB238E" w:rsidP="0097761F">
      <w:pPr>
        <w:spacing w:line="259" w:lineRule="auto"/>
        <w:ind w:firstLine="0"/>
        <w:jc w:val="both"/>
        <w:rPr>
          <w:sz w:val="20"/>
          <w:szCs w:val="20"/>
          <w:lang w:val="en-US"/>
        </w:rPr>
      </w:pPr>
    </w:p>
    <w:p w14:paraId="39EF8938" w14:textId="77777777" w:rsidR="00AB238E" w:rsidRPr="00705903" w:rsidRDefault="00AB238E" w:rsidP="0097761F">
      <w:pPr>
        <w:spacing w:line="259" w:lineRule="auto"/>
        <w:ind w:firstLine="0"/>
        <w:jc w:val="both"/>
        <w:rPr>
          <w:sz w:val="20"/>
          <w:szCs w:val="20"/>
          <w:lang w:val="en-US"/>
        </w:rPr>
      </w:pPr>
    </w:p>
    <w:p w14:paraId="356FEF07" w14:textId="77777777" w:rsidR="00AB238E" w:rsidRPr="00705903" w:rsidRDefault="00AB238E" w:rsidP="0097761F">
      <w:pPr>
        <w:spacing w:after="160" w:line="259" w:lineRule="auto"/>
        <w:ind w:firstLine="0"/>
        <w:jc w:val="both"/>
        <w:rPr>
          <w:sz w:val="20"/>
          <w:szCs w:val="20"/>
          <w:lang w:val="en-US"/>
        </w:rPr>
      </w:pPr>
      <w:r w:rsidRPr="00705903">
        <w:rPr>
          <w:sz w:val="20"/>
          <w:szCs w:val="20"/>
          <w:lang w:val="en-US"/>
        </w:rPr>
        <w:br w:type="page"/>
      </w:r>
    </w:p>
    <w:p w14:paraId="2231B689" w14:textId="77777777" w:rsidR="00AB238E" w:rsidRPr="00705903" w:rsidRDefault="00AB238E" w:rsidP="0097761F">
      <w:pPr>
        <w:pStyle w:val="Heading1"/>
      </w:pPr>
      <w:r w:rsidRPr="00705903">
        <w:t>Table 10. Industry-level Social (S) Ratings by Year (2007–2022)</w:t>
      </w:r>
    </w:p>
    <w:p w14:paraId="68347B30" w14:textId="77777777" w:rsidR="00AB238E" w:rsidRPr="00705903" w:rsidRDefault="00AB238E" w:rsidP="0097761F">
      <w:pPr>
        <w:spacing w:line="259" w:lineRule="auto"/>
        <w:ind w:firstLine="0"/>
        <w:jc w:val="both"/>
        <w:rPr>
          <w:sz w:val="20"/>
          <w:szCs w:val="20"/>
          <w:lang w:val="en-US"/>
        </w:rPr>
      </w:pPr>
    </w:p>
    <w:p w14:paraId="4066BCF9"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 xml:space="preserve">This table reports the annual average Social (S) ratings of listed firms in China across the 11 GICS </w:t>
      </w:r>
      <w:proofErr w:type="gramStart"/>
      <w:r w:rsidRPr="00705903">
        <w:rPr>
          <w:sz w:val="20"/>
          <w:szCs w:val="20"/>
          <w:lang w:val="en-US"/>
        </w:rPr>
        <w:t>Level-1</w:t>
      </w:r>
      <w:proofErr w:type="gramEnd"/>
      <w:r w:rsidRPr="00705903">
        <w:rPr>
          <w:sz w:val="20"/>
          <w:szCs w:val="20"/>
          <w:lang w:val="en-US"/>
        </w:rPr>
        <w:t xml:space="preserve"> industries from 2007 to 2022, based on data from the Wind ESG database as of February 2025.</w:t>
      </w:r>
    </w:p>
    <w:p w14:paraId="406C82CF"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The S ratings capture firms’ social responsibility performance, including labor protection, community engagement, supply chain management, product safety, and social disclosure practices.</w:t>
      </w:r>
    </w:p>
    <w:p w14:paraId="1DE31DB0" w14:textId="77777777" w:rsidR="00AB238E" w:rsidRPr="00705903" w:rsidRDefault="00AB238E" w:rsidP="0097761F">
      <w:pPr>
        <w:spacing w:line="259" w:lineRule="auto"/>
        <w:ind w:firstLine="0"/>
        <w:jc w:val="both"/>
        <w:rPr>
          <w:sz w:val="20"/>
          <w:szCs w:val="20"/>
          <w:lang w:val="en-US"/>
        </w:rPr>
      </w:pPr>
    </w:p>
    <w:p w14:paraId="2CF69E4A"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Across all industries, Social (S) scores demonstrate a consistent upward trend, reflecting the growing emphasis on corporate social responsibility (CSR) and stakeholder-oriented governance in China.</w:t>
      </w:r>
      <w:r w:rsidRPr="00705903">
        <w:rPr>
          <w:sz w:val="20"/>
          <w:szCs w:val="20"/>
          <w:lang w:val="en-US" w:eastAsia="zh-CN"/>
        </w:rPr>
        <w:t xml:space="preserve"> </w:t>
      </w:r>
      <w:r w:rsidRPr="00705903">
        <w:rPr>
          <w:sz w:val="20"/>
          <w:szCs w:val="20"/>
          <w:lang w:val="en-US"/>
        </w:rPr>
        <w:t>The Consumer Staples and Energy industries show the highest average S ratings, supported by strong employee welfare programs and improved product quality supervision.</w:t>
      </w:r>
      <w:r w:rsidRPr="00705903">
        <w:rPr>
          <w:sz w:val="20"/>
          <w:szCs w:val="20"/>
          <w:lang w:val="en-US" w:eastAsia="zh-CN"/>
        </w:rPr>
        <w:t xml:space="preserve"> </w:t>
      </w:r>
      <w:r w:rsidRPr="00705903">
        <w:rPr>
          <w:sz w:val="20"/>
          <w:szCs w:val="20"/>
          <w:lang w:val="en-US"/>
        </w:rPr>
        <w:t>In contrast, Telecommunication Services and Real Estate sectors record comparatively lower scores, indicating slower progress in CSR integration and social transparency.</w:t>
      </w:r>
    </w:p>
    <w:p w14:paraId="0C233CF3" w14:textId="77777777" w:rsidR="00AB238E" w:rsidRPr="00705903" w:rsidRDefault="00AB238E" w:rsidP="0097761F">
      <w:pPr>
        <w:spacing w:line="259" w:lineRule="auto"/>
        <w:ind w:firstLine="0"/>
        <w:jc w:val="both"/>
        <w:rPr>
          <w:sz w:val="20"/>
          <w:szCs w:val="20"/>
          <w:lang w:val="en-US"/>
        </w:rPr>
      </w:pPr>
    </w:p>
    <w:p w14:paraId="3EE5F55E"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 xml:space="preserve">The moderate rise in S ratings after 2015 coincides with the introduction of CSR reporting guidelines by Chinese regulatory authorities, while the overall stabilization after 2020 suggests a more mature stage of social governance implementation among </w:t>
      </w:r>
      <w:proofErr w:type="gramStart"/>
      <w:r w:rsidRPr="00705903">
        <w:rPr>
          <w:sz w:val="20"/>
          <w:szCs w:val="20"/>
          <w:lang w:val="en-US"/>
        </w:rPr>
        <w:t>large listed</w:t>
      </w:r>
      <w:proofErr w:type="gramEnd"/>
      <w:r w:rsidRPr="00705903">
        <w:rPr>
          <w:sz w:val="20"/>
          <w:szCs w:val="20"/>
          <w:lang w:val="en-US"/>
        </w:rPr>
        <w:t xml:space="preserve"> firms.</w:t>
      </w:r>
    </w:p>
    <w:p w14:paraId="1702EEBE" w14:textId="77777777" w:rsidR="00AB238E" w:rsidRPr="00705903" w:rsidRDefault="00AB238E" w:rsidP="0097761F">
      <w:pPr>
        <w:spacing w:line="259" w:lineRule="auto"/>
        <w:ind w:firstLine="0"/>
        <w:jc w:val="both"/>
        <w:rPr>
          <w:sz w:val="20"/>
          <w:szCs w:val="20"/>
          <w:lang w:val="en-US"/>
        </w:rPr>
      </w:pPr>
    </w:p>
    <w:p w14:paraId="668DAF76" w14:textId="77777777" w:rsidR="00AB238E" w:rsidRPr="00705903" w:rsidRDefault="00AB238E" w:rsidP="0097761F">
      <w:pPr>
        <w:spacing w:line="259" w:lineRule="auto"/>
        <w:ind w:firstLine="0"/>
        <w:jc w:val="both"/>
        <w:rPr>
          <w:sz w:val="20"/>
          <w:szCs w:val="20"/>
          <w:lang w:val="en-US"/>
        </w:rPr>
      </w:pPr>
    </w:p>
    <w:tbl>
      <w:tblPr>
        <w:tblStyle w:val="PlainTable2"/>
        <w:tblW w:w="0" w:type="auto"/>
        <w:tblLook w:val="04A0" w:firstRow="1" w:lastRow="0" w:firstColumn="1" w:lastColumn="0" w:noHBand="0" w:noVBand="1"/>
      </w:tblPr>
      <w:tblGrid>
        <w:gridCol w:w="576"/>
        <w:gridCol w:w="798"/>
        <w:gridCol w:w="799"/>
        <w:gridCol w:w="798"/>
        <w:gridCol w:w="799"/>
        <w:gridCol w:w="798"/>
        <w:gridCol w:w="799"/>
        <w:gridCol w:w="798"/>
        <w:gridCol w:w="799"/>
        <w:gridCol w:w="798"/>
        <w:gridCol w:w="799"/>
        <w:gridCol w:w="799"/>
      </w:tblGrid>
      <w:tr w:rsidR="00AB238E" w:rsidRPr="00705903" w14:paraId="25E70DEE" w14:textId="77777777" w:rsidTr="00A4523E">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0" w:type="auto"/>
            <w:textDirection w:val="btLr"/>
            <w:hideMark/>
          </w:tcPr>
          <w:p w14:paraId="649123CC" w14:textId="77777777" w:rsidR="00AB238E" w:rsidRPr="00705903" w:rsidRDefault="00AB238E" w:rsidP="0097761F">
            <w:pPr>
              <w:spacing w:line="259" w:lineRule="auto"/>
              <w:ind w:left="113" w:right="113" w:firstLine="0"/>
              <w:jc w:val="both"/>
              <w:rPr>
                <w:b w:val="0"/>
                <w:bCs w:val="0"/>
                <w:sz w:val="18"/>
                <w:szCs w:val="18"/>
                <w:lang w:val="en-US"/>
              </w:rPr>
            </w:pPr>
            <w:r w:rsidRPr="00705903">
              <w:rPr>
                <w:b w:val="0"/>
                <w:bCs w:val="0"/>
                <w:sz w:val="18"/>
                <w:szCs w:val="18"/>
                <w:lang w:val="en-US"/>
              </w:rPr>
              <w:t>Year</w:t>
            </w:r>
          </w:p>
        </w:tc>
        <w:tc>
          <w:tcPr>
            <w:tcW w:w="798" w:type="dxa"/>
            <w:textDirection w:val="btLr"/>
            <w:hideMark/>
          </w:tcPr>
          <w:p w14:paraId="2F173276"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Energy</w:t>
            </w:r>
          </w:p>
        </w:tc>
        <w:tc>
          <w:tcPr>
            <w:tcW w:w="799" w:type="dxa"/>
            <w:textDirection w:val="btLr"/>
            <w:hideMark/>
          </w:tcPr>
          <w:p w14:paraId="27F79B2E"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i/>
                <w:iCs/>
                <w:sz w:val="18"/>
                <w:szCs w:val="18"/>
                <w:lang w:val="en-US" w:eastAsia="zh-CN"/>
              </w:rPr>
              <w:t>M</w:t>
            </w:r>
            <w:r w:rsidRPr="00705903">
              <w:rPr>
                <w:b w:val="0"/>
                <w:bCs w:val="0"/>
                <w:i/>
                <w:iCs/>
                <w:sz w:val="18"/>
                <w:szCs w:val="18"/>
                <w:lang w:val="en-US"/>
              </w:rPr>
              <w:t>aterials</w:t>
            </w:r>
          </w:p>
        </w:tc>
        <w:tc>
          <w:tcPr>
            <w:tcW w:w="798" w:type="dxa"/>
            <w:textDirection w:val="btLr"/>
            <w:hideMark/>
          </w:tcPr>
          <w:p w14:paraId="61090408"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Industrials</w:t>
            </w:r>
          </w:p>
        </w:tc>
        <w:tc>
          <w:tcPr>
            <w:tcW w:w="799" w:type="dxa"/>
            <w:textDirection w:val="btLr"/>
            <w:hideMark/>
          </w:tcPr>
          <w:p w14:paraId="31EC9C52"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Consumer Discretionary</w:t>
            </w:r>
          </w:p>
        </w:tc>
        <w:tc>
          <w:tcPr>
            <w:tcW w:w="798" w:type="dxa"/>
            <w:textDirection w:val="btLr"/>
            <w:hideMark/>
          </w:tcPr>
          <w:p w14:paraId="5D35C177"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Consumer Staples</w:t>
            </w:r>
          </w:p>
        </w:tc>
        <w:tc>
          <w:tcPr>
            <w:tcW w:w="799" w:type="dxa"/>
            <w:textDirection w:val="btLr"/>
            <w:hideMark/>
          </w:tcPr>
          <w:p w14:paraId="724BDD9A"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Health Care</w:t>
            </w:r>
          </w:p>
        </w:tc>
        <w:tc>
          <w:tcPr>
            <w:tcW w:w="798" w:type="dxa"/>
            <w:textDirection w:val="btLr"/>
            <w:hideMark/>
          </w:tcPr>
          <w:p w14:paraId="638141F2"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Financials</w:t>
            </w:r>
          </w:p>
        </w:tc>
        <w:tc>
          <w:tcPr>
            <w:tcW w:w="799" w:type="dxa"/>
            <w:textDirection w:val="btLr"/>
            <w:hideMark/>
          </w:tcPr>
          <w:p w14:paraId="70CBDB6B"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i/>
                <w:iCs/>
                <w:sz w:val="18"/>
                <w:szCs w:val="18"/>
                <w:lang w:val="en-US" w:eastAsia="zh-CN"/>
              </w:rPr>
              <w:t>I</w:t>
            </w:r>
            <w:r w:rsidRPr="00705903">
              <w:rPr>
                <w:b w:val="0"/>
                <w:bCs w:val="0"/>
                <w:i/>
                <w:iCs/>
                <w:sz w:val="18"/>
                <w:szCs w:val="18"/>
                <w:lang w:val="en-US"/>
              </w:rPr>
              <w:t>nformation Technology</w:t>
            </w:r>
          </w:p>
        </w:tc>
        <w:tc>
          <w:tcPr>
            <w:tcW w:w="798" w:type="dxa"/>
            <w:textDirection w:val="btLr"/>
            <w:hideMark/>
          </w:tcPr>
          <w:p w14:paraId="57AD9766"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Telecommunication Services</w:t>
            </w:r>
          </w:p>
        </w:tc>
        <w:tc>
          <w:tcPr>
            <w:tcW w:w="799" w:type="dxa"/>
            <w:textDirection w:val="btLr"/>
            <w:hideMark/>
          </w:tcPr>
          <w:p w14:paraId="399603E4"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Utilities</w:t>
            </w:r>
          </w:p>
        </w:tc>
        <w:tc>
          <w:tcPr>
            <w:tcW w:w="799" w:type="dxa"/>
            <w:textDirection w:val="btLr"/>
            <w:hideMark/>
          </w:tcPr>
          <w:p w14:paraId="4B200184"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Real Estate</w:t>
            </w:r>
          </w:p>
        </w:tc>
      </w:tr>
      <w:tr w:rsidR="00AB238E" w:rsidRPr="00705903" w14:paraId="08E647A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2C0E294C"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2007</w:t>
            </w:r>
          </w:p>
        </w:tc>
        <w:tc>
          <w:tcPr>
            <w:tcW w:w="798" w:type="dxa"/>
            <w:tcBorders>
              <w:bottom w:val="nil"/>
            </w:tcBorders>
            <w:hideMark/>
          </w:tcPr>
          <w:p w14:paraId="3653072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20.42</w:t>
            </w:r>
          </w:p>
        </w:tc>
        <w:tc>
          <w:tcPr>
            <w:tcW w:w="799" w:type="dxa"/>
            <w:tcBorders>
              <w:bottom w:val="nil"/>
            </w:tcBorders>
            <w:hideMark/>
          </w:tcPr>
          <w:p w14:paraId="2A47168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11.86</w:t>
            </w:r>
          </w:p>
        </w:tc>
        <w:tc>
          <w:tcPr>
            <w:tcW w:w="798" w:type="dxa"/>
            <w:tcBorders>
              <w:bottom w:val="nil"/>
            </w:tcBorders>
            <w:hideMark/>
          </w:tcPr>
          <w:p w14:paraId="0437EFF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13.16</w:t>
            </w:r>
          </w:p>
        </w:tc>
        <w:tc>
          <w:tcPr>
            <w:tcW w:w="799" w:type="dxa"/>
            <w:tcBorders>
              <w:bottom w:val="nil"/>
            </w:tcBorders>
            <w:hideMark/>
          </w:tcPr>
          <w:p w14:paraId="70FDB60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12.25</w:t>
            </w:r>
          </w:p>
        </w:tc>
        <w:tc>
          <w:tcPr>
            <w:tcW w:w="798" w:type="dxa"/>
            <w:tcBorders>
              <w:bottom w:val="nil"/>
            </w:tcBorders>
            <w:hideMark/>
          </w:tcPr>
          <w:p w14:paraId="503D794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14.88</w:t>
            </w:r>
          </w:p>
        </w:tc>
        <w:tc>
          <w:tcPr>
            <w:tcW w:w="799" w:type="dxa"/>
            <w:tcBorders>
              <w:bottom w:val="nil"/>
            </w:tcBorders>
            <w:hideMark/>
          </w:tcPr>
          <w:p w14:paraId="61622B9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12.95</w:t>
            </w:r>
          </w:p>
        </w:tc>
        <w:tc>
          <w:tcPr>
            <w:tcW w:w="798" w:type="dxa"/>
            <w:tcBorders>
              <w:bottom w:val="nil"/>
            </w:tcBorders>
            <w:hideMark/>
          </w:tcPr>
          <w:p w14:paraId="0E2F7D2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13.95</w:t>
            </w:r>
          </w:p>
        </w:tc>
        <w:tc>
          <w:tcPr>
            <w:tcW w:w="799" w:type="dxa"/>
            <w:tcBorders>
              <w:bottom w:val="nil"/>
            </w:tcBorders>
            <w:hideMark/>
          </w:tcPr>
          <w:p w14:paraId="4EE007B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11.28</w:t>
            </w:r>
          </w:p>
        </w:tc>
        <w:tc>
          <w:tcPr>
            <w:tcW w:w="798" w:type="dxa"/>
            <w:tcBorders>
              <w:bottom w:val="nil"/>
            </w:tcBorders>
            <w:hideMark/>
          </w:tcPr>
          <w:p w14:paraId="0395088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17.15</w:t>
            </w:r>
          </w:p>
        </w:tc>
        <w:tc>
          <w:tcPr>
            <w:tcW w:w="799" w:type="dxa"/>
            <w:tcBorders>
              <w:bottom w:val="nil"/>
            </w:tcBorders>
            <w:hideMark/>
          </w:tcPr>
          <w:p w14:paraId="0775892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14.78</w:t>
            </w:r>
          </w:p>
        </w:tc>
        <w:tc>
          <w:tcPr>
            <w:tcW w:w="799" w:type="dxa"/>
            <w:tcBorders>
              <w:bottom w:val="nil"/>
            </w:tcBorders>
            <w:hideMark/>
          </w:tcPr>
          <w:p w14:paraId="431B49A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11.88</w:t>
            </w:r>
          </w:p>
        </w:tc>
      </w:tr>
      <w:tr w:rsidR="00AB238E" w:rsidRPr="00705903" w14:paraId="45E39CF1"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5573799"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2008</w:t>
            </w:r>
          </w:p>
        </w:tc>
        <w:tc>
          <w:tcPr>
            <w:tcW w:w="798" w:type="dxa"/>
            <w:tcBorders>
              <w:top w:val="nil"/>
              <w:bottom w:val="nil"/>
            </w:tcBorders>
            <w:hideMark/>
          </w:tcPr>
          <w:p w14:paraId="7DFC93F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24.43</w:t>
            </w:r>
          </w:p>
        </w:tc>
        <w:tc>
          <w:tcPr>
            <w:tcW w:w="799" w:type="dxa"/>
            <w:tcBorders>
              <w:top w:val="nil"/>
              <w:bottom w:val="nil"/>
            </w:tcBorders>
            <w:hideMark/>
          </w:tcPr>
          <w:p w14:paraId="5DC54B1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14.28</w:t>
            </w:r>
          </w:p>
        </w:tc>
        <w:tc>
          <w:tcPr>
            <w:tcW w:w="798" w:type="dxa"/>
            <w:tcBorders>
              <w:top w:val="nil"/>
              <w:bottom w:val="nil"/>
            </w:tcBorders>
            <w:hideMark/>
          </w:tcPr>
          <w:p w14:paraId="74DE7B9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16.10</w:t>
            </w:r>
          </w:p>
        </w:tc>
        <w:tc>
          <w:tcPr>
            <w:tcW w:w="799" w:type="dxa"/>
            <w:tcBorders>
              <w:top w:val="nil"/>
              <w:bottom w:val="nil"/>
            </w:tcBorders>
            <w:hideMark/>
          </w:tcPr>
          <w:p w14:paraId="1638E9B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14.27</w:t>
            </w:r>
          </w:p>
        </w:tc>
        <w:tc>
          <w:tcPr>
            <w:tcW w:w="798" w:type="dxa"/>
            <w:tcBorders>
              <w:top w:val="nil"/>
              <w:bottom w:val="nil"/>
            </w:tcBorders>
            <w:hideMark/>
          </w:tcPr>
          <w:p w14:paraId="206BB80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18.87</w:t>
            </w:r>
          </w:p>
        </w:tc>
        <w:tc>
          <w:tcPr>
            <w:tcW w:w="799" w:type="dxa"/>
            <w:tcBorders>
              <w:top w:val="nil"/>
              <w:bottom w:val="nil"/>
            </w:tcBorders>
            <w:hideMark/>
          </w:tcPr>
          <w:p w14:paraId="5F7F992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16.91</w:t>
            </w:r>
          </w:p>
        </w:tc>
        <w:tc>
          <w:tcPr>
            <w:tcW w:w="798" w:type="dxa"/>
            <w:tcBorders>
              <w:top w:val="nil"/>
              <w:bottom w:val="nil"/>
            </w:tcBorders>
            <w:hideMark/>
          </w:tcPr>
          <w:p w14:paraId="3D22E78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17.67</w:t>
            </w:r>
          </w:p>
        </w:tc>
        <w:tc>
          <w:tcPr>
            <w:tcW w:w="799" w:type="dxa"/>
            <w:tcBorders>
              <w:top w:val="nil"/>
              <w:bottom w:val="nil"/>
            </w:tcBorders>
            <w:hideMark/>
          </w:tcPr>
          <w:p w14:paraId="7F19CE2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14.14</w:t>
            </w:r>
          </w:p>
        </w:tc>
        <w:tc>
          <w:tcPr>
            <w:tcW w:w="798" w:type="dxa"/>
            <w:tcBorders>
              <w:top w:val="nil"/>
              <w:bottom w:val="nil"/>
            </w:tcBorders>
            <w:hideMark/>
          </w:tcPr>
          <w:p w14:paraId="1C06CEB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20.21</w:t>
            </w:r>
          </w:p>
        </w:tc>
        <w:tc>
          <w:tcPr>
            <w:tcW w:w="799" w:type="dxa"/>
            <w:tcBorders>
              <w:top w:val="nil"/>
              <w:bottom w:val="nil"/>
            </w:tcBorders>
            <w:hideMark/>
          </w:tcPr>
          <w:p w14:paraId="4C360C6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18.87</w:t>
            </w:r>
          </w:p>
        </w:tc>
        <w:tc>
          <w:tcPr>
            <w:tcW w:w="799" w:type="dxa"/>
            <w:tcBorders>
              <w:top w:val="nil"/>
              <w:bottom w:val="nil"/>
            </w:tcBorders>
            <w:hideMark/>
          </w:tcPr>
          <w:p w14:paraId="5086291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14.44</w:t>
            </w:r>
          </w:p>
        </w:tc>
      </w:tr>
      <w:tr w:rsidR="00AB238E" w:rsidRPr="00705903" w14:paraId="4EBA454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808A2DD"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2009</w:t>
            </w:r>
          </w:p>
        </w:tc>
        <w:tc>
          <w:tcPr>
            <w:tcW w:w="798" w:type="dxa"/>
            <w:tcBorders>
              <w:top w:val="nil"/>
              <w:bottom w:val="nil"/>
            </w:tcBorders>
            <w:hideMark/>
          </w:tcPr>
          <w:p w14:paraId="0E5CE5E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24.76</w:t>
            </w:r>
          </w:p>
        </w:tc>
        <w:tc>
          <w:tcPr>
            <w:tcW w:w="799" w:type="dxa"/>
            <w:tcBorders>
              <w:top w:val="nil"/>
              <w:bottom w:val="nil"/>
            </w:tcBorders>
            <w:hideMark/>
          </w:tcPr>
          <w:p w14:paraId="1CECC52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14.56</w:t>
            </w:r>
          </w:p>
        </w:tc>
        <w:tc>
          <w:tcPr>
            <w:tcW w:w="798" w:type="dxa"/>
            <w:tcBorders>
              <w:top w:val="nil"/>
              <w:bottom w:val="nil"/>
            </w:tcBorders>
            <w:hideMark/>
          </w:tcPr>
          <w:p w14:paraId="42545B2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16.64</w:t>
            </w:r>
          </w:p>
        </w:tc>
        <w:tc>
          <w:tcPr>
            <w:tcW w:w="799" w:type="dxa"/>
            <w:tcBorders>
              <w:top w:val="nil"/>
              <w:bottom w:val="nil"/>
            </w:tcBorders>
            <w:hideMark/>
          </w:tcPr>
          <w:p w14:paraId="39390BC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14.28</w:t>
            </w:r>
          </w:p>
        </w:tc>
        <w:tc>
          <w:tcPr>
            <w:tcW w:w="798" w:type="dxa"/>
            <w:tcBorders>
              <w:top w:val="nil"/>
              <w:bottom w:val="nil"/>
            </w:tcBorders>
            <w:hideMark/>
          </w:tcPr>
          <w:p w14:paraId="5C84D43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20.79</w:t>
            </w:r>
          </w:p>
        </w:tc>
        <w:tc>
          <w:tcPr>
            <w:tcW w:w="799" w:type="dxa"/>
            <w:tcBorders>
              <w:top w:val="nil"/>
              <w:bottom w:val="nil"/>
            </w:tcBorders>
            <w:hideMark/>
          </w:tcPr>
          <w:p w14:paraId="6ECEFBE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17.22</w:t>
            </w:r>
          </w:p>
        </w:tc>
        <w:tc>
          <w:tcPr>
            <w:tcW w:w="798" w:type="dxa"/>
            <w:tcBorders>
              <w:top w:val="nil"/>
              <w:bottom w:val="nil"/>
            </w:tcBorders>
            <w:hideMark/>
          </w:tcPr>
          <w:p w14:paraId="15A3B62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17.66</w:t>
            </w:r>
          </w:p>
        </w:tc>
        <w:tc>
          <w:tcPr>
            <w:tcW w:w="799" w:type="dxa"/>
            <w:tcBorders>
              <w:top w:val="nil"/>
              <w:bottom w:val="nil"/>
            </w:tcBorders>
            <w:hideMark/>
          </w:tcPr>
          <w:p w14:paraId="448F9DC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13.61</w:t>
            </w:r>
          </w:p>
        </w:tc>
        <w:tc>
          <w:tcPr>
            <w:tcW w:w="798" w:type="dxa"/>
            <w:tcBorders>
              <w:top w:val="nil"/>
              <w:bottom w:val="nil"/>
            </w:tcBorders>
            <w:hideMark/>
          </w:tcPr>
          <w:p w14:paraId="54A5C50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8.91</w:t>
            </w:r>
          </w:p>
        </w:tc>
        <w:tc>
          <w:tcPr>
            <w:tcW w:w="799" w:type="dxa"/>
            <w:tcBorders>
              <w:top w:val="nil"/>
              <w:bottom w:val="nil"/>
            </w:tcBorders>
            <w:hideMark/>
          </w:tcPr>
          <w:p w14:paraId="768535B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19.81</w:t>
            </w:r>
          </w:p>
        </w:tc>
        <w:tc>
          <w:tcPr>
            <w:tcW w:w="799" w:type="dxa"/>
            <w:tcBorders>
              <w:top w:val="nil"/>
              <w:bottom w:val="nil"/>
            </w:tcBorders>
            <w:hideMark/>
          </w:tcPr>
          <w:p w14:paraId="6F69F3C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15.49</w:t>
            </w:r>
          </w:p>
        </w:tc>
      </w:tr>
      <w:tr w:rsidR="00AB238E" w:rsidRPr="00705903" w14:paraId="342293A4"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AFFA35B"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2010</w:t>
            </w:r>
          </w:p>
        </w:tc>
        <w:tc>
          <w:tcPr>
            <w:tcW w:w="798" w:type="dxa"/>
            <w:tcBorders>
              <w:top w:val="nil"/>
              <w:bottom w:val="nil"/>
            </w:tcBorders>
            <w:hideMark/>
          </w:tcPr>
          <w:p w14:paraId="1C2AC49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23.72</w:t>
            </w:r>
          </w:p>
        </w:tc>
        <w:tc>
          <w:tcPr>
            <w:tcW w:w="799" w:type="dxa"/>
            <w:tcBorders>
              <w:top w:val="nil"/>
              <w:bottom w:val="nil"/>
            </w:tcBorders>
            <w:hideMark/>
          </w:tcPr>
          <w:p w14:paraId="2FC5536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16.40</w:t>
            </w:r>
          </w:p>
        </w:tc>
        <w:tc>
          <w:tcPr>
            <w:tcW w:w="798" w:type="dxa"/>
            <w:tcBorders>
              <w:top w:val="nil"/>
              <w:bottom w:val="nil"/>
            </w:tcBorders>
            <w:hideMark/>
          </w:tcPr>
          <w:p w14:paraId="401CD81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17.45</w:t>
            </w:r>
          </w:p>
        </w:tc>
        <w:tc>
          <w:tcPr>
            <w:tcW w:w="799" w:type="dxa"/>
            <w:tcBorders>
              <w:top w:val="nil"/>
              <w:bottom w:val="nil"/>
            </w:tcBorders>
            <w:hideMark/>
          </w:tcPr>
          <w:p w14:paraId="2D9A4C5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15.83</w:t>
            </w:r>
          </w:p>
        </w:tc>
        <w:tc>
          <w:tcPr>
            <w:tcW w:w="798" w:type="dxa"/>
            <w:tcBorders>
              <w:top w:val="nil"/>
              <w:bottom w:val="nil"/>
            </w:tcBorders>
            <w:hideMark/>
          </w:tcPr>
          <w:p w14:paraId="136E52C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21.91</w:t>
            </w:r>
          </w:p>
        </w:tc>
        <w:tc>
          <w:tcPr>
            <w:tcW w:w="799" w:type="dxa"/>
            <w:tcBorders>
              <w:top w:val="nil"/>
              <w:bottom w:val="nil"/>
            </w:tcBorders>
            <w:hideMark/>
          </w:tcPr>
          <w:p w14:paraId="0A69B11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19.37</w:t>
            </w:r>
          </w:p>
        </w:tc>
        <w:tc>
          <w:tcPr>
            <w:tcW w:w="798" w:type="dxa"/>
            <w:tcBorders>
              <w:top w:val="nil"/>
              <w:bottom w:val="nil"/>
            </w:tcBorders>
            <w:hideMark/>
          </w:tcPr>
          <w:p w14:paraId="13BADC2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17.05</w:t>
            </w:r>
          </w:p>
        </w:tc>
        <w:tc>
          <w:tcPr>
            <w:tcW w:w="799" w:type="dxa"/>
            <w:tcBorders>
              <w:top w:val="nil"/>
              <w:bottom w:val="nil"/>
            </w:tcBorders>
            <w:hideMark/>
          </w:tcPr>
          <w:p w14:paraId="029C8B2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16.31</w:t>
            </w:r>
          </w:p>
        </w:tc>
        <w:tc>
          <w:tcPr>
            <w:tcW w:w="798" w:type="dxa"/>
            <w:tcBorders>
              <w:top w:val="nil"/>
              <w:bottom w:val="nil"/>
            </w:tcBorders>
            <w:hideMark/>
          </w:tcPr>
          <w:p w14:paraId="4A9224F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10.79</w:t>
            </w:r>
          </w:p>
        </w:tc>
        <w:tc>
          <w:tcPr>
            <w:tcW w:w="799" w:type="dxa"/>
            <w:tcBorders>
              <w:top w:val="nil"/>
              <w:bottom w:val="nil"/>
            </w:tcBorders>
            <w:hideMark/>
          </w:tcPr>
          <w:p w14:paraId="63A1D9F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19.66</w:t>
            </w:r>
          </w:p>
        </w:tc>
        <w:tc>
          <w:tcPr>
            <w:tcW w:w="799" w:type="dxa"/>
            <w:tcBorders>
              <w:top w:val="nil"/>
              <w:bottom w:val="nil"/>
            </w:tcBorders>
            <w:hideMark/>
          </w:tcPr>
          <w:p w14:paraId="5335058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16.08</w:t>
            </w:r>
          </w:p>
        </w:tc>
      </w:tr>
      <w:tr w:rsidR="00AB238E" w:rsidRPr="00705903" w14:paraId="308F836E"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D86D4DE"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2011</w:t>
            </w:r>
          </w:p>
        </w:tc>
        <w:tc>
          <w:tcPr>
            <w:tcW w:w="798" w:type="dxa"/>
            <w:tcBorders>
              <w:top w:val="nil"/>
              <w:bottom w:val="nil"/>
            </w:tcBorders>
            <w:hideMark/>
          </w:tcPr>
          <w:p w14:paraId="28A11DC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24.06</w:t>
            </w:r>
          </w:p>
        </w:tc>
        <w:tc>
          <w:tcPr>
            <w:tcW w:w="799" w:type="dxa"/>
            <w:tcBorders>
              <w:top w:val="nil"/>
              <w:bottom w:val="nil"/>
            </w:tcBorders>
            <w:hideMark/>
          </w:tcPr>
          <w:p w14:paraId="47FFCF3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16.90</w:t>
            </w:r>
          </w:p>
        </w:tc>
        <w:tc>
          <w:tcPr>
            <w:tcW w:w="798" w:type="dxa"/>
            <w:tcBorders>
              <w:top w:val="nil"/>
              <w:bottom w:val="nil"/>
            </w:tcBorders>
            <w:hideMark/>
          </w:tcPr>
          <w:p w14:paraId="3BBDDAE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17.65</w:t>
            </w:r>
          </w:p>
        </w:tc>
        <w:tc>
          <w:tcPr>
            <w:tcW w:w="799" w:type="dxa"/>
            <w:tcBorders>
              <w:top w:val="nil"/>
              <w:bottom w:val="nil"/>
            </w:tcBorders>
            <w:hideMark/>
          </w:tcPr>
          <w:p w14:paraId="7D83D34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16.55</w:t>
            </w:r>
          </w:p>
        </w:tc>
        <w:tc>
          <w:tcPr>
            <w:tcW w:w="798" w:type="dxa"/>
            <w:tcBorders>
              <w:top w:val="nil"/>
              <w:bottom w:val="nil"/>
            </w:tcBorders>
            <w:hideMark/>
          </w:tcPr>
          <w:p w14:paraId="454CC18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22.88</w:t>
            </w:r>
          </w:p>
        </w:tc>
        <w:tc>
          <w:tcPr>
            <w:tcW w:w="799" w:type="dxa"/>
            <w:tcBorders>
              <w:top w:val="nil"/>
              <w:bottom w:val="nil"/>
            </w:tcBorders>
            <w:hideMark/>
          </w:tcPr>
          <w:p w14:paraId="2CA8379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20.26</w:t>
            </w:r>
          </w:p>
        </w:tc>
        <w:tc>
          <w:tcPr>
            <w:tcW w:w="798" w:type="dxa"/>
            <w:tcBorders>
              <w:top w:val="nil"/>
              <w:bottom w:val="nil"/>
            </w:tcBorders>
            <w:hideMark/>
          </w:tcPr>
          <w:p w14:paraId="4C6AACB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18.11</w:t>
            </w:r>
          </w:p>
        </w:tc>
        <w:tc>
          <w:tcPr>
            <w:tcW w:w="799" w:type="dxa"/>
            <w:tcBorders>
              <w:top w:val="nil"/>
              <w:bottom w:val="nil"/>
            </w:tcBorders>
            <w:hideMark/>
          </w:tcPr>
          <w:p w14:paraId="3371068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16.96</w:t>
            </w:r>
          </w:p>
        </w:tc>
        <w:tc>
          <w:tcPr>
            <w:tcW w:w="798" w:type="dxa"/>
            <w:tcBorders>
              <w:top w:val="nil"/>
              <w:bottom w:val="nil"/>
            </w:tcBorders>
            <w:hideMark/>
          </w:tcPr>
          <w:p w14:paraId="12135FC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19.68</w:t>
            </w:r>
          </w:p>
        </w:tc>
        <w:tc>
          <w:tcPr>
            <w:tcW w:w="799" w:type="dxa"/>
            <w:tcBorders>
              <w:top w:val="nil"/>
              <w:bottom w:val="nil"/>
            </w:tcBorders>
            <w:hideMark/>
          </w:tcPr>
          <w:p w14:paraId="0C4E11C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19.31</w:t>
            </w:r>
          </w:p>
        </w:tc>
        <w:tc>
          <w:tcPr>
            <w:tcW w:w="799" w:type="dxa"/>
            <w:tcBorders>
              <w:top w:val="nil"/>
              <w:bottom w:val="nil"/>
            </w:tcBorders>
            <w:hideMark/>
          </w:tcPr>
          <w:p w14:paraId="2A0C2FB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16.15</w:t>
            </w:r>
          </w:p>
        </w:tc>
      </w:tr>
      <w:tr w:rsidR="00AB238E" w:rsidRPr="00705903" w14:paraId="58C1C6BD"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CB1E7C9"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2012</w:t>
            </w:r>
          </w:p>
        </w:tc>
        <w:tc>
          <w:tcPr>
            <w:tcW w:w="798" w:type="dxa"/>
            <w:tcBorders>
              <w:top w:val="nil"/>
              <w:bottom w:val="nil"/>
            </w:tcBorders>
            <w:hideMark/>
          </w:tcPr>
          <w:p w14:paraId="2015AED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27.60</w:t>
            </w:r>
          </w:p>
        </w:tc>
        <w:tc>
          <w:tcPr>
            <w:tcW w:w="799" w:type="dxa"/>
            <w:tcBorders>
              <w:top w:val="nil"/>
              <w:bottom w:val="nil"/>
            </w:tcBorders>
            <w:hideMark/>
          </w:tcPr>
          <w:p w14:paraId="7AE01C2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20.57</w:t>
            </w:r>
          </w:p>
        </w:tc>
        <w:tc>
          <w:tcPr>
            <w:tcW w:w="798" w:type="dxa"/>
            <w:tcBorders>
              <w:top w:val="nil"/>
              <w:bottom w:val="nil"/>
            </w:tcBorders>
            <w:hideMark/>
          </w:tcPr>
          <w:p w14:paraId="02A5060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21.12</w:t>
            </w:r>
          </w:p>
        </w:tc>
        <w:tc>
          <w:tcPr>
            <w:tcW w:w="799" w:type="dxa"/>
            <w:tcBorders>
              <w:top w:val="nil"/>
              <w:bottom w:val="nil"/>
            </w:tcBorders>
            <w:hideMark/>
          </w:tcPr>
          <w:p w14:paraId="0FE4BF6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20.53</w:t>
            </w:r>
          </w:p>
        </w:tc>
        <w:tc>
          <w:tcPr>
            <w:tcW w:w="798" w:type="dxa"/>
            <w:tcBorders>
              <w:top w:val="nil"/>
              <w:bottom w:val="nil"/>
            </w:tcBorders>
            <w:hideMark/>
          </w:tcPr>
          <w:p w14:paraId="559017E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27.74</w:t>
            </w:r>
          </w:p>
        </w:tc>
        <w:tc>
          <w:tcPr>
            <w:tcW w:w="799" w:type="dxa"/>
            <w:tcBorders>
              <w:top w:val="nil"/>
              <w:bottom w:val="nil"/>
            </w:tcBorders>
            <w:hideMark/>
          </w:tcPr>
          <w:p w14:paraId="13F2EED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25.12</w:t>
            </w:r>
          </w:p>
        </w:tc>
        <w:tc>
          <w:tcPr>
            <w:tcW w:w="798" w:type="dxa"/>
            <w:tcBorders>
              <w:top w:val="nil"/>
              <w:bottom w:val="nil"/>
            </w:tcBorders>
            <w:hideMark/>
          </w:tcPr>
          <w:p w14:paraId="69C063D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22.27</w:t>
            </w:r>
          </w:p>
        </w:tc>
        <w:tc>
          <w:tcPr>
            <w:tcW w:w="799" w:type="dxa"/>
            <w:tcBorders>
              <w:top w:val="nil"/>
              <w:bottom w:val="nil"/>
            </w:tcBorders>
            <w:hideMark/>
          </w:tcPr>
          <w:p w14:paraId="14C458B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20.88</w:t>
            </w:r>
          </w:p>
        </w:tc>
        <w:tc>
          <w:tcPr>
            <w:tcW w:w="798" w:type="dxa"/>
            <w:tcBorders>
              <w:top w:val="nil"/>
              <w:bottom w:val="nil"/>
            </w:tcBorders>
            <w:hideMark/>
          </w:tcPr>
          <w:p w14:paraId="4B8B9A1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13.64</w:t>
            </w:r>
          </w:p>
        </w:tc>
        <w:tc>
          <w:tcPr>
            <w:tcW w:w="799" w:type="dxa"/>
            <w:tcBorders>
              <w:top w:val="nil"/>
              <w:bottom w:val="nil"/>
            </w:tcBorders>
            <w:hideMark/>
          </w:tcPr>
          <w:p w14:paraId="45A2BCF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23.18</w:t>
            </w:r>
          </w:p>
        </w:tc>
        <w:tc>
          <w:tcPr>
            <w:tcW w:w="799" w:type="dxa"/>
            <w:tcBorders>
              <w:top w:val="nil"/>
              <w:bottom w:val="nil"/>
            </w:tcBorders>
            <w:hideMark/>
          </w:tcPr>
          <w:p w14:paraId="0F3754E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20.21</w:t>
            </w:r>
          </w:p>
        </w:tc>
      </w:tr>
      <w:tr w:rsidR="00AB238E" w:rsidRPr="00705903" w14:paraId="71005DC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CF214CF"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2013</w:t>
            </w:r>
          </w:p>
        </w:tc>
        <w:tc>
          <w:tcPr>
            <w:tcW w:w="798" w:type="dxa"/>
            <w:tcBorders>
              <w:top w:val="nil"/>
              <w:bottom w:val="nil"/>
            </w:tcBorders>
            <w:hideMark/>
          </w:tcPr>
          <w:p w14:paraId="0E14FC0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29.62</w:t>
            </w:r>
          </w:p>
        </w:tc>
        <w:tc>
          <w:tcPr>
            <w:tcW w:w="799" w:type="dxa"/>
            <w:tcBorders>
              <w:top w:val="nil"/>
              <w:bottom w:val="nil"/>
            </w:tcBorders>
            <w:hideMark/>
          </w:tcPr>
          <w:p w14:paraId="56146BA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21.99</w:t>
            </w:r>
          </w:p>
        </w:tc>
        <w:tc>
          <w:tcPr>
            <w:tcW w:w="798" w:type="dxa"/>
            <w:tcBorders>
              <w:top w:val="nil"/>
              <w:bottom w:val="nil"/>
            </w:tcBorders>
            <w:hideMark/>
          </w:tcPr>
          <w:p w14:paraId="6873F0B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22.60</w:t>
            </w:r>
          </w:p>
        </w:tc>
        <w:tc>
          <w:tcPr>
            <w:tcW w:w="799" w:type="dxa"/>
            <w:tcBorders>
              <w:top w:val="nil"/>
              <w:bottom w:val="nil"/>
            </w:tcBorders>
            <w:hideMark/>
          </w:tcPr>
          <w:p w14:paraId="42E5812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21.09</w:t>
            </w:r>
          </w:p>
        </w:tc>
        <w:tc>
          <w:tcPr>
            <w:tcW w:w="798" w:type="dxa"/>
            <w:tcBorders>
              <w:top w:val="nil"/>
              <w:bottom w:val="nil"/>
            </w:tcBorders>
            <w:hideMark/>
          </w:tcPr>
          <w:p w14:paraId="7998A09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29.02</w:t>
            </w:r>
          </w:p>
        </w:tc>
        <w:tc>
          <w:tcPr>
            <w:tcW w:w="799" w:type="dxa"/>
            <w:tcBorders>
              <w:top w:val="nil"/>
              <w:bottom w:val="nil"/>
            </w:tcBorders>
            <w:hideMark/>
          </w:tcPr>
          <w:p w14:paraId="6F56930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25.72</w:t>
            </w:r>
          </w:p>
        </w:tc>
        <w:tc>
          <w:tcPr>
            <w:tcW w:w="798" w:type="dxa"/>
            <w:tcBorders>
              <w:top w:val="nil"/>
              <w:bottom w:val="nil"/>
            </w:tcBorders>
            <w:hideMark/>
          </w:tcPr>
          <w:p w14:paraId="675283D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24.87</w:t>
            </w:r>
          </w:p>
        </w:tc>
        <w:tc>
          <w:tcPr>
            <w:tcW w:w="799" w:type="dxa"/>
            <w:tcBorders>
              <w:top w:val="nil"/>
              <w:bottom w:val="nil"/>
            </w:tcBorders>
            <w:hideMark/>
          </w:tcPr>
          <w:p w14:paraId="6398163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20.31</w:t>
            </w:r>
          </w:p>
        </w:tc>
        <w:tc>
          <w:tcPr>
            <w:tcW w:w="798" w:type="dxa"/>
            <w:tcBorders>
              <w:top w:val="nil"/>
              <w:bottom w:val="nil"/>
            </w:tcBorders>
            <w:hideMark/>
          </w:tcPr>
          <w:p w14:paraId="5C99DAC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9.99</w:t>
            </w:r>
          </w:p>
        </w:tc>
        <w:tc>
          <w:tcPr>
            <w:tcW w:w="799" w:type="dxa"/>
            <w:tcBorders>
              <w:top w:val="nil"/>
              <w:bottom w:val="nil"/>
            </w:tcBorders>
            <w:hideMark/>
          </w:tcPr>
          <w:p w14:paraId="156BF6F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24.75</w:t>
            </w:r>
          </w:p>
        </w:tc>
        <w:tc>
          <w:tcPr>
            <w:tcW w:w="799" w:type="dxa"/>
            <w:tcBorders>
              <w:top w:val="nil"/>
              <w:bottom w:val="nil"/>
            </w:tcBorders>
            <w:hideMark/>
          </w:tcPr>
          <w:p w14:paraId="69EE2B4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20.86</w:t>
            </w:r>
          </w:p>
        </w:tc>
      </w:tr>
      <w:tr w:rsidR="00AB238E" w:rsidRPr="00705903" w14:paraId="226C4E25"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61A5A3C"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2014</w:t>
            </w:r>
          </w:p>
        </w:tc>
        <w:tc>
          <w:tcPr>
            <w:tcW w:w="798" w:type="dxa"/>
            <w:tcBorders>
              <w:top w:val="nil"/>
              <w:bottom w:val="nil"/>
            </w:tcBorders>
            <w:hideMark/>
          </w:tcPr>
          <w:p w14:paraId="2C04797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30.51</w:t>
            </w:r>
          </w:p>
        </w:tc>
        <w:tc>
          <w:tcPr>
            <w:tcW w:w="799" w:type="dxa"/>
            <w:tcBorders>
              <w:top w:val="nil"/>
              <w:bottom w:val="nil"/>
            </w:tcBorders>
            <w:hideMark/>
          </w:tcPr>
          <w:p w14:paraId="42B41FD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22.40</w:t>
            </w:r>
          </w:p>
        </w:tc>
        <w:tc>
          <w:tcPr>
            <w:tcW w:w="798" w:type="dxa"/>
            <w:tcBorders>
              <w:top w:val="nil"/>
              <w:bottom w:val="nil"/>
            </w:tcBorders>
            <w:hideMark/>
          </w:tcPr>
          <w:p w14:paraId="13359C7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22.61</w:t>
            </w:r>
          </w:p>
        </w:tc>
        <w:tc>
          <w:tcPr>
            <w:tcW w:w="799" w:type="dxa"/>
            <w:tcBorders>
              <w:top w:val="nil"/>
              <w:bottom w:val="nil"/>
            </w:tcBorders>
            <w:hideMark/>
          </w:tcPr>
          <w:p w14:paraId="0AC097F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21.50</w:t>
            </w:r>
          </w:p>
        </w:tc>
        <w:tc>
          <w:tcPr>
            <w:tcW w:w="798" w:type="dxa"/>
            <w:tcBorders>
              <w:top w:val="nil"/>
              <w:bottom w:val="nil"/>
            </w:tcBorders>
            <w:hideMark/>
          </w:tcPr>
          <w:p w14:paraId="19938A1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30.45</w:t>
            </w:r>
          </w:p>
        </w:tc>
        <w:tc>
          <w:tcPr>
            <w:tcW w:w="799" w:type="dxa"/>
            <w:tcBorders>
              <w:top w:val="nil"/>
              <w:bottom w:val="nil"/>
            </w:tcBorders>
            <w:hideMark/>
          </w:tcPr>
          <w:p w14:paraId="4C24A11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26.18</w:t>
            </w:r>
          </w:p>
        </w:tc>
        <w:tc>
          <w:tcPr>
            <w:tcW w:w="798" w:type="dxa"/>
            <w:tcBorders>
              <w:top w:val="nil"/>
              <w:bottom w:val="nil"/>
            </w:tcBorders>
            <w:hideMark/>
          </w:tcPr>
          <w:p w14:paraId="3445C7C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22.95</w:t>
            </w:r>
          </w:p>
        </w:tc>
        <w:tc>
          <w:tcPr>
            <w:tcW w:w="799" w:type="dxa"/>
            <w:tcBorders>
              <w:top w:val="nil"/>
              <w:bottom w:val="nil"/>
            </w:tcBorders>
            <w:hideMark/>
          </w:tcPr>
          <w:p w14:paraId="740EDD6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20.19</w:t>
            </w:r>
          </w:p>
        </w:tc>
        <w:tc>
          <w:tcPr>
            <w:tcW w:w="798" w:type="dxa"/>
            <w:tcBorders>
              <w:top w:val="nil"/>
              <w:bottom w:val="nil"/>
            </w:tcBorders>
            <w:hideMark/>
          </w:tcPr>
          <w:p w14:paraId="794FF79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20.38</w:t>
            </w:r>
          </w:p>
        </w:tc>
        <w:tc>
          <w:tcPr>
            <w:tcW w:w="799" w:type="dxa"/>
            <w:tcBorders>
              <w:top w:val="nil"/>
              <w:bottom w:val="nil"/>
            </w:tcBorders>
            <w:hideMark/>
          </w:tcPr>
          <w:p w14:paraId="0BDACAA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23.94</w:t>
            </w:r>
          </w:p>
        </w:tc>
        <w:tc>
          <w:tcPr>
            <w:tcW w:w="799" w:type="dxa"/>
            <w:tcBorders>
              <w:top w:val="nil"/>
              <w:bottom w:val="nil"/>
            </w:tcBorders>
            <w:hideMark/>
          </w:tcPr>
          <w:p w14:paraId="639D3E4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19.73</w:t>
            </w:r>
          </w:p>
        </w:tc>
      </w:tr>
      <w:tr w:rsidR="00AB238E" w:rsidRPr="00705903" w14:paraId="71AB256D"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FFE9511"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2015</w:t>
            </w:r>
          </w:p>
        </w:tc>
        <w:tc>
          <w:tcPr>
            <w:tcW w:w="798" w:type="dxa"/>
            <w:tcBorders>
              <w:top w:val="nil"/>
              <w:bottom w:val="nil"/>
            </w:tcBorders>
            <w:hideMark/>
          </w:tcPr>
          <w:p w14:paraId="54A98CC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30.15</w:t>
            </w:r>
          </w:p>
        </w:tc>
        <w:tc>
          <w:tcPr>
            <w:tcW w:w="799" w:type="dxa"/>
            <w:tcBorders>
              <w:top w:val="nil"/>
              <w:bottom w:val="nil"/>
            </w:tcBorders>
            <w:hideMark/>
          </w:tcPr>
          <w:p w14:paraId="078ACC2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24.50</w:t>
            </w:r>
          </w:p>
        </w:tc>
        <w:tc>
          <w:tcPr>
            <w:tcW w:w="798" w:type="dxa"/>
            <w:tcBorders>
              <w:top w:val="nil"/>
              <w:bottom w:val="nil"/>
            </w:tcBorders>
            <w:hideMark/>
          </w:tcPr>
          <w:p w14:paraId="72C75C9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24.17</w:t>
            </w:r>
          </w:p>
        </w:tc>
        <w:tc>
          <w:tcPr>
            <w:tcW w:w="799" w:type="dxa"/>
            <w:tcBorders>
              <w:top w:val="nil"/>
              <w:bottom w:val="nil"/>
            </w:tcBorders>
            <w:hideMark/>
          </w:tcPr>
          <w:p w14:paraId="65381E4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22.03</w:t>
            </w:r>
          </w:p>
        </w:tc>
        <w:tc>
          <w:tcPr>
            <w:tcW w:w="798" w:type="dxa"/>
            <w:tcBorders>
              <w:top w:val="nil"/>
              <w:bottom w:val="nil"/>
            </w:tcBorders>
            <w:hideMark/>
          </w:tcPr>
          <w:p w14:paraId="34EEEC7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32.18</w:t>
            </w:r>
          </w:p>
        </w:tc>
        <w:tc>
          <w:tcPr>
            <w:tcW w:w="799" w:type="dxa"/>
            <w:tcBorders>
              <w:top w:val="nil"/>
              <w:bottom w:val="nil"/>
            </w:tcBorders>
            <w:hideMark/>
          </w:tcPr>
          <w:p w14:paraId="4CF1E36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27.27</w:t>
            </w:r>
          </w:p>
        </w:tc>
        <w:tc>
          <w:tcPr>
            <w:tcW w:w="798" w:type="dxa"/>
            <w:tcBorders>
              <w:top w:val="nil"/>
              <w:bottom w:val="nil"/>
            </w:tcBorders>
            <w:hideMark/>
          </w:tcPr>
          <w:p w14:paraId="76ACAD6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22.54</w:t>
            </w:r>
          </w:p>
        </w:tc>
        <w:tc>
          <w:tcPr>
            <w:tcW w:w="799" w:type="dxa"/>
            <w:tcBorders>
              <w:top w:val="nil"/>
              <w:bottom w:val="nil"/>
            </w:tcBorders>
            <w:hideMark/>
          </w:tcPr>
          <w:p w14:paraId="5985D00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22.54</w:t>
            </w:r>
          </w:p>
        </w:tc>
        <w:tc>
          <w:tcPr>
            <w:tcW w:w="798" w:type="dxa"/>
            <w:tcBorders>
              <w:top w:val="nil"/>
              <w:bottom w:val="nil"/>
            </w:tcBorders>
            <w:hideMark/>
          </w:tcPr>
          <w:p w14:paraId="7D8A03E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14.03</w:t>
            </w:r>
          </w:p>
        </w:tc>
        <w:tc>
          <w:tcPr>
            <w:tcW w:w="799" w:type="dxa"/>
            <w:tcBorders>
              <w:top w:val="nil"/>
              <w:bottom w:val="nil"/>
            </w:tcBorders>
            <w:hideMark/>
          </w:tcPr>
          <w:p w14:paraId="32C424E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24.98</w:t>
            </w:r>
          </w:p>
        </w:tc>
        <w:tc>
          <w:tcPr>
            <w:tcW w:w="799" w:type="dxa"/>
            <w:tcBorders>
              <w:top w:val="nil"/>
              <w:bottom w:val="nil"/>
            </w:tcBorders>
            <w:hideMark/>
          </w:tcPr>
          <w:p w14:paraId="29C7D10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18.81</w:t>
            </w:r>
          </w:p>
        </w:tc>
      </w:tr>
      <w:tr w:rsidR="00AB238E" w:rsidRPr="00705903" w14:paraId="1FE596F4"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DC7BAA9"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2016</w:t>
            </w:r>
          </w:p>
        </w:tc>
        <w:tc>
          <w:tcPr>
            <w:tcW w:w="798" w:type="dxa"/>
            <w:tcBorders>
              <w:top w:val="nil"/>
              <w:bottom w:val="nil"/>
            </w:tcBorders>
            <w:hideMark/>
          </w:tcPr>
          <w:p w14:paraId="0250CD2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29.81</w:t>
            </w:r>
          </w:p>
        </w:tc>
        <w:tc>
          <w:tcPr>
            <w:tcW w:w="799" w:type="dxa"/>
            <w:tcBorders>
              <w:top w:val="nil"/>
              <w:bottom w:val="nil"/>
            </w:tcBorders>
            <w:hideMark/>
          </w:tcPr>
          <w:p w14:paraId="70DBDA6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24.90</w:t>
            </w:r>
          </w:p>
        </w:tc>
        <w:tc>
          <w:tcPr>
            <w:tcW w:w="798" w:type="dxa"/>
            <w:tcBorders>
              <w:top w:val="nil"/>
              <w:bottom w:val="nil"/>
            </w:tcBorders>
            <w:hideMark/>
          </w:tcPr>
          <w:p w14:paraId="3D56EEA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25.18</w:t>
            </w:r>
          </w:p>
        </w:tc>
        <w:tc>
          <w:tcPr>
            <w:tcW w:w="799" w:type="dxa"/>
            <w:tcBorders>
              <w:top w:val="nil"/>
              <w:bottom w:val="nil"/>
            </w:tcBorders>
            <w:hideMark/>
          </w:tcPr>
          <w:p w14:paraId="4B0E347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22.41</w:t>
            </w:r>
          </w:p>
        </w:tc>
        <w:tc>
          <w:tcPr>
            <w:tcW w:w="798" w:type="dxa"/>
            <w:tcBorders>
              <w:top w:val="nil"/>
              <w:bottom w:val="nil"/>
            </w:tcBorders>
            <w:hideMark/>
          </w:tcPr>
          <w:p w14:paraId="7B00859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32.57</w:t>
            </w:r>
          </w:p>
        </w:tc>
        <w:tc>
          <w:tcPr>
            <w:tcW w:w="799" w:type="dxa"/>
            <w:tcBorders>
              <w:top w:val="nil"/>
              <w:bottom w:val="nil"/>
            </w:tcBorders>
            <w:hideMark/>
          </w:tcPr>
          <w:p w14:paraId="5E12A89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26.95</w:t>
            </w:r>
          </w:p>
        </w:tc>
        <w:tc>
          <w:tcPr>
            <w:tcW w:w="798" w:type="dxa"/>
            <w:tcBorders>
              <w:top w:val="nil"/>
              <w:bottom w:val="nil"/>
            </w:tcBorders>
            <w:hideMark/>
          </w:tcPr>
          <w:p w14:paraId="0CDA402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22.72</w:t>
            </w:r>
          </w:p>
        </w:tc>
        <w:tc>
          <w:tcPr>
            <w:tcW w:w="799" w:type="dxa"/>
            <w:tcBorders>
              <w:top w:val="nil"/>
              <w:bottom w:val="nil"/>
            </w:tcBorders>
            <w:hideMark/>
          </w:tcPr>
          <w:p w14:paraId="2BDC2B2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23.38</w:t>
            </w:r>
          </w:p>
        </w:tc>
        <w:tc>
          <w:tcPr>
            <w:tcW w:w="798" w:type="dxa"/>
            <w:tcBorders>
              <w:top w:val="nil"/>
              <w:bottom w:val="nil"/>
            </w:tcBorders>
            <w:hideMark/>
          </w:tcPr>
          <w:p w14:paraId="387145B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13.75</w:t>
            </w:r>
          </w:p>
        </w:tc>
        <w:tc>
          <w:tcPr>
            <w:tcW w:w="799" w:type="dxa"/>
            <w:tcBorders>
              <w:top w:val="nil"/>
              <w:bottom w:val="nil"/>
            </w:tcBorders>
            <w:hideMark/>
          </w:tcPr>
          <w:p w14:paraId="6C8CA50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27.02</w:t>
            </w:r>
          </w:p>
        </w:tc>
        <w:tc>
          <w:tcPr>
            <w:tcW w:w="799" w:type="dxa"/>
            <w:tcBorders>
              <w:top w:val="nil"/>
              <w:bottom w:val="nil"/>
            </w:tcBorders>
            <w:hideMark/>
          </w:tcPr>
          <w:p w14:paraId="6AA3905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19.56</w:t>
            </w:r>
          </w:p>
        </w:tc>
      </w:tr>
      <w:tr w:rsidR="00AB238E" w:rsidRPr="00705903" w14:paraId="4817CB2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5DCC257"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2017</w:t>
            </w:r>
          </w:p>
        </w:tc>
        <w:tc>
          <w:tcPr>
            <w:tcW w:w="798" w:type="dxa"/>
            <w:tcBorders>
              <w:top w:val="nil"/>
              <w:bottom w:val="nil"/>
            </w:tcBorders>
            <w:hideMark/>
          </w:tcPr>
          <w:p w14:paraId="41186A2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32.91</w:t>
            </w:r>
          </w:p>
        </w:tc>
        <w:tc>
          <w:tcPr>
            <w:tcW w:w="799" w:type="dxa"/>
            <w:tcBorders>
              <w:top w:val="nil"/>
              <w:bottom w:val="nil"/>
            </w:tcBorders>
            <w:hideMark/>
          </w:tcPr>
          <w:p w14:paraId="60AE5A1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26.46</w:t>
            </w:r>
          </w:p>
        </w:tc>
        <w:tc>
          <w:tcPr>
            <w:tcW w:w="798" w:type="dxa"/>
            <w:tcBorders>
              <w:top w:val="nil"/>
              <w:bottom w:val="nil"/>
            </w:tcBorders>
            <w:hideMark/>
          </w:tcPr>
          <w:p w14:paraId="1BC366C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26.51</w:t>
            </w:r>
          </w:p>
        </w:tc>
        <w:tc>
          <w:tcPr>
            <w:tcW w:w="799" w:type="dxa"/>
            <w:tcBorders>
              <w:top w:val="nil"/>
              <w:bottom w:val="nil"/>
            </w:tcBorders>
            <w:hideMark/>
          </w:tcPr>
          <w:p w14:paraId="324B614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23.83</w:t>
            </w:r>
          </w:p>
        </w:tc>
        <w:tc>
          <w:tcPr>
            <w:tcW w:w="798" w:type="dxa"/>
            <w:tcBorders>
              <w:top w:val="nil"/>
              <w:bottom w:val="nil"/>
            </w:tcBorders>
            <w:hideMark/>
          </w:tcPr>
          <w:p w14:paraId="10E07B8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33.12</w:t>
            </w:r>
          </w:p>
        </w:tc>
        <w:tc>
          <w:tcPr>
            <w:tcW w:w="799" w:type="dxa"/>
            <w:tcBorders>
              <w:top w:val="nil"/>
              <w:bottom w:val="nil"/>
            </w:tcBorders>
            <w:hideMark/>
          </w:tcPr>
          <w:p w14:paraId="0EEE9DA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28.81</w:t>
            </w:r>
          </w:p>
        </w:tc>
        <w:tc>
          <w:tcPr>
            <w:tcW w:w="798" w:type="dxa"/>
            <w:tcBorders>
              <w:top w:val="nil"/>
              <w:bottom w:val="nil"/>
            </w:tcBorders>
            <w:hideMark/>
          </w:tcPr>
          <w:p w14:paraId="732262A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26.46</w:t>
            </w:r>
          </w:p>
        </w:tc>
        <w:tc>
          <w:tcPr>
            <w:tcW w:w="799" w:type="dxa"/>
            <w:tcBorders>
              <w:top w:val="nil"/>
              <w:bottom w:val="nil"/>
            </w:tcBorders>
            <w:hideMark/>
          </w:tcPr>
          <w:p w14:paraId="092EDAB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25.28</w:t>
            </w:r>
          </w:p>
        </w:tc>
        <w:tc>
          <w:tcPr>
            <w:tcW w:w="798" w:type="dxa"/>
            <w:tcBorders>
              <w:top w:val="nil"/>
              <w:bottom w:val="nil"/>
            </w:tcBorders>
            <w:hideMark/>
          </w:tcPr>
          <w:p w14:paraId="658852E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18.53</w:t>
            </w:r>
          </w:p>
        </w:tc>
        <w:tc>
          <w:tcPr>
            <w:tcW w:w="799" w:type="dxa"/>
            <w:tcBorders>
              <w:top w:val="nil"/>
              <w:bottom w:val="nil"/>
            </w:tcBorders>
            <w:hideMark/>
          </w:tcPr>
          <w:p w14:paraId="39E12DE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29.12</w:t>
            </w:r>
          </w:p>
        </w:tc>
        <w:tc>
          <w:tcPr>
            <w:tcW w:w="799" w:type="dxa"/>
            <w:tcBorders>
              <w:top w:val="nil"/>
              <w:bottom w:val="nil"/>
            </w:tcBorders>
            <w:hideMark/>
          </w:tcPr>
          <w:p w14:paraId="0EAAC36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21.94</w:t>
            </w:r>
          </w:p>
        </w:tc>
      </w:tr>
      <w:tr w:rsidR="00AB238E" w:rsidRPr="00705903" w14:paraId="7854DA93"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3DA0EA8"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2018</w:t>
            </w:r>
          </w:p>
        </w:tc>
        <w:tc>
          <w:tcPr>
            <w:tcW w:w="798" w:type="dxa"/>
            <w:tcBorders>
              <w:top w:val="nil"/>
              <w:bottom w:val="nil"/>
            </w:tcBorders>
            <w:hideMark/>
          </w:tcPr>
          <w:p w14:paraId="6F711B4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32.16</w:t>
            </w:r>
          </w:p>
        </w:tc>
        <w:tc>
          <w:tcPr>
            <w:tcW w:w="799" w:type="dxa"/>
            <w:tcBorders>
              <w:top w:val="nil"/>
              <w:bottom w:val="nil"/>
            </w:tcBorders>
            <w:hideMark/>
          </w:tcPr>
          <w:p w14:paraId="61310B6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27.28</w:t>
            </w:r>
          </w:p>
        </w:tc>
        <w:tc>
          <w:tcPr>
            <w:tcW w:w="798" w:type="dxa"/>
            <w:tcBorders>
              <w:top w:val="nil"/>
              <w:bottom w:val="nil"/>
            </w:tcBorders>
            <w:hideMark/>
          </w:tcPr>
          <w:p w14:paraId="318F2B5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27.67</w:t>
            </w:r>
          </w:p>
        </w:tc>
        <w:tc>
          <w:tcPr>
            <w:tcW w:w="799" w:type="dxa"/>
            <w:tcBorders>
              <w:top w:val="nil"/>
              <w:bottom w:val="nil"/>
            </w:tcBorders>
            <w:hideMark/>
          </w:tcPr>
          <w:p w14:paraId="5C7E4F9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25.18</w:t>
            </w:r>
          </w:p>
        </w:tc>
        <w:tc>
          <w:tcPr>
            <w:tcW w:w="798" w:type="dxa"/>
            <w:tcBorders>
              <w:top w:val="nil"/>
              <w:bottom w:val="nil"/>
            </w:tcBorders>
            <w:hideMark/>
          </w:tcPr>
          <w:p w14:paraId="74BF58E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34.64</w:t>
            </w:r>
          </w:p>
        </w:tc>
        <w:tc>
          <w:tcPr>
            <w:tcW w:w="799" w:type="dxa"/>
            <w:tcBorders>
              <w:top w:val="nil"/>
              <w:bottom w:val="nil"/>
            </w:tcBorders>
            <w:hideMark/>
          </w:tcPr>
          <w:p w14:paraId="6BC2469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29.12</w:t>
            </w:r>
          </w:p>
        </w:tc>
        <w:tc>
          <w:tcPr>
            <w:tcW w:w="798" w:type="dxa"/>
            <w:tcBorders>
              <w:top w:val="nil"/>
              <w:bottom w:val="nil"/>
            </w:tcBorders>
            <w:hideMark/>
          </w:tcPr>
          <w:p w14:paraId="171C1E4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25.00</w:t>
            </w:r>
          </w:p>
        </w:tc>
        <w:tc>
          <w:tcPr>
            <w:tcW w:w="799" w:type="dxa"/>
            <w:tcBorders>
              <w:top w:val="nil"/>
              <w:bottom w:val="nil"/>
            </w:tcBorders>
            <w:hideMark/>
          </w:tcPr>
          <w:p w14:paraId="2CC3300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25.52</w:t>
            </w:r>
          </w:p>
        </w:tc>
        <w:tc>
          <w:tcPr>
            <w:tcW w:w="798" w:type="dxa"/>
            <w:tcBorders>
              <w:top w:val="nil"/>
              <w:bottom w:val="nil"/>
            </w:tcBorders>
            <w:hideMark/>
          </w:tcPr>
          <w:p w14:paraId="5716AEB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31.35</w:t>
            </w:r>
          </w:p>
        </w:tc>
        <w:tc>
          <w:tcPr>
            <w:tcW w:w="799" w:type="dxa"/>
            <w:tcBorders>
              <w:top w:val="nil"/>
              <w:bottom w:val="nil"/>
            </w:tcBorders>
            <w:hideMark/>
          </w:tcPr>
          <w:p w14:paraId="1C39C6C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30.73</w:t>
            </w:r>
          </w:p>
        </w:tc>
        <w:tc>
          <w:tcPr>
            <w:tcW w:w="799" w:type="dxa"/>
            <w:tcBorders>
              <w:top w:val="nil"/>
              <w:bottom w:val="nil"/>
            </w:tcBorders>
            <w:hideMark/>
          </w:tcPr>
          <w:p w14:paraId="6F8C66E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22.12</w:t>
            </w:r>
          </w:p>
        </w:tc>
      </w:tr>
      <w:tr w:rsidR="00AB238E" w:rsidRPr="00705903" w14:paraId="18113AB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A5222D3"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2019</w:t>
            </w:r>
          </w:p>
        </w:tc>
        <w:tc>
          <w:tcPr>
            <w:tcW w:w="798" w:type="dxa"/>
            <w:tcBorders>
              <w:top w:val="nil"/>
              <w:bottom w:val="nil"/>
            </w:tcBorders>
            <w:hideMark/>
          </w:tcPr>
          <w:p w14:paraId="6C0EE85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30.42</w:t>
            </w:r>
          </w:p>
        </w:tc>
        <w:tc>
          <w:tcPr>
            <w:tcW w:w="799" w:type="dxa"/>
            <w:tcBorders>
              <w:top w:val="nil"/>
              <w:bottom w:val="nil"/>
            </w:tcBorders>
            <w:hideMark/>
          </w:tcPr>
          <w:p w14:paraId="12F557A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26.06</w:t>
            </w:r>
          </w:p>
        </w:tc>
        <w:tc>
          <w:tcPr>
            <w:tcW w:w="798" w:type="dxa"/>
            <w:tcBorders>
              <w:top w:val="nil"/>
              <w:bottom w:val="nil"/>
            </w:tcBorders>
            <w:hideMark/>
          </w:tcPr>
          <w:p w14:paraId="6931A00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25.27</w:t>
            </w:r>
          </w:p>
        </w:tc>
        <w:tc>
          <w:tcPr>
            <w:tcW w:w="799" w:type="dxa"/>
            <w:tcBorders>
              <w:top w:val="nil"/>
              <w:bottom w:val="nil"/>
            </w:tcBorders>
            <w:hideMark/>
          </w:tcPr>
          <w:p w14:paraId="2FD5030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23.09</w:t>
            </w:r>
          </w:p>
        </w:tc>
        <w:tc>
          <w:tcPr>
            <w:tcW w:w="798" w:type="dxa"/>
            <w:tcBorders>
              <w:top w:val="nil"/>
              <w:bottom w:val="nil"/>
            </w:tcBorders>
            <w:hideMark/>
          </w:tcPr>
          <w:p w14:paraId="19E1551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33.77</w:t>
            </w:r>
          </w:p>
        </w:tc>
        <w:tc>
          <w:tcPr>
            <w:tcW w:w="799" w:type="dxa"/>
            <w:tcBorders>
              <w:top w:val="nil"/>
              <w:bottom w:val="nil"/>
            </w:tcBorders>
            <w:hideMark/>
          </w:tcPr>
          <w:p w14:paraId="748A4CB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27.23</w:t>
            </w:r>
          </w:p>
        </w:tc>
        <w:tc>
          <w:tcPr>
            <w:tcW w:w="798" w:type="dxa"/>
            <w:tcBorders>
              <w:top w:val="nil"/>
              <w:bottom w:val="nil"/>
            </w:tcBorders>
            <w:hideMark/>
          </w:tcPr>
          <w:p w14:paraId="78AED26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23.00</w:t>
            </w:r>
          </w:p>
        </w:tc>
        <w:tc>
          <w:tcPr>
            <w:tcW w:w="799" w:type="dxa"/>
            <w:tcBorders>
              <w:top w:val="nil"/>
              <w:bottom w:val="nil"/>
            </w:tcBorders>
            <w:hideMark/>
          </w:tcPr>
          <w:p w14:paraId="65CA172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23.49</w:t>
            </w:r>
          </w:p>
        </w:tc>
        <w:tc>
          <w:tcPr>
            <w:tcW w:w="798" w:type="dxa"/>
            <w:tcBorders>
              <w:top w:val="nil"/>
              <w:bottom w:val="nil"/>
            </w:tcBorders>
            <w:hideMark/>
          </w:tcPr>
          <w:p w14:paraId="14E7F2E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21.23</w:t>
            </w:r>
          </w:p>
        </w:tc>
        <w:tc>
          <w:tcPr>
            <w:tcW w:w="799" w:type="dxa"/>
            <w:tcBorders>
              <w:top w:val="nil"/>
              <w:bottom w:val="nil"/>
            </w:tcBorders>
            <w:hideMark/>
          </w:tcPr>
          <w:p w14:paraId="215DCAA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29.10</w:t>
            </w:r>
          </w:p>
        </w:tc>
        <w:tc>
          <w:tcPr>
            <w:tcW w:w="799" w:type="dxa"/>
            <w:tcBorders>
              <w:top w:val="nil"/>
              <w:bottom w:val="nil"/>
            </w:tcBorders>
            <w:hideMark/>
          </w:tcPr>
          <w:p w14:paraId="2633460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21.11</w:t>
            </w:r>
          </w:p>
        </w:tc>
      </w:tr>
      <w:tr w:rsidR="00AB238E" w:rsidRPr="00705903" w14:paraId="2D08BDC7"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806CB68"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2020</w:t>
            </w:r>
          </w:p>
        </w:tc>
        <w:tc>
          <w:tcPr>
            <w:tcW w:w="798" w:type="dxa"/>
            <w:tcBorders>
              <w:top w:val="nil"/>
              <w:bottom w:val="nil"/>
            </w:tcBorders>
            <w:hideMark/>
          </w:tcPr>
          <w:p w14:paraId="67B64CD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30.93</w:t>
            </w:r>
          </w:p>
        </w:tc>
        <w:tc>
          <w:tcPr>
            <w:tcW w:w="799" w:type="dxa"/>
            <w:tcBorders>
              <w:top w:val="nil"/>
              <w:bottom w:val="nil"/>
            </w:tcBorders>
            <w:hideMark/>
          </w:tcPr>
          <w:p w14:paraId="57ADC75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26.69</w:t>
            </w:r>
          </w:p>
        </w:tc>
        <w:tc>
          <w:tcPr>
            <w:tcW w:w="798" w:type="dxa"/>
            <w:tcBorders>
              <w:top w:val="nil"/>
              <w:bottom w:val="nil"/>
            </w:tcBorders>
            <w:hideMark/>
          </w:tcPr>
          <w:p w14:paraId="40C43CA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25.12</w:t>
            </w:r>
          </w:p>
        </w:tc>
        <w:tc>
          <w:tcPr>
            <w:tcW w:w="799" w:type="dxa"/>
            <w:tcBorders>
              <w:top w:val="nil"/>
              <w:bottom w:val="nil"/>
            </w:tcBorders>
            <w:hideMark/>
          </w:tcPr>
          <w:p w14:paraId="43579E6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22.71</w:t>
            </w:r>
          </w:p>
        </w:tc>
        <w:tc>
          <w:tcPr>
            <w:tcW w:w="798" w:type="dxa"/>
            <w:tcBorders>
              <w:top w:val="nil"/>
              <w:bottom w:val="nil"/>
            </w:tcBorders>
            <w:hideMark/>
          </w:tcPr>
          <w:p w14:paraId="1365613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32.03</w:t>
            </w:r>
          </w:p>
        </w:tc>
        <w:tc>
          <w:tcPr>
            <w:tcW w:w="799" w:type="dxa"/>
            <w:tcBorders>
              <w:top w:val="nil"/>
              <w:bottom w:val="nil"/>
            </w:tcBorders>
            <w:hideMark/>
          </w:tcPr>
          <w:p w14:paraId="334F358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26.99</w:t>
            </w:r>
          </w:p>
        </w:tc>
        <w:tc>
          <w:tcPr>
            <w:tcW w:w="798" w:type="dxa"/>
            <w:tcBorders>
              <w:top w:val="nil"/>
              <w:bottom w:val="nil"/>
            </w:tcBorders>
            <w:hideMark/>
          </w:tcPr>
          <w:p w14:paraId="00C4440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25.99</w:t>
            </w:r>
          </w:p>
        </w:tc>
        <w:tc>
          <w:tcPr>
            <w:tcW w:w="799" w:type="dxa"/>
            <w:tcBorders>
              <w:top w:val="nil"/>
              <w:bottom w:val="nil"/>
            </w:tcBorders>
            <w:hideMark/>
          </w:tcPr>
          <w:p w14:paraId="0472497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23.48</w:t>
            </w:r>
          </w:p>
        </w:tc>
        <w:tc>
          <w:tcPr>
            <w:tcW w:w="798" w:type="dxa"/>
            <w:tcBorders>
              <w:top w:val="nil"/>
              <w:bottom w:val="nil"/>
            </w:tcBorders>
            <w:hideMark/>
          </w:tcPr>
          <w:p w14:paraId="2F78FEF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15.29</w:t>
            </w:r>
          </w:p>
        </w:tc>
        <w:tc>
          <w:tcPr>
            <w:tcW w:w="799" w:type="dxa"/>
            <w:tcBorders>
              <w:top w:val="nil"/>
              <w:bottom w:val="nil"/>
            </w:tcBorders>
            <w:hideMark/>
          </w:tcPr>
          <w:p w14:paraId="4FD96F6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27.73</w:t>
            </w:r>
          </w:p>
        </w:tc>
        <w:tc>
          <w:tcPr>
            <w:tcW w:w="799" w:type="dxa"/>
            <w:tcBorders>
              <w:top w:val="nil"/>
              <w:bottom w:val="nil"/>
            </w:tcBorders>
            <w:hideMark/>
          </w:tcPr>
          <w:p w14:paraId="639382A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22.99</w:t>
            </w:r>
          </w:p>
        </w:tc>
      </w:tr>
      <w:tr w:rsidR="00AB238E" w:rsidRPr="00705903" w14:paraId="5CE9BDD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3654519"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2021</w:t>
            </w:r>
          </w:p>
        </w:tc>
        <w:tc>
          <w:tcPr>
            <w:tcW w:w="798" w:type="dxa"/>
            <w:tcBorders>
              <w:top w:val="nil"/>
              <w:bottom w:val="nil"/>
            </w:tcBorders>
            <w:hideMark/>
          </w:tcPr>
          <w:p w14:paraId="1F18A6B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30.26</w:t>
            </w:r>
          </w:p>
        </w:tc>
        <w:tc>
          <w:tcPr>
            <w:tcW w:w="799" w:type="dxa"/>
            <w:tcBorders>
              <w:top w:val="nil"/>
              <w:bottom w:val="nil"/>
            </w:tcBorders>
            <w:hideMark/>
          </w:tcPr>
          <w:p w14:paraId="0FBFF9F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27.06</w:t>
            </w:r>
          </w:p>
        </w:tc>
        <w:tc>
          <w:tcPr>
            <w:tcW w:w="798" w:type="dxa"/>
            <w:tcBorders>
              <w:top w:val="nil"/>
              <w:bottom w:val="nil"/>
            </w:tcBorders>
            <w:hideMark/>
          </w:tcPr>
          <w:p w14:paraId="52E569D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25.75</w:t>
            </w:r>
          </w:p>
        </w:tc>
        <w:tc>
          <w:tcPr>
            <w:tcW w:w="799" w:type="dxa"/>
            <w:tcBorders>
              <w:top w:val="nil"/>
              <w:bottom w:val="nil"/>
            </w:tcBorders>
            <w:hideMark/>
          </w:tcPr>
          <w:p w14:paraId="461B747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24.42</w:t>
            </w:r>
          </w:p>
        </w:tc>
        <w:tc>
          <w:tcPr>
            <w:tcW w:w="798" w:type="dxa"/>
            <w:tcBorders>
              <w:top w:val="nil"/>
              <w:bottom w:val="nil"/>
            </w:tcBorders>
            <w:hideMark/>
          </w:tcPr>
          <w:p w14:paraId="2650CF8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33.02</w:t>
            </w:r>
          </w:p>
        </w:tc>
        <w:tc>
          <w:tcPr>
            <w:tcW w:w="799" w:type="dxa"/>
            <w:tcBorders>
              <w:top w:val="nil"/>
              <w:bottom w:val="nil"/>
            </w:tcBorders>
            <w:hideMark/>
          </w:tcPr>
          <w:p w14:paraId="0535578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27.48</w:t>
            </w:r>
          </w:p>
        </w:tc>
        <w:tc>
          <w:tcPr>
            <w:tcW w:w="798" w:type="dxa"/>
            <w:tcBorders>
              <w:top w:val="nil"/>
              <w:bottom w:val="nil"/>
            </w:tcBorders>
            <w:hideMark/>
          </w:tcPr>
          <w:p w14:paraId="6A6B19A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27.06</w:t>
            </w:r>
          </w:p>
        </w:tc>
        <w:tc>
          <w:tcPr>
            <w:tcW w:w="799" w:type="dxa"/>
            <w:tcBorders>
              <w:top w:val="nil"/>
              <w:bottom w:val="nil"/>
            </w:tcBorders>
            <w:hideMark/>
          </w:tcPr>
          <w:p w14:paraId="29C3E61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24.63</w:t>
            </w:r>
          </w:p>
        </w:tc>
        <w:tc>
          <w:tcPr>
            <w:tcW w:w="798" w:type="dxa"/>
            <w:tcBorders>
              <w:top w:val="nil"/>
              <w:bottom w:val="nil"/>
            </w:tcBorders>
            <w:hideMark/>
          </w:tcPr>
          <w:p w14:paraId="5B5E288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15.90</w:t>
            </w:r>
          </w:p>
        </w:tc>
        <w:tc>
          <w:tcPr>
            <w:tcW w:w="799" w:type="dxa"/>
            <w:tcBorders>
              <w:top w:val="nil"/>
              <w:bottom w:val="nil"/>
            </w:tcBorders>
            <w:hideMark/>
          </w:tcPr>
          <w:p w14:paraId="4646147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29.95</w:t>
            </w:r>
          </w:p>
        </w:tc>
        <w:tc>
          <w:tcPr>
            <w:tcW w:w="799" w:type="dxa"/>
            <w:tcBorders>
              <w:top w:val="nil"/>
              <w:bottom w:val="nil"/>
            </w:tcBorders>
            <w:hideMark/>
          </w:tcPr>
          <w:p w14:paraId="098C0D5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23.47</w:t>
            </w:r>
          </w:p>
        </w:tc>
      </w:tr>
      <w:tr w:rsidR="00AB238E" w:rsidRPr="00705903" w14:paraId="3FDEA698"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0E23DFA2"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2022</w:t>
            </w:r>
          </w:p>
        </w:tc>
        <w:tc>
          <w:tcPr>
            <w:tcW w:w="798" w:type="dxa"/>
            <w:tcBorders>
              <w:top w:val="nil"/>
            </w:tcBorders>
            <w:hideMark/>
          </w:tcPr>
          <w:p w14:paraId="1147022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31.84</w:t>
            </w:r>
          </w:p>
        </w:tc>
        <w:tc>
          <w:tcPr>
            <w:tcW w:w="799" w:type="dxa"/>
            <w:tcBorders>
              <w:top w:val="nil"/>
            </w:tcBorders>
            <w:hideMark/>
          </w:tcPr>
          <w:p w14:paraId="6C2948E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26.46</w:t>
            </w:r>
          </w:p>
        </w:tc>
        <w:tc>
          <w:tcPr>
            <w:tcW w:w="798" w:type="dxa"/>
            <w:tcBorders>
              <w:top w:val="nil"/>
            </w:tcBorders>
            <w:hideMark/>
          </w:tcPr>
          <w:p w14:paraId="06DEF0D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26.31</w:t>
            </w:r>
          </w:p>
        </w:tc>
        <w:tc>
          <w:tcPr>
            <w:tcW w:w="799" w:type="dxa"/>
            <w:tcBorders>
              <w:top w:val="nil"/>
            </w:tcBorders>
            <w:hideMark/>
          </w:tcPr>
          <w:p w14:paraId="31C9DB4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23.10</w:t>
            </w:r>
          </w:p>
        </w:tc>
        <w:tc>
          <w:tcPr>
            <w:tcW w:w="798" w:type="dxa"/>
            <w:tcBorders>
              <w:top w:val="nil"/>
            </w:tcBorders>
            <w:hideMark/>
          </w:tcPr>
          <w:p w14:paraId="27EEA3C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32.31</w:t>
            </w:r>
          </w:p>
        </w:tc>
        <w:tc>
          <w:tcPr>
            <w:tcW w:w="799" w:type="dxa"/>
            <w:tcBorders>
              <w:top w:val="nil"/>
            </w:tcBorders>
            <w:hideMark/>
          </w:tcPr>
          <w:p w14:paraId="090D4FA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29.07</w:t>
            </w:r>
          </w:p>
        </w:tc>
        <w:tc>
          <w:tcPr>
            <w:tcW w:w="798" w:type="dxa"/>
            <w:tcBorders>
              <w:top w:val="nil"/>
            </w:tcBorders>
            <w:hideMark/>
          </w:tcPr>
          <w:p w14:paraId="5EB65F8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25.55</w:t>
            </w:r>
          </w:p>
        </w:tc>
        <w:tc>
          <w:tcPr>
            <w:tcW w:w="799" w:type="dxa"/>
            <w:tcBorders>
              <w:top w:val="nil"/>
            </w:tcBorders>
            <w:hideMark/>
          </w:tcPr>
          <w:p w14:paraId="157BF3B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23.70</w:t>
            </w:r>
          </w:p>
        </w:tc>
        <w:tc>
          <w:tcPr>
            <w:tcW w:w="798" w:type="dxa"/>
            <w:tcBorders>
              <w:top w:val="nil"/>
            </w:tcBorders>
            <w:hideMark/>
          </w:tcPr>
          <w:p w14:paraId="4F42AC3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23.33</w:t>
            </w:r>
          </w:p>
        </w:tc>
        <w:tc>
          <w:tcPr>
            <w:tcW w:w="799" w:type="dxa"/>
            <w:tcBorders>
              <w:top w:val="nil"/>
            </w:tcBorders>
            <w:hideMark/>
          </w:tcPr>
          <w:p w14:paraId="4BD5C54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30.84</w:t>
            </w:r>
          </w:p>
        </w:tc>
        <w:tc>
          <w:tcPr>
            <w:tcW w:w="799" w:type="dxa"/>
            <w:tcBorders>
              <w:top w:val="nil"/>
            </w:tcBorders>
            <w:hideMark/>
          </w:tcPr>
          <w:p w14:paraId="62FDDB9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25.29</w:t>
            </w:r>
          </w:p>
        </w:tc>
      </w:tr>
    </w:tbl>
    <w:p w14:paraId="5BA9F487" w14:textId="77777777" w:rsidR="00AB238E" w:rsidRPr="00705903" w:rsidRDefault="00AB238E" w:rsidP="0097761F">
      <w:pPr>
        <w:spacing w:line="259" w:lineRule="auto"/>
        <w:ind w:firstLine="0"/>
        <w:jc w:val="both"/>
        <w:rPr>
          <w:sz w:val="20"/>
          <w:szCs w:val="20"/>
          <w:lang w:val="en-US"/>
        </w:rPr>
      </w:pPr>
    </w:p>
    <w:p w14:paraId="2216BAAF" w14:textId="77777777" w:rsidR="00AB238E" w:rsidRPr="00705903" w:rsidRDefault="00AB238E" w:rsidP="0097761F">
      <w:pPr>
        <w:spacing w:line="259" w:lineRule="auto"/>
        <w:ind w:firstLine="0"/>
        <w:jc w:val="both"/>
        <w:rPr>
          <w:sz w:val="20"/>
          <w:szCs w:val="20"/>
          <w:lang w:val="en-US"/>
        </w:rPr>
      </w:pPr>
    </w:p>
    <w:p w14:paraId="5D0484AB" w14:textId="77777777" w:rsidR="00AB238E" w:rsidRPr="00705903" w:rsidRDefault="00AB238E" w:rsidP="0097761F">
      <w:pPr>
        <w:spacing w:after="160" w:line="259" w:lineRule="auto"/>
        <w:ind w:firstLine="0"/>
        <w:jc w:val="both"/>
        <w:rPr>
          <w:sz w:val="20"/>
          <w:szCs w:val="20"/>
        </w:rPr>
      </w:pPr>
    </w:p>
    <w:p w14:paraId="11627DB3" w14:textId="77777777" w:rsidR="00AB238E" w:rsidRPr="00705903" w:rsidRDefault="00AB238E" w:rsidP="0097761F">
      <w:pPr>
        <w:spacing w:after="160" w:line="259" w:lineRule="auto"/>
        <w:ind w:firstLine="0"/>
        <w:jc w:val="both"/>
        <w:rPr>
          <w:b/>
          <w:bCs/>
          <w:szCs w:val="24"/>
          <w:lang w:val="en-US" w:eastAsia="zh-CN"/>
        </w:rPr>
      </w:pPr>
      <w:r w:rsidRPr="00705903">
        <w:br w:type="page"/>
      </w:r>
    </w:p>
    <w:p w14:paraId="0A7CECE2" w14:textId="77777777" w:rsidR="00AB238E" w:rsidRPr="00705903" w:rsidRDefault="00AB238E" w:rsidP="0097761F">
      <w:pPr>
        <w:pStyle w:val="Heading1"/>
      </w:pPr>
      <w:r w:rsidRPr="00705903">
        <w:t>Table 11. Yearly Governance (G) Ratings by Industry (2007–2022)</w:t>
      </w:r>
    </w:p>
    <w:p w14:paraId="75985E0F" w14:textId="77777777" w:rsidR="00AB238E" w:rsidRPr="00705903" w:rsidRDefault="00AB238E" w:rsidP="0097761F">
      <w:pPr>
        <w:spacing w:line="259" w:lineRule="auto"/>
        <w:ind w:firstLine="0"/>
        <w:jc w:val="both"/>
        <w:rPr>
          <w:sz w:val="20"/>
          <w:szCs w:val="20"/>
          <w:lang w:val="en-US"/>
        </w:rPr>
      </w:pPr>
    </w:p>
    <w:p w14:paraId="715D5BFC" w14:textId="77777777" w:rsidR="00AB238E" w:rsidRPr="00705903" w:rsidRDefault="00AB238E" w:rsidP="0097761F">
      <w:pPr>
        <w:spacing w:line="259" w:lineRule="auto"/>
        <w:ind w:firstLine="0"/>
        <w:jc w:val="both"/>
        <w:rPr>
          <w:sz w:val="20"/>
          <w:szCs w:val="20"/>
        </w:rPr>
      </w:pPr>
      <w:r w:rsidRPr="00705903">
        <w:rPr>
          <w:sz w:val="20"/>
          <w:szCs w:val="20"/>
        </w:rPr>
        <w:t xml:space="preserve">This table presents the average Governance (G) ratings of listed firms across 11 GICS </w:t>
      </w:r>
      <w:proofErr w:type="gramStart"/>
      <w:r w:rsidRPr="00705903">
        <w:rPr>
          <w:sz w:val="20"/>
          <w:szCs w:val="20"/>
        </w:rPr>
        <w:t>Level-1</w:t>
      </w:r>
      <w:proofErr w:type="gramEnd"/>
      <w:r w:rsidRPr="00705903">
        <w:rPr>
          <w:sz w:val="20"/>
          <w:szCs w:val="20"/>
        </w:rPr>
        <w:t xml:space="preserve"> industries from 2007 to 2022, based on data obtained from the Wind ESG database (February 2025 update). </w:t>
      </w:r>
    </w:p>
    <w:p w14:paraId="259EBA2D" w14:textId="77777777" w:rsidR="00AB238E" w:rsidRPr="00705903" w:rsidRDefault="00AB238E" w:rsidP="0097761F">
      <w:pPr>
        <w:spacing w:line="259" w:lineRule="auto"/>
        <w:ind w:firstLine="0"/>
        <w:jc w:val="both"/>
        <w:rPr>
          <w:sz w:val="20"/>
          <w:szCs w:val="20"/>
        </w:rPr>
      </w:pPr>
    </w:p>
    <w:p w14:paraId="55590BEA" w14:textId="77777777" w:rsidR="00AB238E" w:rsidRPr="00705903" w:rsidRDefault="00AB238E" w:rsidP="0097761F">
      <w:pPr>
        <w:spacing w:line="259" w:lineRule="auto"/>
        <w:ind w:firstLine="0"/>
        <w:jc w:val="both"/>
        <w:rPr>
          <w:sz w:val="20"/>
          <w:szCs w:val="20"/>
        </w:rPr>
      </w:pPr>
      <w:r w:rsidRPr="00705903">
        <w:rPr>
          <w:sz w:val="20"/>
          <w:szCs w:val="20"/>
        </w:rPr>
        <w:t>The G score reflects the strength of corporate governance, including board structure, ownership concentration, and information transparency.</w:t>
      </w:r>
      <w:r w:rsidRPr="00705903">
        <w:rPr>
          <w:sz w:val="20"/>
          <w:szCs w:val="20"/>
          <w:lang w:val="en-US" w:eastAsia="zh-CN"/>
        </w:rPr>
        <w:t xml:space="preserve"> </w:t>
      </w:r>
      <w:r w:rsidRPr="00705903">
        <w:rPr>
          <w:sz w:val="20"/>
          <w:szCs w:val="20"/>
        </w:rPr>
        <w:t>Governance (G) scores generally exhibit a slight upward trend from 2007 to 2020 across most industries, reflecting enhancements in corporate governance practices in China’s capital market.</w:t>
      </w:r>
      <w:r w:rsidRPr="00705903">
        <w:rPr>
          <w:sz w:val="20"/>
          <w:szCs w:val="20"/>
          <w:lang w:val="en-US" w:eastAsia="zh-CN"/>
        </w:rPr>
        <w:t xml:space="preserve"> </w:t>
      </w:r>
      <w:r w:rsidRPr="00705903">
        <w:rPr>
          <w:sz w:val="20"/>
          <w:szCs w:val="20"/>
        </w:rPr>
        <w:t>The Financials, Utilities, and Real Estate sectors consistently rank among the top performers in G ratings, indicating strong institutional oversight and regulatory compliance.</w:t>
      </w:r>
      <w:r w:rsidRPr="00705903">
        <w:rPr>
          <w:sz w:val="20"/>
          <w:szCs w:val="20"/>
          <w:lang w:val="en-US" w:eastAsia="zh-CN"/>
        </w:rPr>
        <w:t xml:space="preserve"> </w:t>
      </w:r>
      <w:r w:rsidRPr="00705903">
        <w:rPr>
          <w:sz w:val="20"/>
          <w:szCs w:val="20"/>
        </w:rPr>
        <w:t>By contrast, Information Technology and Materials display lower and more volatile G scores, suggesting less mature governance structures and higher firm-level heterogeneity.</w:t>
      </w:r>
    </w:p>
    <w:p w14:paraId="542AF95B" w14:textId="77777777" w:rsidR="00AB238E" w:rsidRPr="00705903" w:rsidRDefault="00AB238E" w:rsidP="0097761F">
      <w:pPr>
        <w:spacing w:line="259" w:lineRule="auto"/>
        <w:ind w:firstLine="0"/>
        <w:jc w:val="both"/>
        <w:rPr>
          <w:sz w:val="20"/>
          <w:szCs w:val="20"/>
          <w:lang w:val="en-US"/>
        </w:rPr>
      </w:pPr>
    </w:p>
    <w:p w14:paraId="0FAD00BD" w14:textId="77777777" w:rsidR="00AB238E" w:rsidRPr="00705903" w:rsidRDefault="00AB238E" w:rsidP="0097761F">
      <w:pPr>
        <w:spacing w:line="259" w:lineRule="auto"/>
        <w:ind w:firstLine="0"/>
        <w:jc w:val="both"/>
        <w:rPr>
          <w:sz w:val="20"/>
          <w:szCs w:val="20"/>
        </w:rPr>
      </w:pPr>
      <w:r w:rsidRPr="00705903">
        <w:rPr>
          <w:sz w:val="20"/>
          <w:szCs w:val="20"/>
        </w:rPr>
        <w:t>The drop after 2021 partly reflects data coverage limitations in the latest Wind updates rather than true deterioration in governance quality.</w:t>
      </w:r>
    </w:p>
    <w:p w14:paraId="7B01FC9E" w14:textId="77777777" w:rsidR="00AB238E" w:rsidRPr="00705903" w:rsidRDefault="00AB238E" w:rsidP="0097761F">
      <w:pPr>
        <w:spacing w:after="160" w:line="259" w:lineRule="auto"/>
        <w:ind w:firstLine="0"/>
        <w:jc w:val="both"/>
      </w:pPr>
    </w:p>
    <w:tbl>
      <w:tblPr>
        <w:tblStyle w:val="PlainTable2"/>
        <w:tblW w:w="0" w:type="auto"/>
        <w:tblLook w:val="04A0" w:firstRow="1" w:lastRow="0" w:firstColumn="1" w:lastColumn="0" w:noHBand="0" w:noVBand="1"/>
      </w:tblPr>
      <w:tblGrid>
        <w:gridCol w:w="576"/>
        <w:gridCol w:w="790"/>
        <w:gridCol w:w="790"/>
        <w:gridCol w:w="791"/>
        <w:gridCol w:w="790"/>
        <w:gridCol w:w="790"/>
        <w:gridCol w:w="791"/>
        <w:gridCol w:w="790"/>
        <w:gridCol w:w="790"/>
        <w:gridCol w:w="791"/>
        <w:gridCol w:w="790"/>
        <w:gridCol w:w="791"/>
      </w:tblGrid>
      <w:tr w:rsidR="00AB238E" w:rsidRPr="00705903" w14:paraId="092C168C" w14:textId="77777777" w:rsidTr="00A4523E">
        <w:trPr>
          <w:cnfStyle w:val="100000000000" w:firstRow="1" w:lastRow="0" w:firstColumn="0" w:lastColumn="0" w:oddVBand="0" w:evenVBand="0" w:oddHBand="0" w:evenHBand="0" w:firstRowFirstColumn="0" w:firstRowLastColumn="0" w:lastRowFirstColumn="0" w:lastRowLastColumn="0"/>
          <w:cantSplit/>
          <w:trHeight w:val="1250"/>
        </w:trPr>
        <w:tc>
          <w:tcPr>
            <w:cnfStyle w:val="001000000000" w:firstRow="0" w:lastRow="0" w:firstColumn="1" w:lastColumn="0" w:oddVBand="0" w:evenVBand="0" w:oddHBand="0" w:evenHBand="0" w:firstRowFirstColumn="0" w:firstRowLastColumn="0" w:lastRowFirstColumn="0" w:lastRowLastColumn="0"/>
            <w:tcW w:w="0" w:type="auto"/>
            <w:textDirection w:val="btLr"/>
            <w:hideMark/>
          </w:tcPr>
          <w:p w14:paraId="16452ED0" w14:textId="77777777" w:rsidR="00AB238E" w:rsidRPr="00705903" w:rsidRDefault="00AB238E" w:rsidP="0097761F">
            <w:pPr>
              <w:spacing w:line="259" w:lineRule="auto"/>
              <w:ind w:left="113" w:right="113" w:firstLine="0"/>
              <w:jc w:val="both"/>
              <w:rPr>
                <w:b w:val="0"/>
                <w:bCs w:val="0"/>
                <w:sz w:val="18"/>
                <w:szCs w:val="18"/>
                <w:lang w:val="en-US"/>
              </w:rPr>
            </w:pPr>
            <w:r w:rsidRPr="00705903">
              <w:rPr>
                <w:b w:val="0"/>
                <w:bCs w:val="0"/>
                <w:sz w:val="18"/>
                <w:szCs w:val="18"/>
                <w:lang w:val="en-US"/>
              </w:rPr>
              <w:t>Year</w:t>
            </w:r>
          </w:p>
        </w:tc>
        <w:tc>
          <w:tcPr>
            <w:tcW w:w="790" w:type="dxa"/>
            <w:textDirection w:val="btLr"/>
            <w:hideMark/>
          </w:tcPr>
          <w:p w14:paraId="7721AD50"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Energy</w:t>
            </w:r>
          </w:p>
        </w:tc>
        <w:tc>
          <w:tcPr>
            <w:tcW w:w="790" w:type="dxa"/>
            <w:textDirection w:val="btLr"/>
            <w:hideMark/>
          </w:tcPr>
          <w:p w14:paraId="6202C867"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Materials</w:t>
            </w:r>
          </w:p>
        </w:tc>
        <w:tc>
          <w:tcPr>
            <w:tcW w:w="791" w:type="dxa"/>
            <w:textDirection w:val="btLr"/>
            <w:hideMark/>
          </w:tcPr>
          <w:p w14:paraId="1FCEF874"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Industrials</w:t>
            </w:r>
          </w:p>
        </w:tc>
        <w:tc>
          <w:tcPr>
            <w:tcW w:w="790" w:type="dxa"/>
            <w:textDirection w:val="btLr"/>
            <w:hideMark/>
          </w:tcPr>
          <w:p w14:paraId="621E363B"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Consumer Discretionary</w:t>
            </w:r>
          </w:p>
        </w:tc>
        <w:tc>
          <w:tcPr>
            <w:tcW w:w="790" w:type="dxa"/>
            <w:textDirection w:val="btLr"/>
            <w:hideMark/>
          </w:tcPr>
          <w:p w14:paraId="3C136933"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Consumer Staples</w:t>
            </w:r>
          </w:p>
        </w:tc>
        <w:tc>
          <w:tcPr>
            <w:tcW w:w="791" w:type="dxa"/>
            <w:textDirection w:val="btLr"/>
            <w:hideMark/>
          </w:tcPr>
          <w:p w14:paraId="4FB7955B"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Health Care</w:t>
            </w:r>
          </w:p>
        </w:tc>
        <w:tc>
          <w:tcPr>
            <w:tcW w:w="790" w:type="dxa"/>
            <w:textDirection w:val="btLr"/>
            <w:hideMark/>
          </w:tcPr>
          <w:p w14:paraId="50E99701"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Financials</w:t>
            </w:r>
          </w:p>
        </w:tc>
        <w:tc>
          <w:tcPr>
            <w:tcW w:w="790" w:type="dxa"/>
            <w:textDirection w:val="btLr"/>
            <w:hideMark/>
          </w:tcPr>
          <w:p w14:paraId="2C52DE20"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Information Technology</w:t>
            </w:r>
          </w:p>
        </w:tc>
        <w:tc>
          <w:tcPr>
            <w:tcW w:w="791" w:type="dxa"/>
            <w:textDirection w:val="btLr"/>
            <w:hideMark/>
          </w:tcPr>
          <w:p w14:paraId="02204686"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Telecommunication Services</w:t>
            </w:r>
          </w:p>
        </w:tc>
        <w:tc>
          <w:tcPr>
            <w:tcW w:w="790" w:type="dxa"/>
            <w:textDirection w:val="btLr"/>
            <w:hideMark/>
          </w:tcPr>
          <w:p w14:paraId="2B3E2E70"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Utilities</w:t>
            </w:r>
          </w:p>
        </w:tc>
        <w:tc>
          <w:tcPr>
            <w:tcW w:w="791" w:type="dxa"/>
            <w:textDirection w:val="btLr"/>
            <w:hideMark/>
          </w:tcPr>
          <w:p w14:paraId="0B885B88" w14:textId="77777777" w:rsidR="00AB238E" w:rsidRPr="00705903" w:rsidRDefault="00AB238E" w:rsidP="0097761F">
            <w:pPr>
              <w:spacing w:line="259" w:lineRule="auto"/>
              <w:ind w:left="113" w:right="113"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Real Estate</w:t>
            </w:r>
          </w:p>
        </w:tc>
      </w:tr>
      <w:tr w:rsidR="00AB238E" w:rsidRPr="00705903" w14:paraId="09CD13AE"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7B69BDCA"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2007</w:t>
            </w:r>
          </w:p>
        </w:tc>
        <w:tc>
          <w:tcPr>
            <w:tcW w:w="790" w:type="dxa"/>
            <w:tcBorders>
              <w:bottom w:val="nil"/>
            </w:tcBorders>
            <w:hideMark/>
          </w:tcPr>
          <w:p w14:paraId="22A2F2C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25.81</w:t>
            </w:r>
          </w:p>
        </w:tc>
        <w:tc>
          <w:tcPr>
            <w:tcW w:w="790" w:type="dxa"/>
            <w:tcBorders>
              <w:bottom w:val="nil"/>
            </w:tcBorders>
            <w:hideMark/>
          </w:tcPr>
          <w:p w14:paraId="6048BAF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23.77</w:t>
            </w:r>
          </w:p>
        </w:tc>
        <w:tc>
          <w:tcPr>
            <w:tcW w:w="791" w:type="dxa"/>
            <w:tcBorders>
              <w:bottom w:val="nil"/>
            </w:tcBorders>
            <w:hideMark/>
          </w:tcPr>
          <w:p w14:paraId="613AA86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24.27</w:t>
            </w:r>
          </w:p>
        </w:tc>
        <w:tc>
          <w:tcPr>
            <w:tcW w:w="790" w:type="dxa"/>
            <w:tcBorders>
              <w:bottom w:val="nil"/>
            </w:tcBorders>
            <w:hideMark/>
          </w:tcPr>
          <w:p w14:paraId="225B09C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24.74</w:t>
            </w:r>
          </w:p>
        </w:tc>
        <w:tc>
          <w:tcPr>
            <w:tcW w:w="790" w:type="dxa"/>
            <w:tcBorders>
              <w:bottom w:val="nil"/>
            </w:tcBorders>
            <w:hideMark/>
          </w:tcPr>
          <w:p w14:paraId="1992DE0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28.65</w:t>
            </w:r>
          </w:p>
        </w:tc>
        <w:tc>
          <w:tcPr>
            <w:tcW w:w="791" w:type="dxa"/>
            <w:tcBorders>
              <w:bottom w:val="nil"/>
            </w:tcBorders>
            <w:hideMark/>
          </w:tcPr>
          <w:p w14:paraId="325C780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27.59</w:t>
            </w:r>
          </w:p>
        </w:tc>
        <w:tc>
          <w:tcPr>
            <w:tcW w:w="790" w:type="dxa"/>
            <w:tcBorders>
              <w:bottom w:val="nil"/>
            </w:tcBorders>
            <w:hideMark/>
          </w:tcPr>
          <w:p w14:paraId="2074807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27.10</w:t>
            </w:r>
          </w:p>
        </w:tc>
        <w:tc>
          <w:tcPr>
            <w:tcW w:w="790" w:type="dxa"/>
            <w:tcBorders>
              <w:bottom w:val="nil"/>
            </w:tcBorders>
            <w:hideMark/>
          </w:tcPr>
          <w:p w14:paraId="30709D8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22.03</w:t>
            </w:r>
          </w:p>
        </w:tc>
        <w:tc>
          <w:tcPr>
            <w:tcW w:w="791" w:type="dxa"/>
            <w:tcBorders>
              <w:bottom w:val="nil"/>
            </w:tcBorders>
            <w:hideMark/>
          </w:tcPr>
          <w:p w14:paraId="6B59525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30.29</w:t>
            </w:r>
          </w:p>
        </w:tc>
        <w:tc>
          <w:tcPr>
            <w:tcW w:w="790" w:type="dxa"/>
            <w:tcBorders>
              <w:bottom w:val="nil"/>
            </w:tcBorders>
            <w:hideMark/>
          </w:tcPr>
          <w:p w14:paraId="5CB9845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29.10</w:t>
            </w:r>
          </w:p>
        </w:tc>
        <w:tc>
          <w:tcPr>
            <w:tcW w:w="791" w:type="dxa"/>
            <w:tcBorders>
              <w:bottom w:val="nil"/>
            </w:tcBorders>
            <w:hideMark/>
          </w:tcPr>
          <w:p w14:paraId="5416CD4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29.43</w:t>
            </w:r>
          </w:p>
        </w:tc>
      </w:tr>
      <w:tr w:rsidR="00AB238E" w:rsidRPr="00705903" w14:paraId="04C98D64"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B789E41"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2008</w:t>
            </w:r>
          </w:p>
        </w:tc>
        <w:tc>
          <w:tcPr>
            <w:tcW w:w="790" w:type="dxa"/>
            <w:tcBorders>
              <w:top w:val="nil"/>
              <w:bottom w:val="nil"/>
            </w:tcBorders>
            <w:hideMark/>
          </w:tcPr>
          <w:p w14:paraId="7D5BE53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26.41</w:t>
            </w:r>
          </w:p>
        </w:tc>
        <w:tc>
          <w:tcPr>
            <w:tcW w:w="790" w:type="dxa"/>
            <w:tcBorders>
              <w:top w:val="nil"/>
              <w:bottom w:val="nil"/>
            </w:tcBorders>
            <w:hideMark/>
          </w:tcPr>
          <w:p w14:paraId="4976A69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23.80</w:t>
            </w:r>
          </w:p>
        </w:tc>
        <w:tc>
          <w:tcPr>
            <w:tcW w:w="791" w:type="dxa"/>
            <w:tcBorders>
              <w:top w:val="nil"/>
              <w:bottom w:val="nil"/>
            </w:tcBorders>
            <w:hideMark/>
          </w:tcPr>
          <w:p w14:paraId="67E1965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26.30</w:t>
            </w:r>
          </w:p>
        </w:tc>
        <w:tc>
          <w:tcPr>
            <w:tcW w:w="790" w:type="dxa"/>
            <w:tcBorders>
              <w:top w:val="nil"/>
              <w:bottom w:val="nil"/>
            </w:tcBorders>
            <w:hideMark/>
          </w:tcPr>
          <w:p w14:paraId="54517D3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26.76</w:t>
            </w:r>
          </w:p>
        </w:tc>
        <w:tc>
          <w:tcPr>
            <w:tcW w:w="790" w:type="dxa"/>
            <w:tcBorders>
              <w:top w:val="nil"/>
              <w:bottom w:val="nil"/>
            </w:tcBorders>
            <w:hideMark/>
          </w:tcPr>
          <w:p w14:paraId="553E941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28.40</w:t>
            </w:r>
          </w:p>
        </w:tc>
        <w:tc>
          <w:tcPr>
            <w:tcW w:w="791" w:type="dxa"/>
            <w:tcBorders>
              <w:top w:val="nil"/>
              <w:bottom w:val="nil"/>
            </w:tcBorders>
            <w:hideMark/>
          </w:tcPr>
          <w:p w14:paraId="5CC4AED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26.81</w:t>
            </w:r>
          </w:p>
        </w:tc>
        <w:tc>
          <w:tcPr>
            <w:tcW w:w="790" w:type="dxa"/>
            <w:tcBorders>
              <w:top w:val="nil"/>
              <w:bottom w:val="nil"/>
            </w:tcBorders>
            <w:hideMark/>
          </w:tcPr>
          <w:p w14:paraId="00736E0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28.44</w:t>
            </w:r>
          </w:p>
        </w:tc>
        <w:tc>
          <w:tcPr>
            <w:tcW w:w="790" w:type="dxa"/>
            <w:tcBorders>
              <w:top w:val="nil"/>
              <w:bottom w:val="nil"/>
            </w:tcBorders>
            <w:hideMark/>
          </w:tcPr>
          <w:p w14:paraId="6751D8A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23.27</w:t>
            </w:r>
          </w:p>
        </w:tc>
        <w:tc>
          <w:tcPr>
            <w:tcW w:w="791" w:type="dxa"/>
            <w:tcBorders>
              <w:top w:val="nil"/>
              <w:bottom w:val="nil"/>
            </w:tcBorders>
            <w:hideMark/>
          </w:tcPr>
          <w:p w14:paraId="49F1D9D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28.87</w:t>
            </w:r>
          </w:p>
        </w:tc>
        <w:tc>
          <w:tcPr>
            <w:tcW w:w="790" w:type="dxa"/>
            <w:tcBorders>
              <w:top w:val="nil"/>
              <w:bottom w:val="nil"/>
            </w:tcBorders>
            <w:hideMark/>
          </w:tcPr>
          <w:p w14:paraId="5E3EB12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27.06</w:t>
            </w:r>
          </w:p>
        </w:tc>
        <w:tc>
          <w:tcPr>
            <w:tcW w:w="791" w:type="dxa"/>
            <w:tcBorders>
              <w:top w:val="nil"/>
              <w:bottom w:val="nil"/>
            </w:tcBorders>
            <w:hideMark/>
          </w:tcPr>
          <w:p w14:paraId="261EC07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31.31</w:t>
            </w:r>
          </w:p>
        </w:tc>
      </w:tr>
      <w:tr w:rsidR="00AB238E" w:rsidRPr="00705903" w14:paraId="4D7A836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341DCBE"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2009</w:t>
            </w:r>
          </w:p>
        </w:tc>
        <w:tc>
          <w:tcPr>
            <w:tcW w:w="790" w:type="dxa"/>
            <w:tcBorders>
              <w:top w:val="nil"/>
              <w:bottom w:val="nil"/>
            </w:tcBorders>
            <w:hideMark/>
          </w:tcPr>
          <w:p w14:paraId="50BE2D5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25.08</w:t>
            </w:r>
          </w:p>
        </w:tc>
        <w:tc>
          <w:tcPr>
            <w:tcW w:w="790" w:type="dxa"/>
            <w:tcBorders>
              <w:top w:val="nil"/>
              <w:bottom w:val="nil"/>
            </w:tcBorders>
            <w:hideMark/>
          </w:tcPr>
          <w:p w14:paraId="2ADDD43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23.50</w:t>
            </w:r>
          </w:p>
        </w:tc>
        <w:tc>
          <w:tcPr>
            <w:tcW w:w="791" w:type="dxa"/>
            <w:tcBorders>
              <w:top w:val="nil"/>
              <w:bottom w:val="nil"/>
            </w:tcBorders>
            <w:hideMark/>
          </w:tcPr>
          <w:p w14:paraId="1B2346F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23.71</w:t>
            </w:r>
          </w:p>
        </w:tc>
        <w:tc>
          <w:tcPr>
            <w:tcW w:w="790" w:type="dxa"/>
            <w:tcBorders>
              <w:top w:val="nil"/>
              <w:bottom w:val="nil"/>
            </w:tcBorders>
            <w:hideMark/>
          </w:tcPr>
          <w:p w14:paraId="3366CE7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23.81</w:t>
            </w:r>
          </w:p>
        </w:tc>
        <w:tc>
          <w:tcPr>
            <w:tcW w:w="790" w:type="dxa"/>
            <w:tcBorders>
              <w:top w:val="nil"/>
              <w:bottom w:val="nil"/>
            </w:tcBorders>
            <w:hideMark/>
          </w:tcPr>
          <w:p w14:paraId="0A0BAFC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27.12</w:t>
            </w:r>
          </w:p>
        </w:tc>
        <w:tc>
          <w:tcPr>
            <w:tcW w:w="791" w:type="dxa"/>
            <w:tcBorders>
              <w:top w:val="nil"/>
              <w:bottom w:val="nil"/>
            </w:tcBorders>
            <w:hideMark/>
          </w:tcPr>
          <w:p w14:paraId="7D634B7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24.10</w:t>
            </w:r>
          </w:p>
        </w:tc>
        <w:tc>
          <w:tcPr>
            <w:tcW w:w="790" w:type="dxa"/>
            <w:tcBorders>
              <w:top w:val="nil"/>
              <w:bottom w:val="nil"/>
            </w:tcBorders>
            <w:hideMark/>
          </w:tcPr>
          <w:p w14:paraId="655417A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28.94</w:t>
            </w:r>
          </w:p>
        </w:tc>
        <w:tc>
          <w:tcPr>
            <w:tcW w:w="790" w:type="dxa"/>
            <w:tcBorders>
              <w:top w:val="nil"/>
              <w:bottom w:val="nil"/>
            </w:tcBorders>
            <w:hideMark/>
          </w:tcPr>
          <w:p w14:paraId="661D789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21.01</w:t>
            </w:r>
          </w:p>
        </w:tc>
        <w:tc>
          <w:tcPr>
            <w:tcW w:w="791" w:type="dxa"/>
            <w:tcBorders>
              <w:top w:val="nil"/>
              <w:bottom w:val="nil"/>
            </w:tcBorders>
            <w:hideMark/>
          </w:tcPr>
          <w:p w14:paraId="13A8989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29.04</w:t>
            </w:r>
          </w:p>
        </w:tc>
        <w:tc>
          <w:tcPr>
            <w:tcW w:w="790" w:type="dxa"/>
            <w:tcBorders>
              <w:top w:val="nil"/>
              <w:bottom w:val="nil"/>
            </w:tcBorders>
            <w:hideMark/>
          </w:tcPr>
          <w:p w14:paraId="45F2C13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27.63</w:t>
            </w:r>
          </w:p>
        </w:tc>
        <w:tc>
          <w:tcPr>
            <w:tcW w:w="791" w:type="dxa"/>
            <w:tcBorders>
              <w:top w:val="nil"/>
              <w:bottom w:val="nil"/>
            </w:tcBorders>
            <w:hideMark/>
          </w:tcPr>
          <w:p w14:paraId="0CEBCF4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28.96</w:t>
            </w:r>
          </w:p>
        </w:tc>
      </w:tr>
      <w:tr w:rsidR="00AB238E" w:rsidRPr="00705903" w14:paraId="1D069D52"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0109069"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2010</w:t>
            </w:r>
          </w:p>
        </w:tc>
        <w:tc>
          <w:tcPr>
            <w:tcW w:w="790" w:type="dxa"/>
            <w:tcBorders>
              <w:top w:val="nil"/>
              <w:bottom w:val="nil"/>
            </w:tcBorders>
            <w:hideMark/>
          </w:tcPr>
          <w:p w14:paraId="4681059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20.22</w:t>
            </w:r>
          </w:p>
        </w:tc>
        <w:tc>
          <w:tcPr>
            <w:tcW w:w="790" w:type="dxa"/>
            <w:tcBorders>
              <w:top w:val="nil"/>
              <w:bottom w:val="nil"/>
            </w:tcBorders>
            <w:hideMark/>
          </w:tcPr>
          <w:p w14:paraId="5EC0CFB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18.81</w:t>
            </w:r>
          </w:p>
        </w:tc>
        <w:tc>
          <w:tcPr>
            <w:tcW w:w="791" w:type="dxa"/>
            <w:tcBorders>
              <w:top w:val="nil"/>
              <w:bottom w:val="nil"/>
            </w:tcBorders>
            <w:hideMark/>
          </w:tcPr>
          <w:p w14:paraId="25ED997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17.95</w:t>
            </w:r>
          </w:p>
        </w:tc>
        <w:tc>
          <w:tcPr>
            <w:tcW w:w="790" w:type="dxa"/>
            <w:tcBorders>
              <w:top w:val="nil"/>
              <w:bottom w:val="nil"/>
            </w:tcBorders>
            <w:hideMark/>
          </w:tcPr>
          <w:p w14:paraId="272538F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19.53</w:t>
            </w:r>
          </w:p>
        </w:tc>
        <w:tc>
          <w:tcPr>
            <w:tcW w:w="790" w:type="dxa"/>
            <w:tcBorders>
              <w:top w:val="nil"/>
              <w:bottom w:val="nil"/>
            </w:tcBorders>
            <w:hideMark/>
          </w:tcPr>
          <w:p w14:paraId="5A07CB5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22.34</w:t>
            </w:r>
          </w:p>
        </w:tc>
        <w:tc>
          <w:tcPr>
            <w:tcW w:w="791" w:type="dxa"/>
            <w:tcBorders>
              <w:top w:val="nil"/>
              <w:bottom w:val="nil"/>
            </w:tcBorders>
            <w:hideMark/>
          </w:tcPr>
          <w:p w14:paraId="7811112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19.33</w:t>
            </w:r>
          </w:p>
        </w:tc>
        <w:tc>
          <w:tcPr>
            <w:tcW w:w="790" w:type="dxa"/>
            <w:tcBorders>
              <w:top w:val="nil"/>
              <w:bottom w:val="nil"/>
            </w:tcBorders>
            <w:hideMark/>
          </w:tcPr>
          <w:p w14:paraId="41CD41F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21.77</w:t>
            </w:r>
          </w:p>
        </w:tc>
        <w:tc>
          <w:tcPr>
            <w:tcW w:w="790" w:type="dxa"/>
            <w:tcBorders>
              <w:top w:val="nil"/>
              <w:bottom w:val="nil"/>
            </w:tcBorders>
            <w:hideMark/>
          </w:tcPr>
          <w:p w14:paraId="7A679CC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17.35</w:t>
            </w:r>
          </w:p>
        </w:tc>
        <w:tc>
          <w:tcPr>
            <w:tcW w:w="791" w:type="dxa"/>
            <w:tcBorders>
              <w:top w:val="nil"/>
              <w:bottom w:val="nil"/>
            </w:tcBorders>
            <w:hideMark/>
          </w:tcPr>
          <w:p w14:paraId="73F6838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28.31</w:t>
            </w:r>
          </w:p>
        </w:tc>
        <w:tc>
          <w:tcPr>
            <w:tcW w:w="790" w:type="dxa"/>
            <w:tcBorders>
              <w:top w:val="nil"/>
              <w:bottom w:val="nil"/>
            </w:tcBorders>
            <w:hideMark/>
          </w:tcPr>
          <w:p w14:paraId="5320374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20.95</w:t>
            </w:r>
          </w:p>
        </w:tc>
        <w:tc>
          <w:tcPr>
            <w:tcW w:w="791" w:type="dxa"/>
            <w:tcBorders>
              <w:top w:val="nil"/>
              <w:bottom w:val="nil"/>
            </w:tcBorders>
            <w:hideMark/>
          </w:tcPr>
          <w:p w14:paraId="15F6181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24.43</w:t>
            </w:r>
          </w:p>
        </w:tc>
      </w:tr>
      <w:tr w:rsidR="00AB238E" w:rsidRPr="00705903" w14:paraId="6D47518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1CE1567"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2011</w:t>
            </w:r>
          </w:p>
        </w:tc>
        <w:tc>
          <w:tcPr>
            <w:tcW w:w="790" w:type="dxa"/>
            <w:tcBorders>
              <w:top w:val="nil"/>
              <w:bottom w:val="nil"/>
            </w:tcBorders>
            <w:hideMark/>
          </w:tcPr>
          <w:p w14:paraId="7A17D63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18.74</w:t>
            </w:r>
          </w:p>
        </w:tc>
        <w:tc>
          <w:tcPr>
            <w:tcW w:w="790" w:type="dxa"/>
            <w:tcBorders>
              <w:top w:val="nil"/>
              <w:bottom w:val="nil"/>
            </w:tcBorders>
            <w:hideMark/>
          </w:tcPr>
          <w:p w14:paraId="7F833A2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19.19</w:t>
            </w:r>
          </w:p>
        </w:tc>
        <w:tc>
          <w:tcPr>
            <w:tcW w:w="791" w:type="dxa"/>
            <w:tcBorders>
              <w:top w:val="nil"/>
              <w:bottom w:val="nil"/>
            </w:tcBorders>
            <w:hideMark/>
          </w:tcPr>
          <w:p w14:paraId="685BC3F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18.49</w:t>
            </w:r>
          </w:p>
        </w:tc>
        <w:tc>
          <w:tcPr>
            <w:tcW w:w="790" w:type="dxa"/>
            <w:tcBorders>
              <w:top w:val="nil"/>
              <w:bottom w:val="nil"/>
            </w:tcBorders>
            <w:hideMark/>
          </w:tcPr>
          <w:p w14:paraId="237998B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20.16</w:t>
            </w:r>
          </w:p>
        </w:tc>
        <w:tc>
          <w:tcPr>
            <w:tcW w:w="790" w:type="dxa"/>
            <w:tcBorders>
              <w:top w:val="nil"/>
              <w:bottom w:val="nil"/>
            </w:tcBorders>
            <w:hideMark/>
          </w:tcPr>
          <w:p w14:paraId="0AE3C6D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23.33</w:t>
            </w:r>
          </w:p>
        </w:tc>
        <w:tc>
          <w:tcPr>
            <w:tcW w:w="791" w:type="dxa"/>
            <w:tcBorders>
              <w:top w:val="nil"/>
              <w:bottom w:val="nil"/>
            </w:tcBorders>
            <w:hideMark/>
          </w:tcPr>
          <w:p w14:paraId="5F4F3E2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19.63</w:t>
            </w:r>
          </w:p>
        </w:tc>
        <w:tc>
          <w:tcPr>
            <w:tcW w:w="790" w:type="dxa"/>
            <w:tcBorders>
              <w:top w:val="nil"/>
              <w:bottom w:val="nil"/>
            </w:tcBorders>
            <w:hideMark/>
          </w:tcPr>
          <w:p w14:paraId="7E11470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23.38</w:t>
            </w:r>
          </w:p>
        </w:tc>
        <w:tc>
          <w:tcPr>
            <w:tcW w:w="790" w:type="dxa"/>
            <w:tcBorders>
              <w:top w:val="nil"/>
              <w:bottom w:val="nil"/>
            </w:tcBorders>
            <w:hideMark/>
          </w:tcPr>
          <w:p w14:paraId="77DE82A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17.39</w:t>
            </w:r>
          </w:p>
        </w:tc>
        <w:tc>
          <w:tcPr>
            <w:tcW w:w="791" w:type="dxa"/>
            <w:tcBorders>
              <w:top w:val="nil"/>
              <w:bottom w:val="nil"/>
            </w:tcBorders>
            <w:hideMark/>
          </w:tcPr>
          <w:p w14:paraId="2E461F0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34.97</w:t>
            </w:r>
          </w:p>
        </w:tc>
        <w:tc>
          <w:tcPr>
            <w:tcW w:w="790" w:type="dxa"/>
            <w:tcBorders>
              <w:top w:val="nil"/>
              <w:bottom w:val="nil"/>
            </w:tcBorders>
            <w:hideMark/>
          </w:tcPr>
          <w:p w14:paraId="5321F0F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21.41</w:t>
            </w:r>
          </w:p>
        </w:tc>
        <w:tc>
          <w:tcPr>
            <w:tcW w:w="791" w:type="dxa"/>
            <w:tcBorders>
              <w:top w:val="nil"/>
              <w:bottom w:val="nil"/>
            </w:tcBorders>
            <w:hideMark/>
          </w:tcPr>
          <w:p w14:paraId="58270DC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24.20</w:t>
            </w:r>
          </w:p>
        </w:tc>
      </w:tr>
      <w:tr w:rsidR="00AB238E" w:rsidRPr="00705903" w14:paraId="43DCD5D9"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41036AF"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2012</w:t>
            </w:r>
          </w:p>
        </w:tc>
        <w:tc>
          <w:tcPr>
            <w:tcW w:w="790" w:type="dxa"/>
            <w:tcBorders>
              <w:top w:val="nil"/>
              <w:bottom w:val="nil"/>
            </w:tcBorders>
            <w:hideMark/>
          </w:tcPr>
          <w:p w14:paraId="5D0EB4B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23.98</w:t>
            </w:r>
          </w:p>
        </w:tc>
        <w:tc>
          <w:tcPr>
            <w:tcW w:w="790" w:type="dxa"/>
            <w:tcBorders>
              <w:top w:val="nil"/>
              <w:bottom w:val="nil"/>
            </w:tcBorders>
            <w:hideMark/>
          </w:tcPr>
          <w:p w14:paraId="18377B7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22.62</w:t>
            </w:r>
          </w:p>
        </w:tc>
        <w:tc>
          <w:tcPr>
            <w:tcW w:w="791" w:type="dxa"/>
            <w:tcBorders>
              <w:top w:val="nil"/>
              <w:bottom w:val="nil"/>
            </w:tcBorders>
            <w:hideMark/>
          </w:tcPr>
          <w:p w14:paraId="23894E4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22.39</w:t>
            </w:r>
          </w:p>
        </w:tc>
        <w:tc>
          <w:tcPr>
            <w:tcW w:w="790" w:type="dxa"/>
            <w:tcBorders>
              <w:top w:val="nil"/>
              <w:bottom w:val="nil"/>
            </w:tcBorders>
            <w:hideMark/>
          </w:tcPr>
          <w:p w14:paraId="658D4B9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23.46</w:t>
            </w:r>
          </w:p>
        </w:tc>
        <w:tc>
          <w:tcPr>
            <w:tcW w:w="790" w:type="dxa"/>
            <w:tcBorders>
              <w:top w:val="nil"/>
              <w:bottom w:val="nil"/>
            </w:tcBorders>
            <w:hideMark/>
          </w:tcPr>
          <w:p w14:paraId="7899D07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28.79</w:t>
            </w:r>
          </w:p>
        </w:tc>
        <w:tc>
          <w:tcPr>
            <w:tcW w:w="791" w:type="dxa"/>
            <w:tcBorders>
              <w:top w:val="nil"/>
              <w:bottom w:val="nil"/>
            </w:tcBorders>
            <w:hideMark/>
          </w:tcPr>
          <w:p w14:paraId="3FDF8C0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23.71</w:t>
            </w:r>
          </w:p>
        </w:tc>
        <w:tc>
          <w:tcPr>
            <w:tcW w:w="790" w:type="dxa"/>
            <w:tcBorders>
              <w:top w:val="nil"/>
              <w:bottom w:val="nil"/>
            </w:tcBorders>
            <w:hideMark/>
          </w:tcPr>
          <w:p w14:paraId="7E0B828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28.64</w:t>
            </w:r>
          </w:p>
        </w:tc>
        <w:tc>
          <w:tcPr>
            <w:tcW w:w="790" w:type="dxa"/>
            <w:tcBorders>
              <w:top w:val="nil"/>
              <w:bottom w:val="nil"/>
            </w:tcBorders>
            <w:hideMark/>
          </w:tcPr>
          <w:p w14:paraId="1A9BE97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21.32</w:t>
            </w:r>
          </w:p>
        </w:tc>
        <w:tc>
          <w:tcPr>
            <w:tcW w:w="791" w:type="dxa"/>
            <w:tcBorders>
              <w:top w:val="nil"/>
              <w:bottom w:val="nil"/>
            </w:tcBorders>
            <w:hideMark/>
          </w:tcPr>
          <w:p w14:paraId="6A581B1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32.10</w:t>
            </w:r>
          </w:p>
        </w:tc>
        <w:tc>
          <w:tcPr>
            <w:tcW w:w="790" w:type="dxa"/>
            <w:tcBorders>
              <w:top w:val="nil"/>
              <w:bottom w:val="nil"/>
            </w:tcBorders>
            <w:hideMark/>
          </w:tcPr>
          <w:p w14:paraId="51156A7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26.63</w:t>
            </w:r>
          </w:p>
        </w:tc>
        <w:tc>
          <w:tcPr>
            <w:tcW w:w="791" w:type="dxa"/>
            <w:tcBorders>
              <w:top w:val="nil"/>
              <w:bottom w:val="nil"/>
            </w:tcBorders>
            <w:hideMark/>
          </w:tcPr>
          <w:p w14:paraId="3DA37C1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27.40</w:t>
            </w:r>
          </w:p>
        </w:tc>
      </w:tr>
      <w:tr w:rsidR="00AB238E" w:rsidRPr="00705903" w14:paraId="751FF024"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A04CEF6"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2013</w:t>
            </w:r>
          </w:p>
        </w:tc>
        <w:tc>
          <w:tcPr>
            <w:tcW w:w="790" w:type="dxa"/>
            <w:tcBorders>
              <w:top w:val="nil"/>
              <w:bottom w:val="nil"/>
            </w:tcBorders>
            <w:hideMark/>
          </w:tcPr>
          <w:p w14:paraId="758460C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27.51</w:t>
            </w:r>
          </w:p>
        </w:tc>
        <w:tc>
          <w:tcPr>
            <w:tcW w:w="790" w:type="dxa"/>
            <w:tcBorders>
              <w:top w:val="nil"/>
              <w:bottom w:val="nil"/>
            </w:tcBorders>
            <w:hideMark/>
          </w:tcPr>
          <w:p w14:paraId="7281689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24.12</w:t>
            </w:r>
          </w:p>
        </w:tc>
        <w:tc>
          <w:tcPr>
            <w:tcW w:w="791" w:type="dxa"/>
            <w:tcBorders>
              <w:top w:val="nil"/>
              <w:bottom w:val="nil"/>
            </w:tcBorders>
            <w:hideMark/>
          </w:tcPr>
          <w:p w14:paraId="6997436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24.36</w:t>
            </w:r>
          </w:p>
        </w:tc>
        <w:tc>
          <w:tcPr>
            <w:tcW w:w="790" w:type="dxa"/>
            <w:tcBorders>
              <w:top w:val="nil"/>
              <w:bottom w:val="nil"/>
            </w:tcBorders>
            <w:hideMark/>
          </w:tcPr>
          <w:p w14:paraId="6B017D5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25.34</w:t>
            </w:r>
          </w:p>
        </w:tc>
        <w:tc>
          <w:tcPr>
            <w:tcW w:w="790" w:type="dxa"/>
            <w:tcBorders>
              <w:top w:val="nil"/>
              <w:bottom w:val="nil"/>
            </w:tcBorders>
            <w:hideMark/>
          </w:tcPr>
          <w:p w14:paraId="333251E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29.88</w:t>
            </w:r>
          </w:p>
        </w:tc>
        <w:tc>
          <w:tcPr>
            <w:tcW w:w="791" w:type="dxa"/>
            <w:tcBorders>
              <w:top w:val="nil"/>
              <w:bottom w:val="nil"/>
            </w:tcBorders>
            <w:hideMark/>
          </w:tcPr>
          <w:p w14:paraId="2C7D59A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26.54</w:t>
            </w:r>
          </w:p>
        </w:tc>
        <w:tc>
          <w:tcPr>
            <w:tcW w:w="790" w:type="dxa"/>
            <w:tcBorders>
              <w:top w:val="nil"/>
              <w:bottom w:val="nil"/>
            </w:tcBorders>
            <w:hideMark/>
          </w:tcPr>
          <w:p w14:paraId="5FE4EE6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35.45</w:t>
            </w:r>
          </w:p>
        </w:tc>
        <w:tc>
          <w:tcPr>
            <w:tcW w:w="790" w:type="dxa"/>
            <w:tcBorders>
              <w:top w:val="nil"/>
              <w:bottom w:val="nil"/>
            </w:tcBorders>
            <w:hideMark/>
          </w:tcPr>
          <w:p w14:paraId="6C9AA8A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22.33</w:t>
            </w:r>
          </w:p>
        </w:tc>
        <w:tc>
          <w:tcPr>
            <w:tcW w:w="791" w:type="dxa"/>
            <w:tcBorders>
              <w:top w:val="nil"/>
              <w:bottom w:val="nil"/>
            </w:tcBorders>
            <w:hideMark/>
          </w:tcPr>
          <w:p w14:paraId="0443FFB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41.06</w:t>
            </w:r>
          </w:p>
        </w:tc>
        <w:tc>
          <w:tcPr>
            <w:tcW w:w="790" w:type="dxa"/>
            <w:tcBorders>
              <w:top w:val="nil"/>
              <w:bottom w:val="nil"/>
            </w:tcBorders>
            <w:hideMark/>
          </w:tcPr>
          <w:p w14:paraId="3FB586B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29.88</w:t>
            </w:r>
          </w:p>
        </w:tc>
        <w:tc>
          <w:tcPr>
            <w:tcW w:w="791" w:type="dxa"/>
            <w:tcBorders>
              <w:top w:val="nil"/>
              <w:bottom w:val="nil"/>
            </w:tcBorders>
            <w:hideMark/>
          </w:tcPr>
          <w:p w14:paraId="31FDEAA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32.06</w:t>
            </w:r>
          </w:p>
        </w:tc>
      </w:tr>
      <w:tr w:rsidR="00AB238E" w:rsidRPr="00705903" w14:paraId="5A023AD8"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54C8F5C"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2014</w:t>
            </w:r>
          </w:p>
        </w:tc>
        <w:tc>
          <w:tcPr>
            <w:tcW w:w="790" w:type="dxa"/>
            <w:tcBorders>
              <w:top w:val="nil"/>
              <w:bottom w:val="nil"/>
            </w:tcBorders>
            <w:hideMark/>
          </w:tcPr>
          <w:p w14:paraId="4524A70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29.42</w:t>
            </w:r>
          </w:p>
        </w:tc>
        <w:tc>
          <w:tcPr>
            <w:tcW w:w="790" w:type="dxa"/>
            <w:tcBorders>
              <w:top w:val="nil"/>
              <w:bottom w:val="nil"/>
            </w:tcBorders>
            <w:hideMark/>
          </w:tcPr>
          <w:p w14:paraId="2A293D0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24.77</w:t>
            </w:r>
          </w:p>
        </w:tc>
        <w:tc>
          <w:tcPr>
            <w:tcW w:w="791" w:type="dxa"/>
            <w:tcBorders>
              <w:top w:val="nil"/>
              <w:bottom w:val="nil"/>
            </w:tcBorders>
            <w:hideMark/>
          </w:tcPr>
          <w:p w14:paraId="0B17A5F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24.80</w:t>
            </w:r>
          </w:p>
        </w:tc>
        <w:tc>
          <w:tcPr>
            <w:tcW w:w="790" w:type="dxa"/>
            <w:tcBorders>
              <w:top w:val="nil"/>
              <w:bottom w:val="nil"/>
            </w:tcBorders>
            <w:hideMark/>
          </w:tcPr>
          <w:p w14:paraId="2547B05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25.48</w:t>
            </w:r>
          </w:p>
        </w:tc>
        <w:tc>
          <w:tcPr>
            <w:tcW w:w="790" w:type="dxa"/>
            <w:tcBorders>
              <w:top w:val="nil"/>
              <w:bottom w:val="nil"/>
            </w:tcBorders>
            <w:hideMark/>
          </w:tcPr>
          <w:p w14:paraId="4A44630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30.17</w:t>
            </w:r>
          </w:p>
        </w:tc>
        <w:tc>
          <w:tcPr>
            <w:tcW w:w="791" w:type="dxa"/>
            <w:tcBorders>
              <w:top w:val="nil"/>
              <w:bottom w:val="nil"/>
            </w:tcBorders>
            <w:hideMark/>
          </w:tcPr>
          <w:p w14:paraId="3C98D01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25.92</w:t>
            </w:r>
          </w:p>
        </w:tc>
        <w:tc>
          <w:tcPr>
            <w:tcW w:w="790" w:type="dxa"/>
            <w:tcBorders>
              <w:top w:val="nil"/>
              <w:bottom w:val="nil"/>
            </w:tcBorders>
            <w:hideMark/>
          </w:tcPr>
          <w:p w14:paraId="4D73476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34.82</w:t>
            </w:r>
          </w:p>
        </w:tc>
        <w:tc>
          <w:tcPr>
            <w:tcW w:w="790" w:type="dxa"/>
            <w:tcBorders>
              <w:top w:val="nil"/>
              <w:bottom w:val="nil"/>
            </w:tcBorders>
            <w:hideMark/>
          </w:tcPr>
          <w:p w14:paraId="5A867CA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22.22</w:t>
            </w:r>
          </w:p>
        </w:tc>
        <w:tc>
          <w:tcPr>
            <w:tcW w:w="791" w:type="dxa"/>
            <w:tcBorders>
              <w:top w:val="nil"/>
              <w:bottom w:val="nil"/>
            </w:tcBorders>
            <w:hideMark/>
          </w:tcPr>
          <w:p w14:paraId="7469DF4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32.56</w:t>
            </w:r>
          </w:p>
        </w:tc>
        <w:tc>
          <w:tcPr>
            <w:tcW w:w="790" w:type="dxa"/>
            <w:tcBorders>
              <w:top w:val="nil"/>
              <w:bottom w:val="nil"/>
            </w:tcBorders>
            <w:hideMark/>
          </w:tcPr>
          <w:p w14:paraId="1CA765E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29.33</w:t>
            </w:r>
          </w:p>
        </w:tc>
        <w:tc>
          <w:tcPr>
            <w:tcW w:w="791" w:type="dxa"/>
            <w:tcBorders>
              <w:top w:val="nil"/>
              <w:bottom w:val="nil"/>
            </w:tcBorders>
            <w:hideMark/>
          </w:tcPr>
          <w:p w14:paraId="5CFC66D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32.66</w:t>
            </w:r>
          </w:p>
        </w:tc>
      </w:tr>
      <w:tr w:rsidR="00AB238E" w:rsidRPr="00705903" w14:paraId="1DA80DEE"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2984A29"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2015</w:t>
            </w:r>
          </w:p>
        </w:tc>
        <w:tc>
          <w:tcPr>
            <w:tcW w:w="790" w:type="dxa"/>
            <w:tcBorders>
              <w:top w:val="nil"/>
              <w:bottom w:val="nil"/>
            </w:tcBorders>
            <w:hideMark/>
          </w:tcPr>
          <w:p w14:paraId="4761CAA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28.44</w:t>
            </w:r>
          </w:p>
        </w:tc>
        <w:tc>
          <w:tcPr>
            <w:tcW w:w="790" w:type="dxa"/>
            <w:tcBorders>
              <w:top w:val="nil"/>
              <w:bottom w:val="nil"/>
            </w:tcBorders>
            <w:hideMark/>
          </w:tcPr>
          <w:p w14:paraId="0DA7642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24.10</w:t>
            </w:r>
          </w:p>
        </w:tc>
        <w:tc>
          <w:tcPr>
            <w:tcW w:w="791" w:type="dxa"/>
            <w:tcBorders>
              <w:top w:val="nil"/>
              <w:bottom w:val="nil"/>
            </w:tcBorders>
            <w:hideMark/>
          </w:tcPr>
          <w:p w14:paraId="69B8C6B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24.26</w:t>
            </w:r>
          </w:p>
        </w:tc>
        <w:tc>
          <w:tcPr>
            <w:tcW w:w="790" w:type="dxa"/>
            <w:tcBorders>
              <w:top w:val="nil"/>
              <w:bottom w:val="nil"/>
            </w:tcBorders>
            <w:hideMark/>
          </w:tcPr>
          <w:p w14:paraId="70AD137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25.41</w:t>
            </w:r>
          </w:p>
        </w:tc>
        <w:tc>
          <w:tcPr>
            <w:tcW w:w="790" w:type="dxa"/>
            <w:tcBorders>
              <w:top w:val="nil"/>
              <w:bottom w:val="nil"/>
            </w:tcBorders>
            <w:hideMark/>
          </w:tcPr>
          <w:p w14:paraId="3AD03E5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29.61</w:t>
            </w:r>
          </w:p>
        </w:tc>
        <w:tc>
          <w:tcPr>
            <w:tcW w:w="791" w:type="dxa"/>
            <w:tcBorders>
              <w:top w:val="nil"/>
              <w:bottom w:val="nil"/>
            </w:tcBorders>
            <w:hideMark/>
          </w:tcPr>
          <w:p w14:paraId="61F3F9A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26.01</w:t>
            </w:r>
          </w:p>
        </w:tc>
        <w:tc>
          <w:tcPr>
            <w:tcW w:w="790" w:type="dxa"/>
            <w:tcBorders>
              <w:top w:val="nil"/>
              <w:bottom w:val="nil"/>
            </w:tcBorders>
            <w:hideMark/>
          </w:tcPr>
          <w:p w14:paraId="67BD4D0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35.94</w:t>
            </w:r>
          </w:p>
        </w:tc>
        <w:tc>
          <w:tcPr>
            <w:tcW w:w="790" w:type="dxa"/>
            <w:tcBorders>
              <w:top w:val="nil"/>
              <w:bottom w:val="nil"/>
            </w:tcBorders>
            <w:hideMark/>
          </w:tcPr>
          <w:p w14:paraId="64415C8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23.36</w:t>
            </w:r>
          </w:p>
        </w:tc>
        <w:tc>
          <w:tcPr>
            <w:tcW w:w="791" w:type="dxa"/>
            <w:tcBorders>
              <w:top w:val="nil"/>
              <w:bottom w:val="nil"/>
            </w:tcBorders>
            <w:hideMark/>
          </w:tcPr>
          <w:p w14:paraId="3A86EC4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32.19</w:t>
            </w:r>
          </w:p>
        </w:tc>
        <w:tc>
          <w:tcPr>
            <w:tcW w:w="790" w:type="dxa"/>
            <w:tcBorders>
              <w:top w:val="nil"/>
              <w:bottom w:val="nil"/>
            </w:tcBorders>
            <w:hideMark/>
          </w:tcPr>
          <w:p w14:paraId="6524103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30.14</w:t>
            </w:r>
          </w:p>
        </w:tc>
        <w:tc>
          <w:tcPr>
            <w:tcW w:w="791" w:type="dxa"/>
            <w:tcBorders>
              <w:top w:val="nil"/>
              <w:bottom w:val="nil"/>
            </w:tcBorders>
            <w:hideMark/>
          </w:tcPr>
          <w:p w14:paraId="338F5B2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33.21</w:t>
            </w:r>
          </w:p>
        </w:tc>
      </w:tr>
      <w:tr w:rsidR="00AB238E" w:rsidRPr="00705903" w14:paraId="48FD3A5D"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32B307D"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2016</w:t>
            </w:r>
          </w:p>
        </w:tc>
        <w:tc>
          <w:tcPr>
            <w:tcW w:w="790" w:type="dxa"/>
            <w:tcBorders>
              <w:top w:val="nil"/>
              <w:bottom w:val="nil"/>
            </w:tcBorders>
            <w:hideMark/>
          </w:tcPr>
          <w:p w14:paraId="3AEFFAC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28.32</w:t>
            </w:r>
          </w:p>
        </w:tc>
        <w:tc>
          <w:tcPr>
            <w:tcW w:w="790" w:type="dxa"/>
            <w:tcBorders>
              <w:top w:val="nil"/>
              <w:bottom w:val="nil"/>
            </w:tcBorders>
            <w:hideMark/>
          </w:tcPr>
          <w:p w14:paraId="2373CC0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23.35</w:t>
            </w:r>
          </w:p>
        </w:tc>
        <w:tc>
          <w:tcPr>
            <w:tcW w:w="791" w:type="dxa"/>
            <w:tcBorders>
              <w:top w:val="nil"/>
              <w:bottom w:val="nil"/>
            </w:tcBorders>
            <w:hideMark/>
          </w:tcPr>
          <w:p w14:paraId="2C67036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23.14</w:t>
            </w:r>
          </w:p>
        </w:tc>
        <w:tc>
          <w:tcPr>
            <w:tcW w:w="790" w:type="dxa"/>
            <w:tcBorders>
              <w:top w:val="nil"/>
              <w:bottom w:val="nil"/>
            </w:tcBorders>
            <w:hideMark/>
          </w:tcPr>
          <w:p w14:paraId="06FB797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23.85</w:t>
            </w:r>
          </w:p>
        </w:tc>
        <w:tc>
          <w:tcPr>
            <w:tcW w:w="790" w:type="dxa"/>
            <w:tcBorders>
              <w:top w:val="nil"/>
              <w:bottom w:val="nil"/>
            </w:tcBorders>
            <w:hideMark/>
          </w:tcPr>
          <w:p w14:paraId="786F904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28.39</w:t>
            </w:r>
          </w:p>
        </w:tc>
        <w:tc>
          <w:tcPr>
            <w:tcW w:w="791" w:type="dxa"/>
            <w:tcBorders>
              <w:top w:val="nil"/>
              <w:bottom w:val="nil"/>
            </w:tcBorders>
            <w:hideMark/>
          </w:tcPr>
          <w:p w14:paraId="6AFF3A5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24.31</w:t>
            </w:r>
          </w:p>
        </w:tc>
        <w:tc>
          <w:tcPr>
            <w:tcW w:w="790" w:type="dxa"/>
            <w:tcBorders>
              <w:top w:val="nil"/>
              <w:bottom w:val="nil"/>
            </w:tcBorders>
            <w:hideMark/>
          </w:tcPr>
          <w:p w14:paraId="5C6E760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33.22</w:t>
            </w:r>
          </w:p>
        </w:tc>
        <w:tc>
          <w:tcPr>
            <w:tcW w:w="790" w:type="dxa"/>
            <w:tcBorders>
              <w:top w:val="nil"/>
              <w:bottom w:val="nil"/>
            </w:tcBorders>
            <w:hideMark/>
          </w:tcPr>
          <w:p w14:paraId="14B28A3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21.28</w:t>
            </w:r>
          </w:p>
        </w:tc>
        <w:tc>
          <w:tcPr>
            <w:tcW w:w="791" w:type="dxa"/>
            <w:tcBorders>
              <w:top w:val="nil"/>
              <w:bottom w:val="nil"/>
            </w:tcBorders>
            <w:hideMark/>
          </w:tcPr>
          <w:p w14:paraId="206E19A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22.09</w:t>
            </w:r>
          </w:p>
        </w:tc>
        <w:tc>
          <w:tcPr>
            <w:tcW w:w="790" w:type="dxa"/>
            <w:tcBorders>
              <w:top w:val="nil"/>
              <w:bottom w:val="nil"/>
            </w:tcBorders>
            <w:hideMark/>
          </w:tcPr>
          <w:p w14:paraId="3ADA1CA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29.42</w:t>
            </w:r>
          </w:p>
        </w:tc>
        <w:tc>
          <w:tcPr>
            <w:tcW w:w="791" w:type="dxa"/>
            <w:tcBorders>
              <w:top w:val="nil"/>
              <w:bottom w:val="nil"/>
            </w:tcBorders>
            <w:hideMark/>
          </w:tcPr>
          <w:p w14:paraId="5C8A842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32.78</w:t>
            </w:r>
          </w:p>
        </w:tc>
      </w:tr>
      <w:tr w:rsidR="00AB238E" w:rsidRPr="00705903" w14:paraId="46E9159C"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5B4EC56"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2017</w:t>
            </w:r>
          </w:p>
        </w:tc>
        <w:tc>
          <w:tcPr>
            <w:tcW w:w="790" w:type="dxa"/>
            <w:tcBorders>
              <w:top w:val="nil"/>
              <w:bottom w:val="nil"/>
            </w:tcBorders>
            <w:hideMark/>
          </w:tcPr>
          <w:p w14:paraId="78DB5DF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28.67</w:t>
            </w:r>
          </w:p>
        </w:tc>
        <w:tc>
          <w:tcPr>
            <w:tcW w:w="790" w:type="dxa"/>
            <w:tcBorders>
              <w:top w:val="nil"/>
              <w:bottom w:val="nil"/>
            </w:tcBorders>
            <w:hideMark/>
          </w:tcPr>
          <w:p w14:paraId="12B05B1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23.21</w:t>
            </w:r>
          </w:p>
        </w:tc>
        <w:tc>
          <w:tcPr>
            <w:tcW w:w="791" w:type="dxa"/>
            <w:tcBorders>
              <w:top w:val="nil"/>
              <w:bottom w:val="nil"/>
            </w:tcBorders>
            <w:hideMark/>
          </w:tcPr>
          <w:p w14:paraId="12A462F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22.89</w:t>
            </w:r>
          </w:p>
        </w:tc>
        <w:tc>
          <w:tcPr>
            <w:tcW w:w="790" w:type="dxa"/>
            <w:tcBorders>
              <w:top w:val="nil"/>
              <w:bottom w:val="nil"/>
            </w:tcBorders>
            <w:hideMark/>
          </w:tcPr>
          <w:p w14:paraId="4774979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23.50</w:t>
            </w:r>
          </w:p>
        </w:tc>
        <w:tc>
          <w:tcPr>
            <w:tcW w:w="790" w:type="dxa"/>
            <w:tcBorders>
              <w:top w:val="nil"/>
              <w:bottom w:val="nil"/>
            </w:tcBorders>
            <w:hideMark/>
          </w:tcPr>
          <w:p w14:paraId="5EE9104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29.65</w:t>
            </w:r>
          </w:p>
        </w:tc>
        <w:tc>
          <w:tcPr>
            <w:tcW w:w="791" w:type="dxa"/>
            <w:tcBorders>
              <w:top w:val="nil"/>
              <w:bottom w:val="nil"/>
            </w:tcBorders>
            <w:hideMark/>
          </w:tcPr>
          <w:p w14:paraId="2E21DD5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24.24</w:t>
            </w:r>
          </w:p>
        </w:tc>
        <w:tc>
          <w:tcPr>
            <w:tcW w:w="790" w:type="dxa"/>
            <w:tcBorders>
              <w:top w:val="nil"/>
              <w:bottom w:val="nil"/>
            </w:tcBorders>
            <w:hideMark/>
          </w:tcPr>
          <w:p w14:paraId="6434336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34.75</w:t>
            </w:r>
          </w:p>
        </w:tc>
        <w:tc>
          <w:tcPr>
            <w:tcW w:w="790" w:type="dxa"/>
            <w:tcBorders>
              <w:top w:val="nil"/>
              <w:bottom w:val="nil"/>
            </w:tcBorders>
            <w:hideMark/>
          </w:tcPr>
          <w:p w14:paraId="41A410F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22.05</w:t>
            </w:r>
          </w:p>
        </w:tc>
        <w:tc>
          <w:tcPr>
            <w:tcW w:w="791" w:type="dxa"/>
            <w:tcBorders>
              <w:top w:val="nil"/>
              <w:bottom w:val="nil"/>
            </w:tcBorders>
            <w:hideMark/>
          </w:tcPr>
          <w:p w14:paraId="4E2BAFD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25.92</w:t>
            </w:r>
          </w:p>
        </w:tc>
        <w:tc>
          <w:tcPr>
            <w:tcW w:w="790" w:type="dxa"/>
            <w:tcBorders>
              <w:top w:val="nil"/>
              <w:bottom w:val="nil"/>
            </w:tcBorders>
            <w:hideMark/>
          </w:tcPr>
          <w:p w14:paraId="7D04C7D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30.01</w:t>
            </w:r>
          </w:p>
        </w:tc>
        <w:tc>
          <w:tcPr>
            <w:tcW w:w="791" w:type="dxa"/>
            <w:tcBorders>
              <w:top w:val="nil"/>
              <w:bottom w:val="nil"/>
            </w:tcBorders>
            <w:hideMark/>
          </w:tcPr>
          <w:p w14:paraId="3B73073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33.32</w:t>
            </w:r>
          </w:p>
        </w:tc>
      </w:tr>
      <w:tr w:rsidR="00AB238E" w:rsidRPr="00705903" w14:paraId="31396C4B"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6EEDDD5"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2018</w:t>
            </w:r>
          </w:p>
        </w:tc>
        <w:tc>
          <w:tcPr>
            <w:tcW w:w="790" w:type="dxa"/>
            <w:tcBorders>
              <w:top w:val="nil"/>
              <w:bottom w:val="nil"/>
            </w:tcBorders>
            <w:hideMark/>
          </w:tcPr>
          <w:p w14:paraId="44C11E4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29.07</w:t>
            </w:r>
          </w:p>
        </w:tc>
        <w:tc>
          <w:tcPr>
            <w:tcW w:w="790" w:type="dxa"/>
            <w:tcBorders>
              <w:top w:val="nil"/>
              <w:bottom w:val="nil"/>
            </w:tcBorders>
            <w:hideMark/>
          </w:tcPr>
          <w:p w14:paraId="3FB2706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24.20</w:t>
            </w:r>
          </w:p>
        </w:tc>
        <w:tc>
          <w:tcPr>
            <w:tcW w:w="791" w:type="dxa"/>
            <w:tcBorders>
              <w:top w:val="nil"/>
              <w:bottom w:val="nil"/>
            </w:tcBorders>
            <w:hideMark/>
          </w:tcPr>
          <w:p w14:paraId="3B8F735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24.06</w:t>
            </w:r>
          </w:p>
        </w:tc>
        <w:tc>
          <w:tcPr>
            <w:tcW w:w="790" w:type="dxa"/>
            <w:tcBorders>
              <w:top w:val="nil"/>
              <w:bottom w:val="nil"/>
            </w:tcBorders>
            <w:hideMark/>
          </w:tcPr>
          <w:p w14:paraId="0947B7F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25.90</w:t>
            </w:r>
          </w:p>
        </w:tc>
        <w:tc>
          <w:tcPr>
            <w:tcW w:w="790" w:type="dxa"/>
            <w:tcBorders>
              <w:top w:val="nil"/>
              <w:bottom w:val="nil"/>
            </w:tcBorders>
            <w:hideMark/>
          </w:tcPr>
          <w:p w14:paraId="1F69CB9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30.12</w:t>
            </w:r>
          </w:p>
        </w:tc>
        <w:tc>
          <w:tcPr>
            <w:tcW w:w="791" w:type="dxa"/>
            <w:tcBorders>
              <w:top w:val="nil"/>
              <w:bottom w:val="nil"/>
            </w:tcBorders>
            <w:hideMark/>
          </w:tcPr>
          <w:p w14:paraId="38B4043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25.17</w:t>
            </w:r>
          </w:p>
        </w:tc>
        <w:tc>
          <w:tcPr>
            <w:tcW w:w="790" w:type="dxa"/>
            <w:tcBorders>
              <w:top w:val="nil"/>
              <w:bottom w:val="nil"/>
            </w:tcBorders>
            <w:hideMark/>
          </w:tcPr>
          <w:p w14:paraId="6D11CFA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35.64</w:t>
            </w:r>
          </w:p>
        </w:tc>
        <w:tc>
          <w:tcPr>
            <w:tcW w:w="790" w:type="dxa"/>
            <w:tcBorders>
              <w:top w:val="nil"/>
              <w:bottom w:val="nil"/>
            </w:tcBorders>
            <w:hideMark/>
          </w:tcPr>
          <w:p w14:paraId="5F58EDB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22.90</w:t>
            </w:r>
          </w:p>
        </w:tc>
        <w:tc>
          <w:tcPr>
            <w:tcW w:w="791" w:type="dxa"/>
            <w:tcBorders>
              <w:top w:val="nil"/>
              <w:bottom w:val="nil"/>
            </w:tcBorders>
            <w:hideMark/>
          </w:tcPr>
          <w:p w14:paraId="71A3BB6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35.70</w:t>
            </w:r>
          </w:p>
        </w:tc>
        <w:tc>
          <w:tcPr>
            <w:tcW w:w="790" w:type="dxa"/>
            <w:tcBorders>
              <w:top w:val="nil"/>
              <w:bottom w:val="nil"/>
            </w:tcBorders>
            <w:hideMark/>
          </w:tcPr>
          <w:p w14:paraId="3158396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31.11</w:t>
            </w:r>
          </w:p>
        </w:tc>
        <w:tc>
          <w:tcPr>
            <w:tcW w:w="791" w:type="dxa"/>
            <w:tcBorders>
              <w:top w:val="nil"/>
              <w:bottom w:val="nil"/>
            </w:tcBorders>
            <w:hideMark/>
          </w:tcPr>
          <w:p w14:paraId="209FE5A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32.64</w:t>
            </w:r>
          </w:p>
        </w:tc>
      </w:tr>
      <w:tr w:rsidR="00AB238E" w:rsidRPr="00705903" w14:paraId="676DD558"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2FC3711"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2019</w:t>
            </w:r>
          </w:p>
        </w:tc>
        <w:tc>
          <w:tcPr>
            <w:tcW w:w="790" w:type="dxa"/>
            <w:tcBorders>
              <w:top w:val="nil"/>
              <w:bottom w:val="nil"/>
            </w:tcBorders>
            <w:hideMark/>
          </w:tcPr>
          <w:p w14:paraId="20D9350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31.09</w:t>
            </w:r>
          </w:p>
        </w:tc>
        <w:tc>
          <w:tcPr>
            <w:tcW w:w="790" w:type="dxa"/>
            <w:tcBorders>
              <w:top w:val="nil"/>
              <w:bottom w:val="nil"/>
            </w:tcBorders>
            <w:hideMark/>
          </w:tcPr>
          <w:p w14:paraId="47D4540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25.85</w:t>
            </w:r>
          </w:p>
        </w:tc>
        <w:tc>
          <w:tcPr>
            <w:tcW w:w="791" w:type="dxa"/>
            <w:tcBorders>
              <w:top w:val="nil"/>
              <w:bottom w:val="nil"/>
            </w:tcBorders>
            <w:hideMark/>
          </w:tcPr>
          <w:p w14:paraId="37A8F63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26.05</w:t>
            </w:r>
          </w:p>
        </w:tc>
        <w:tc>
          <w:tcPr>
            <w:tcW w:w="790" w:type="dxa"/>
            <w:tcBorders>
              <w:top w:val="nil"/>
              <w:bottom w:val="nil"/>
            </w:tcBorders>
            <w:hideMark/>
          </w:tcPr>
          <w:p w14:paraId="67F9D1F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28.13</w:t>
            </w:r>
          </w:p>
        </w:tc>
        <w:tc>
          <w:tcPr>
            <w:tcW w:w="790" w:type="dxa"/>
            <w:tcBorders>
              <w:top w:val="nil"/>
              <w:bottom w:val="nil"/>
            </w:tcBorders>
            <w:hideMark/>
          </w:tcPr>
          <w:p w14:paraId="75F845C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34.06</w:t>
            </w:r>
          </w:p>
        </w:tc>
        <w:tc>
          <w:tcPr>
            <w:tcW w:w="791" w:type="dxa"/>
            <w:tcBorders>
              <w:top w:val="nil"/>
              <w:bottom w:val="nil"/>
            </w:tcBorders>
            <w:hideMark/>
          </w:tcPr>
          <w:p w14:paraId="509A79E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27.06</w:t>
            </w:r>
          </w:p>
        </w:tc>
        <w:tc>
          <w:tcPr>
            <w:tcW w:w="790" w:type="dxa"/>
            <w:tcBorders>
              <w:top w:val="nil"/>
              <w:bottom w:val="nil"/>
            </w:tcBorders>
            <w:hideMark/>
          </w:tcPr>
          <w:p w14:paraId="51426D6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39.81</w:t>
            </w:r>
          </w:p>
        </w:tc>
        <w:tc>
          <w:tcPr>
            <w:tcW w:w="790" w:type="dxa"/>
            <w:tcBorders>
              <w:top w:val="nil"/>
              <w:bottom w:val="nil"/>
            </w:tcBorders>
            <w:hideMark/>
          </w:tcPr>
          <w:p w14:paraId="7C6BD8E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24.09</w:t>
            </w:r>
          </w:p>
        </w:tc>
        <w:tc>
          <w:tcPr>
            <w:tcW w:w="791" w:type="dxa"/>
            <w:tcBorders>
              <w:top w:val="nil"/>
              <w:bottom w:val="nil"/>
            </w:tcBorders>
            <w:hideMark/>
          </w:tcPr>
          <w:p w14:paraId="506C7FD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23.25</w:t>
            </w:r>
          </w:p>
        </w:tc>
        <w:tc>
          <w:tcPr>
            <w:tcW w:w="790" w:type="dxa"/>
            <w:tcBorders>
              <w:top w:val="nil"/>
              <w:bottom w:val="nil"/>
            </w:tcBorders>
            <w:hideMark/>
          </w:tcPr>
          <w:p w14:paraId="6D70386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34.29</w:t>
            </w:r>
          </w:p>
        </w:tc>
        <w:tc>
          <w:tcPr>
            <w:tcW w:w="791" w:type="dxa"/>
            <w:tcBorders>
              <w:top w:val="nil"/>
              <w:bottom w:val="nil"/>
            </w:tcBorders>
            <w:hideMark/>
          </w:tcPr>
          <w:p w14:paraId="0531ED6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37.05</w:t>
            </w:r>
          </w:p>
        </w:tc>
      </w:tr>
      <w:tr w:rsidR="00AB238E" w:rsidRPr="00705903" w14:paraId="46428DE4"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B9E8900"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2020</w:t>
            </w:r>
          </w:p>
        </w:tc>
        <w:tc>
          <w:tcPr>
            <w:tcW w:w="790" w:type="dxa"/>
            <w:tcBorders>
              <w:top w:val="nil"/>
              <w:bottom w:val="nil"/>
            </w:tcBorders>
            <w:hideMark/>
          </w:tcPr>
          <w:p w14:paraId="0BFAC4C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32.74</w:t>
            </w:r>
          </w:p>
        </w:tc>
        <w:tc>
          <w:tcPr>
            <w:tcW w:w="790" w:type="dxa"/>
            <w:tcBorders>
              <w:top w:val="nil"/>
              <w:bottom w:val="nil"/>
            </w:tcBorders>
            <w:hideMark/>
          </w:tcPr>
          <w:p w14:paraId="2E5AEE6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25.18</w:t>
            </w:r>
          </w:p>
        </w:tc>
        <w:tc>
          <w:tcPr>
            <w:tcW w:w="791" w:type="dxa"/>
            <w:tcBorders>
              <w:top w:val="nil"/>
              <w:bottom w:val="nil"/>
            </w:tcBorders>
            <w:hideMark/>
          </w:tcPr>
          <w:p w14:paraId="71792B3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24.45</w:t>
            </w:r>
          </w:p>
        </w:tc>
        <w:tc>
          <w:tcPr>
            <w:tcW w:w="790" w:type="dxa"/>
            <w:tcBorders>
              <w:top w:val="nil"/>
              <w:bottom w:val="nil"/>
            </w:tcBorders>
            <w:hideMark/>
          </w:tcPr>
          <w:p w14:paraId="507C3E4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26.46</w:t>
            </w:r>
          </w:p>
        </w:tc>
        <w:tc>
          <w:tcPr>
            <w:tcW w:w="790" w:type="dxa"/>
            <w:tcBorders>
              <w:top w:val="nil"/>
              <w:bottom w:val="nil"/>
            </w:tcBorders>
            <w:hideMark/>
          </w:tcPr>
          <w:p w14:paraId="496E7E3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31.67</w:t>
            </w:r>
          </w:p>
        </w:tc>
        <w:tc>
          <w:tcPr>
            <w:tcW w:w="791" w:type="dxa"/>
            <w:tcBorders>
              <w:top w:val="nil"/>
              <w:bottom w:val="nil"/>
            </w:tcBorders>
            <w:hideMark/>
          </w:tcPr>
          <w:p w14:paraId="2EECDBF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25.45</w:t>
            </w:r>
          </w:p>
        </w:tc>
        <w:tc>
          <w:tcPr>
            <w:tcW w:w="790" w:type="dxa"/>
            <w:tcBorders>
              <w:top w:val="nil"/>
              <w:bottom w:val="nil"/>
            </w:tcBorders>
            <w:hideMark/>
          </w:tcPr>
          <w:p w14:paraId="4FBEB63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39.48</w:t>
            </w:r>
          </w:p>
        </w:tc>
        <w:tc>
          <w:tcPr>
            <w:tcW w:w="790" w:type="dxa"/>
            <w:tcBorders>
              <w:top w:val="nil"/>
              <w:bottom w:val="nil"/>
            </w:tcBorders>
            <w:hideMark/>
          </w:tcPr>
          <w:p w14:paraId="6260697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23.20</w:t>
            </w:r>
          </w:p>
        </w:tc>
        <w:tc>
          <w:tcPr>
            <w:tcW w:w="791" w:type="dxa"/>
            <w:tcBorders>
              <w:top w:val="nil"/>
              <w:bottom w:val="nil"/>
            </w:tcBorders>
            <w:hideMark/>
          </w:tcPr>
          <w:p w14:paraId="27BBCBA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25.52</w:t>
            </w:r>
          </w:p>
        </w:tc>
        <w:tc>
          <w:tcPr>
            <w:tcW w:w="790" w:type="dxa"/>
            <w:tcBorders>
              <w:top w:val="nil"/>
              <w:bottom w:val="nil"/>
            </w:tcBorders>
            <w:hideMark/>
          </w:tcPr>
          <w:p w14:paraId="6A7FDCE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33.95</w:t>
            </w:r>
          </w:p>
        </w:tc>
        <w:tc>
          <w:tcPr>
            <w:tcW w:w="791" w:type="dxa"/>
            <w:tcBorders>
              <w:top w:val="nil"/>
              <w:bottom w:val="nil"/>
            </w:tcBorders>
            <w:hideMark/>
          </w:tcPr>
          <w:p w14:paraId="464AFFC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39.60</w:t>
            </w:r>
          </w:p>
        </w:tc>
      </w:tr>
      <w:tr w:rsidR="00AB238E" w:rsidRPr="00705903" w14:paraId="5EE7ACA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24A4A8F"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2021</w:t>
            </w:r>
          </w:p>
        </w:tc>
        <w:tc>
          <w:tcPr>
            <w:tcW w:w="790" w:type="dxa"/>
            <w:tcBorders>
              <w:top w:val="nil"/>
              <w:bottom w:val="nil"/>
            </w:tcBorders>
            <w:hideMark/>
          </w:tcPr>
          <w:p w14:paraId="771B048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31.19</w:t>
            </w:r>
          </w:p>
        </w:tc>
        <w:tc>
          <w:tcPr>
            <w:tcW w:w="790" w:type="dxa"/>
            <w:tcBorders>
              <w:top w:val="nil"/>
              <w:bottom w:val="nil"/>
            </w:tcBorders>
            <w:hideMark/>
          </w:tcPr>
          <w:p w14:paraId="628A5C5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22.90</w:t>
            </w:r>
          </w:p>
        </w:tc>
        <w:tc>
          <w:tcPr>
            <w:tcW w:w="791" w:type="dxa"/>
            <w:tcBorders>
              <w:top w:val="nil"/>
              <w:bottom w:val="nil"/>
            </w:tcBorders>
            <w:hideMark/>
          </w:tcPr>
          <w:p w14:paraId="710501D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22.59</w:t>
            </w:r>
          </w:p>
        </w:tc>
        <w:tc>
          <w:tcPr>
            <w:tcW w:w="790" w:type="dxa"/>
            <w:tcBorders>
              <w:top w:val="nil"/>
              <w:bottom w:val="nil"/>
            </w:tcBorders>
            <w:hideMark/>
          </w:tcPr>
          <w:p w14:paraId="6823A01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25.01</w:t>
            </w:r>
          </w:p>
        </w:tc>
        <w:tc>
          <w:tcPr>
            <w:tcW w:w="790" w:type="dxa"/>
            <w:tcBorders>
              <w:top w:val="nil"/>
              <w:bottom w:val="nil"/>
            </w:tcBorders>
            <w:hideMark/>
          </w:tcPr>
          <w:p w14:paraId="39C090C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29.87</w:t>
            </w:r>
          </w:p>
        </w:tc>
        <w:tc>
          <w:tcPr>
            <w:tcW w:w="791" w:type="dxa"/>
            <w:tcBorders>
              <w:top w:val="nil"/>
              <w:bottom w:val="nil"/>
            </w:tcBorders>
            <w:hideMark/>
          </w:tcPr>
          <w:p w14:paraId="2B80068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22.73</w:t>
            </w:r>
          </w:p>
        </w:tc>
        <w:tc>
          <w:tcPr>
            <w:tcW w:w="790" w:type="dxa"/>
            <w:tcBorders>
              <w:top w:val="nil"/>
              <w:bottom w:val="nil"/>
            </w:tcBorders>
            <w:hideMark/>
          </w:tcPr>
          <w:p w14:paraId="69864A4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37.47</w:t>
            </w:r>
          </w:p>
        </w:tc>
        <w:tc>
          <w:tcPr>
            <w:tcW w:w="790" w:type="dxa"/>
            <w:tcBorders>
              <w:top w:val="nil"/>
              <w:bottom w:val="nil"/>
            </w:tcBorders>
            <w:hideMark/>
          </w:tcPr>
          <w:p w14:paraId="5FDC16E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21.11</w:t>
            </w:r>
          </w:p>
        </w:tc>
        <w:tc>
          <w:tcPr>
            <w:tcW w:w="791" w:type="dxa"/>
            <w:tcBorders>
              <w:top w:val="nil"/>
              <w:bottom w:val="nil"/>
            </w:tcBorders>
            <w:hideMark/>
          </w:tcPr>
          <w:p w14:paraId="1966791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20.60</w:t>
            </w:r>
          </w:p>
        </w:tc>
        <w:tc>
          <w:tcPr>
            <w:tcW w:w="790" w:type="dxa"/>
            <w:tcBorders>
              <w:top w:val="nil"/>
              <w:bottom w:val="nil"/>
            </w:tcBorders>
            <w:hideMark/>
          </w:tcPr>
          <w:p w14:paraId="0B40993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30.48</w:t>
            </w:r>
          </w:p>
        </w:tc>
        <w:tc>
          <w:tcPr>
            <w:tcW w:w="791" w:type="dxa"/>
            <w:tcBorders>
              <w:top w:val="nil"/>
              <w:bottom w:val="nil"/>
            </w:tcBorders>
            <w:hideMark/>
          </w:tcPr>
          <w:p w14:paraId="484374E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37.42</w:t>
            </w:r>
          </w:p>
        </w:tc>
      </w:tr>
      <w:tr w:rsidR="00AB238E" w:rsidRPr="00705903" w14:paraId="1825E0E6"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78D7AFD3"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2022</w:t>
            </w:r>
          </w:p>
        </w:tc>
        <w:tc>
          <w:tcPr>
            <w:tcW w:w="790" w:type="dxa"/>
            <w:tcBorders>
              <w:top w:val="nil"/>
            </w:tcBorders>
            <w:hideMark/>
          </w:tcPr>
          <w:p w14:paraId="0581291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27.53</w:t>
            </w:r>
          </w:p>
        </w:tc>
        <w:tc>
          <w:tcPr>
            <w:tcW w:w="790" w:type="dxa"/>
            <w:tcBorders>
              <w:top w:val="nil"/>
            </w:tcBorders>
            <w:hideMark/>
          </w:tcPr>
          <w:p w14:paraId="47121F8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19.09</w:t>
            </w:r>
          </w:p>
        </w:tc>
        <w:tc>
          <w:tcPr>
            <w:tcW w:w="791" w:type="dxa"/>
            <w:tcBorders>
              <w:top w:val="nil"/>
            </w:tcBorders>
            <w:hideMark/>
          </w:tcPr>
          <w:p w14:paraId="1D4FBB5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19.68</w:t>
            </w:r>
          </w:p>
        </w:tc>
        <w:tc>
          <w:tcPr>
            <w:tcW w:w="790" w:type="dxa"/>
            <w:tcBorders>
              <w:top w:val="nil"/>
            </w:tcBorders>
            <w:hideMark/>
          </w:tcPr>
          <w:p w14:paraId="16D378F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20.60</w:t>
            </w:r>
          </w:p>
        </w:tc>
        <w:tc>
          <w:tcPr>
            <w:tcW w:w="790" w:type="dxa"/>
            <w:tcBorders>
              <w:top w:val="nil"/>
            </w:tcBorders>
            <w:hideMark/>
          </w:tcPr>
          <w:p w14:paraId="49D351B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24.55</w:t>
            </w:r>
          </w:p>
        </w:tc>
        <w:tc>
          <w:tcPr>
            <w:tcW w:w="791" w:type="dxa"/>
            <w:tcBorders>
              <w:top w:val="nil"/>
            </w:tcBorders>
            <w:hideMark/>
          </w:tcPr>
          <w:p w14:paraId="4AF30B6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19.89</w:t>
            </w:r>
          </w:p>
        </w:tc>
        <w:tc>
          <w:tcPr>
            <w:tcW w:w="790" w:type="dxa"/>
            <w:tcBorders>
              <w:top w:val="nil"/>
            </w:tcBorders>
            <w:hideMark/>
          </w:tcPr>
          <w:p w14:paraId="690A8A5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33.32</w:t>
            </w:r>
          </w:p>
        </w:tc>
        <w:tc>
          <w:tcPr>
            <w:tcW w:w="790" w:type="dxa"/>
            <w:tcBorders>
              <w:top w:val="nil"/>
            </w:tcBorders>
            <w:hideMark/>
          </w:tcPr>
          <w:p w14:paraId="546B51A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17.66</w:t>
            </w:r>
          </w:p>
        </w:tc>
        <w:tc>
          <w:tcPr>
            <w:tcW w:w="791" w:type="dxa"/>
            <w:tcBorders>
              <w:top w:val="nil"/>
            </w:tcBorders>
            <w:hideMark/>
          </w:tcPr>
          <w:p w14:paraId="34293AA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24.18</w:t>
            </w:r>
          </w:p>
        </w:tc>
        <w:tc>
          <w:tcPr>
            <w:tcW w:w="790" w:type="dxa"/>
            <w:tcBorders>
              <w:top w:val="nil"/>
            </w:tcBorders>
            <w:hideMark/>
          </w:tcPr>
          <w:p w14:paraId="2CBC0C9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29.54</w:t>
            </w:r>
          </w:p>
        </w:tc>
        <w:tc>
          <w:tcPr>
            <w:tcW w:w="791" w:type="dxa"/>
            <w:tcBorders>
              <w:top w:val="nil"/>
            </w:tcBorders>
            <w:hideMark/>
          </w:tcPr>
          <w:p w14:paraId="453B89E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29.60</w:t>
            </w:r>
          </w:p>
        </w:tc>
      </w:tr>
    </w:tbl>
    <w:p w14:paraId="00318EB5" w14:textId="77777777" w:rsidR="00AB238E" w:rsidRPr="00705903" w:rsidRDefault="00AB238E" w:rsidP="0097761F">
      <w:pPr>
        <w:spacing w:after="160" w:line="259" w:lineRule="auto"/>
        <w:ind w:firstLine="0"/>
        <w:jc w:val="both"/>
      </w:pPr>
    </w:p>
    <w:p w14:paraId="083C5D3F" w14:textId="77777777" w:rsidR="00AB238E" w:rsidRPr="00705903" w:rsidRDefault="00AB238E" w:rsidP="0097761F">
      <w:pPr>
        <w:spacing w:after="160" w:line="259" w:lineRule="auto"/>
        <w:ind w:firstLine="0"/>
        <w:jc w:val="both"/>
      </w:pPr>
    </w:p>
    <w:p w14:paraId="0ED1E2CD" w14:textId="77777777" w:rsidR="00AB238E" w:rsidRPr="00705903" w:rsidRDefault="00AB238E" w:rsidP="0097761F">
      <w:pPr>
        <w:spacing w:after="160" w:line="259" w:lineRule="auto"/>
        <w:ind w:firstLine="0"/>
        <w:jc w:val="both"/>
        <w:rPr>
          <w:b/>
          <w:bCs/>
          <w:szCs w:val="24"/>
          <w:lang w:val="en-US" w:eastAsia="zh-CN"/>
        </w:rPr>
      </w:pPr>
      <w:r w:rsidRPr="00705903">
        <w:br w:type="page"/>
      </w:r>
    </w:p>
    <w:p w14:paraId="24F69B12" w14:textId="77777777" w:rsidR="00AB238E" w:rsidRPr="00705903" w:rsidRDefault="00AB238E" w:rsidP="0097761F">
      <w:pPr>
        <w:pStyle w:val="Heading1"/>
      </w:pPr>
      <w:r w:rsidRPr="00705903">
        <w:t>Table 12. Summary Statistics of ESG Dimension Scores (Quantiles)</w:t>
      </w:r>
    </w:p>
    <w:p w14:paraId="23A7CC82" w14:textId="77777777" w:rsidR="00AB238E" w:rsidRPr="00705903" w:rsidRDefault="00AB238E" w:rsidP="0097761F">
      <w:pPr>
        <w:spacing w:line="259" w:lineRule="auto"/>
        <w:ind w:firstLine="0"/>
        <w:jc w:val="both"/>
        <w:rPr>
          <w:sz w:val="20"/>
          <w:szCs w:val="20"/>
        </w:rPr>
      </w:pPr>
    </w:p>
    <w:p w14:paraId="775D5394" w14:textId="77777777" w:rsidR="00AB238E" w:rsidRPr="00705903" w:rsidRDefault="00AB238E" w:rsidP="0097761F">
      <w:pPr>
        <w:spacing w:line="259" w:lineRule="auto"/>
        <w:ind w:firstLine="0"/>
        <w:jc w:val="both"/>
        <w:rPr>
          <w:sz w:val="20"/>
          <w:szCs w:val="20"/>
        </w:rPr>
      </w:pPr>
      <w:r w:rsidRPr="00705903">
        <w:rPr>
          <w:sz w:val="20"/>
          <w:szCs w:val="20"/>
        </w:rPr>
        <w:t xml:space="preserve">This table reports the 25th, 50th, and 75th percentile values of the firm-level average scores for each ESG dimension (E, S, and G) across all listed firms included in the </w:t>
      </w:r>
      <w:r w:rsidRPr="00705903">
        <w:rPr>
          <w:sz w:val="20"/>
          <w:szCs w:val="20"/>
          <w:lang w:eastAsia="zh-CN"/>
        </w:rPr>
        <w:t>CNRDS</w:t>
      </w:r>
      <w:r w:rsidRPr="00705903">
        <w:rPr>
          <w:sz w:val="20"/>
          <w:szCs w:val="20"/>
        </w:rPr>
        <w:t xml:space="preserve"> database from 200</w:t>
      </w:r>
      <w:r w:rsidRPr="00705903">
        <w:rPr>
          <w:sz w:val="20"/>
          <w:szCs w:val="20"/>
          <w:lang w:eastAsia="zh-CN"/>
        </w:rPr>
        <w:t>7</w:t>
      </w:r>
      <w:r w:rsidRPr="00705903">
        <w:rPr>
          <w:sz w:val="20"/>
          <w:szCs w:val="20"/>
        </w:rPr>
        <w:t xml:space="preserve"> to 202</w:t>
      </w:r>
      <w:r w:rsidRPr="00705903">
        <w:rPr>
          <w:sz w:val="20"/>
          <w:szCs w:val="20"/>
          <w:lang w:eastAsia="zh-CN"/>
        </w:rPr>
        <w:t>2</w:t>
      </w:r>
      <w:r w:rsidRPr="00705903">
        <w:rPr>
          <w:sz w:val="20"/>
          <w:szCs w:val="20"/>
        </w:rPr>
        <w:t>.</w:t>
      </w:r>
      <w:r w:rsidRPr="00705903">
        <w:rPr>
          <w:sz w:val="20"/>
          <w:szCs w:val="20"/>
          <w:lang w:eastAsia="zh-CN"/>
        </w:rPr>
        <w:t xml:space="preserve"> </w:t>
      </w:r>
      <w:r w:rsidRPr="00705903">
        <w:rPr>
          <w:sz w:val="20"/>
          <w:szCs w:val="20"/>
        </w:rPr>
        <w:t xml:space="preserve">The results show that </w:t>
      </w:r>
      <w:r w:rsidRPr="00705903">
        <w:rPr>
          <w:b/>
          <w:bCs/>
          <w:sz w:val="20"/>
          <w:szCs w:val="20"/>
        </w:rPr>
        <w:t>G (Governance)</w:t>
      </w:r>
      <w:r w:rsidRPr="00705903">
        <w:rPr>
          <w:sz w:val="20"/>
          <w:szCs w:val="20"/>
        </w:rPr>
        <w:t xml:space="preserve"> scores are more concentrated and higher in central tendency,</w:t>
      </w:r>
      <w:r w:rsidRPr="00705903">
        <w:rPr>
          <w:sz w:val="20"/>
          <w:szCs w:val="20"/>
          <w:lang w:eastAsia="zh-CN"/>
        </w:rPr>
        <w:t xml:space="preserve"> </w:t>
      </w:r>
      <w:r w:rsidRPr="00705903">
        <w:rPr>
          <w:sz w:val="20"/>
          <w:szCs w:val="20"/>
        </w:rPr>
        <w:t xml:space="preserve">while </w:t>
      </w:r>
      <w:r w:rsidRPr="00705903">
        <w:rPr>
          <w:b/>
          <w:bCs/>
          <w:sz w:val="20"/>
          <w:szCs w:val="20"/>
        </w:rPr>
        <w:t>E (Environmental)</w:t>
      </w:r>
      <w:r w:rsidRPr="00705903">
        <w:rPr>
          <w:sz w:val="20"/>
          <w:szCs w:val="20"/>
        </w:rPr>
        <w:t xml:space="preserve"> scores exhibit the widest dispersion, reflecting substantial heterogeneity in environmental performance across industries.</w:t>
      </w:r>
    </w:p>
    <w:p w14:paraId="525C4DBD" w14:textId="77777777" w:rsidR="00AB238E" w:rsidRPr="00705903" w:rsidRDefault="00AB238E" w:rsidP="0097761F">
      <w:pPr>
        <w:spacing w:line="259" w:lineRule="auto"/>
        <w:ind w:firstLine="0"/>
        <w:jc w:val="both"/>
        <w:rPr>
          <w:sz w:val="20"/>
          <w:szCs w:val="20"/>
        </w:rPr>
      </w:pPr>
    </w:p>
    <w:p w14:paraId="3A1F1C5C" w14:textId="77777777" w:rsidR="00AB238E" w:rsidRPr="00705903" w:rsidRDefault="00AB238E" w:rsidP="0097761F">
      <w:pPr>
        <w:spacing w:line="259" w:lineRule="auto"/>
        <w:ind w:firstLine="0"/>
        <w:jc w:val="both"/>
        <w:rPr>
          <w:sz w:val="20"/>
          <w:szCs w:val="20"/>
          <w:lang w:val="en-US"/>
        </w:rPr>
      </w:pPr>
      <w:r w:rsidRPr="00705903">
        <w:rPr>
          <w:sz w:val="20"/>
          <w:szCs w:val="20"/>
          <w:lang w:val="en-US" w:eastAsia="zh-CN"/>
        </w:rPr>
        <w:t>Figure 10</w:t>
      </w:r>
      <w:r w:rsidRPr="00705903">
        <w:rPr>
          <w:sz w:val="20"/>
          <w:szCs w:val="20"/>
          <w:lang w:val="en-US"/>
        </w:rPr>
        <w:t xml:space="preserve"> and Table 1</w:t>
      </w:r>
      <w:r w:rsidRPr="00705903">
        <w:rPr>
          <w:sz w:val="20"/>
          <w:szCs w:val="20"/>
          <w:lang w:val="en-US" w:eastAsia="zh-CN"/>
        </w:rPr>
        <w:t>2</w:t>
      </w:r>
      <w:r w:rsidRPr="00705903">
        <w:rPr>
          <w:sz w:val="20"/>
          <w:szCs w:val="20"/>
          <w:lang w:val="en-US"/>
        </w:rPr>
        <w:t xml:space="preserve"> jointly depict the cross-sectional dispersion of the three ESG sub-dimensions across Chinese listed firms from 200</w:t>
      </w:r>
      <w:r w:rsidRPr="00705903">
        <w:rPr>
          <w:sz w:val="20"/>
          <w:szCs w:val="20"/>
          <w:lang w:val="en-US" w:eastAsia="zh-CN"/>
        </w:rPr>
        <w:t>7</w:t>
      </w:r>
      <w:r w:rsidRPr="00705903">
        <w:rPr>
          <w:sz w:val="20"/>
          <w:szCs w:val="20"/>
          <w:lang w:val="en-US"/>
        </w:rPr>
        <w:t xml:space="preserve"> to 202</w:t>
      </w:r>
      <w:r w:rsidRPr="00705903">
        <w:rPr>
          <w:sz w:val="20"/>
          <w:szCs w:val="20"/>
          <w:lang w:val="en-US" w:eastAsia="zh-CN"/>
        </w:rPr>
        <w:t>2</w:t>
      </w:r>
      <w:r w:rsidRPr="00705903">
        <w:rPr>
          <w:sz w:val="20"/>
          <w:szCs w:val="20"/>
          <w:lang w:val="en-US"/>
        </w:rPr>
        <w:t>.The Environmental (E) scores exhibit the widest dispersion and the lowest central tendency (median = 11.54), with a long lower tail extending toward zero. This pattern implies that environmental practices remain highly uneven across industries — while a small fraction of firms achieve relatively high environmental ratings, the majority perform modestly, reflecting heterogeneous environmental management maturity and disclosure practices.</w:t>
      </w:r>
    </w:p>
    <w:p w14:paraId="568FC0F3" w14:textId="77777777" w:rsidR="00AB238E" w:rsidRPr="00705903" w:rsidRDefault="00AB238E" w:rsidP="0097761F">
      <w:pPr>
        <w:spacing w:line="259" w:lineRule="auto"/>
        <w:ind w:firstLine="0"/>
        <w:jc w:val="both"/>
        <w:rPr>
          <w:sz w:val="20"/>
          <w:szCs w:val="20"/>
          <w:lang w:val="en-US"/>
        </w:rPr>
      </w:pPr>
    </w:p>
    <w:p w14:paraId="63EA07B6"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 xml:space="preserve">In contrast, the Social (S) and Governance (G) scores display higher medians (23.22 and 27.06, respectively) and more compact distributions, suggesting that Chinese listed firms have achieved greater convergence in social responsibility and governance standards. The narrower interquartile range (IQR) of G ratings (23.52 – 28.97) indicates that governance-related criteria — such as board independence, shareholder protection, and information transparency — are more uniformly adopted across industries. </w:t>
      </w:r>
    </w:p>
    <w:p w14:paraId="2436BE5D" w14:textId="77777777" w:rsidR="00AB238E" w:rsidRPr="00705903" w:rsidRDefault="00AB238E" w:rsidP="0097761F">
      <w:pPr>
        <w:spacing w:line="259" w:lineRule="auto"/>
        <w:ind w:firstLine="0"/>
        <w:jc w:val="both"/>
        <w:rPr>
          <w:sz w:val="20"/>
          <w:szCs w:val="20"/>
          <w:lang w:val="en-US"/>
        </w:rPr>
      </w:pPr>
    </w:p>
    <w:p w14:paraId="6331C92E" w14:textId="77777777" w:rsidR="00AB238E" w:rsidRPr="00705903" w:rsidRDefault="00AB238E" w:rsidP="0097761F">
      <w:pPr>
        <w:spacing w:line="259" w:lineRule="auto"/>
        <w:ind w:firstLine="0"/>
        <w:jc w:val="both"/>
        <w:rPr>
          <w:sz w:val="20"/>
          <w:szCs w:val="20"/>
        </w:rPr>
      </w:pPr>
    </w:p>
    <w:tbl>
      <w:tblPr>
        <w:tblStyle w:val="PlainTable2"/>
        <w:tblW w:w="9462" w:type="dxa"/>
        <w:tblLook w:val="04A0" w:firstRow="1" w:lastRow="0" w:firstColumn="1" w:lastColumn="0" w:noHBand="0" w:noVBand="1"/>
      </w:tblPr>
      <w:tblGrid>
        <w:gridCol w:w="1270"/>
        <w:gridCol w:w="2730"/>
        <w:gridCol w:w="2731"/>
        <w:gridCol w:w="2731"/>
      </w:tblGrid>
      <w:tr w:rsidR="00AB238E" w:rsidRPr="00705903" w14:paraId="335DF1EB"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FC9EC"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Dimension</w:t>
            </w:r>
          </w:p>
        </w:tc>
        <w:tc>
          <w:tcPr>
            <w:tcW w:w="2730" w:type="dxa"/>
            <w:hideMark/>
          </w:tcPr>
          <w:p w14:paraId="7AF21EE6"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25%</w:t>
            </w:r>
          </w:p>
        </w:tc>
        <w:tc>
          <w:tcPr>
            <w:tcW w:w="2731" w:type="dxa"/>
            <w:hideMark/>
          </w:tcPr>
          <w:p w14:paraId="3598584A"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50% (Median)</w:t>
            </w:r>
          </w:p>
        </w:tc>
        <w:tc>
          <w:tcPr>
            <w:tcW w:w="2731" w:type="dxa"/>
            <w:hideMark/>
          </w:tcPr>
          <w:p w14:paraId="307FD6BE"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75%</w:t>
            </w:r>
          </w:p>
        </w:tc>
      </w:tr>
      <w:tr w:rsidR="00AB238E" w:rsidRPr="00705903" w14:paraId="460FED3E"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3616955F"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E</w:t>
            </w:r>
          </w:p>
        </w:tc>
        <w:tc>
          <w:tcPr>
            <w:tcW w:w="2730" w:type="dxa"/>
            <w:tcBorders>
              <w:bottom w:val="nil"/>
            </w:tcBorders>
            <w:hideMark/>
          </w:tcPr>
          <w:p w14:paraId="1B6D1E8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8.75</w:t>
            </w:r>
          </w:p>
        </w:tc>
        <w:tc>
          <w:tcPr>
            <w:tcW w:w="2731" w:type="dxa"/>
            <w:tcBorders>
              <w:bottom w:val="nil"/>
            </w:tcBorders>
            <w:hideMark/>
          </w:tcPr>
          <w:p w14:paraId="4439D42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11.54</w:t>
            </w:r>
          </w:p>
        </w:tc>
        <w:tc>
          <w:tcPr>
            <w:tcW w:w="2731" w:type="dxa"/>
            <w:tcBorders>
              <w:bottom w:val="nil"/>
            </w:tcBorders>
            <w:hideMark/>
          </w:tcPr>
          <w:p w14:paraId="798D8AB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16.25</w:t>
            </w:r>
          </w:p>
        </w:tc>
      </w:tr>
      <w:tr w:rsidR="00AB238E" w:rsidRPr="00705903" w14:paraId="7F3C3C4F"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C0D3E1C"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S</w:t>
            </w:r>
          </w:p>
        </w:tc>
        <w:tc>
          <w:tcPr>
            <w:tcW w:w="2730" w:type="dxa"/>
            <w:tcBorders>
              <w:top w:val="nil"/>
              <w:bottom w:val="nil"/>
            </w:tcBorders>
            <w:hideMark/>
          </w:tcPr>
          <w:p w14:paraId="5314A92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21.88</w:t>
            </w:r>
          </w:p>
        </w:tc>
        <w:tc>
          <w:tcPr>
            <w:tcW w:w="2731" w:type="dxa"/>
            <w:tcBorders>
              <w:top w:val="nil"/>
              <w:bottom w:val="nil"/>
            </w:tcBorders>
            <w:hideMark/>
          </w:tcPr>
          <w:p w14:paraId="5AAA86C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23.22</w:t>
            </w:r>
          </w:p>
        </w:tc>
        <w:tc>
          <w:tcPr>
            <w:tcW w:w="2731" w:type="dxa"/>
            <w:tcBorders>
              <w:top w:val="nil"/>
              <w:bottom w:val="nil"/>
            </w:tcBorders>
            <w:hideMark/>
          </w:tcPr>
          <w:p w14:paraId="5B02387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25.52</w:t>
            </w:r>
          </w:p>
        </w:tc>
      </w:tr>
      <w:tr w:rsidR="00AB238E" w:rsidRPr="00705903" w14:paraId="11597FD8"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44E2AD2B"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G</w:t>
            </w:r>
          </w:p>
        </w:tc>
        <w:tc>
          <w:tcPr>
            <w:tcW w:w="2730" w:type="dxa"/>
            <w:tcBorders>
              <w:top w:val="nil"/>
            </w:tcBorders>
            <w:hideMark/>
          </w:tcPr>
          <w:p w14:paraId="471A17D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23.52</w:t>
            </w:r>
          </w:p>
        </w:tc>
        <w:tc>
          <w:tcPr>
            <w:tcW w:w="2731" w:type="dxa"/>
            <w:tcBorders>
              <w:top w:val="nil"/>
            </w:tcBorders>
            <w:hideMark/>
          </w:tcPr>
          <w:p w14:paraId="4F12AA4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27.06</w:t>
            </w:r>
          </w:p>
        </w:tc>
        <w:tc>
          <w:tcPr>
            <w:tcW w:w="2731" w:type="dxa"/>
            <w:tcBorders>
              <w:top w:val="nil"/>
            </w:tcBorders>
            <w:hideMark/>
          </w:tcPr>
          <w:p w14:paraId="1A1ACDE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28.97</w:t>
            </w:r>
          </w:p>
        </w:tc>
      </w:tr>
    </w:tbl>
    <w:p w14:paraId="318A370B" w14:textId="77777777" w:rsidR="00AB238E" w:rsidRPr="00705903" w:rsidRDefault="00AB238E" w:rsidP="0097761F">
      <w:pPr>
        <w:spacing w:line="259" w:lineRule="auto"/>
        <w:ind w:firstLine="0"/>
        <w:jc w:val="both"/>
        <w:rPr>
          <w:sz w:val="20"/>
          <w:szCs w:val="20"/>
        </w:rPr>
      </w:pPr>
    </w:p>
    <w:p w14:paraId="1E6E75F8" w14:textId="77777777" w:rsidR="00AB238E" w:rsidRPr="00705903" w:rsidRDefault="00AB238E" w:rsidP="0097761F">
      <w:pPr>
        <w:spacing w:line="259" w:lineRule="auto"/>
        <w:ind w:firstLine="0"/>
        <w:jc w:val="both"/>
        <w:rPr>
          <w:sz w:val="20"/>
          <w:szCs w:val="20"/>
        </w:rPr>
      </w:pPr>
      <w:r w:rsidRPr="00705903">
        <w:rPr>
          <w:sz w:val="20"/>
          <w:szCs w:val="20"/>
        </w:rPr>
        <w:br w:type="page"/>
      </w:r>
    </w:p>
    <w:p w14:paraId="0EB05DD3" w14:textId="77777777" w:rsidR="00AB238E" w:rsidRPr="00705903" w:rsidRDefault="00AB238E" w:rsidP="0097761F">
      <w:pPr>
        <w:pStyle w:val="Heading1"/>
      </w:pPr>
      <w:r w:rsidRPr="00705903">
        <w:t>Table 13. Rank Correlation Matrices among ESG Dimensions</w:t>
      </w:r>
    </w:p>
    <w:p w14:paraId="1F0C1A02" w14:textId="77777777" w:rsidR="00AB238E" w:rsidRPr="00705903" w:rsidRDefault="00AB238E" w:rsidP="0097761F">
      <w:pPr>
        <w:spacing w:line="259" w:lineRule="auto"/>
        <w:ind w:firstLine="0"/>
        <w:jc w:val="both"/>
        <w:rPr>
          <w:sz w:val="20"/>
          <w:szCs w:val="20"/>
        </w:rPr>
      </w:pPr>
    </w:p>
    <w:p w14:paraId="2E4E749A"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This table reports the average Environmental (E), Social (S), and Governance (G) scores for each GICS Level 1 industry, averaged across listed firms from 2007 to 2022. The ranking within each dimension is shown in the adjacent columns, with rank 1 indicating the highest-performing industry.</w:t>
      </w:r>
    </w:p>
    <w:p w14:paraId="12DC026D" w14:textId="77777777" w:rsidR="00AB238E" w:rsidRPr="00705903" w:rsidRDefault="00AB238E" w:rsidP="0097761F">
      <w:pPr>
        <w:spacing w:line="259" w:lineRule="auto"/>
        <w:ind w:firstLine="0"/>
        <w:jc w:val="both"/>
        <w:rPr>
          <w:sz w:val="20"/>
          <w:szCs w:val="20"/>
          <w:lang w:val="en-US"/>
        </w:rPr>
      </w:pPr>
    </w:p>
    <w:p w14:paraId="1D55D835"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Industries such as Consumer Staples and Energy rank consistently high in both the E and S dimensions, while Financials and Real Estate exhibit stronger performance in the G (Governance) dimension. This cross-dimensional divergence highlights varying institutional and regulatory emphasis across sectors.</w:t>
      </w:r>
    </w:p>
    <w:p w14:paraId="01541D1C" w14:textId="77777777" w:rsidR="00AB238E" w:rsidRPr="00705903" w:rsidRDefault="00AB238E" w:rsidP="0097761F">
      <w:pPr>
        <w:spacing w:line="259" w:lineRule="auto"/>
        <w:ind w:firstLine="0"/>
        <w:jc w:val="both"/>
        <w:rPr>
          <w:sz w:val="20"/>
          <w:szCs w:val="20"/>
        </w:rPr>
      </w:pPr>
    </w:p>
    <w:p w14:paraId="12ED62F6" w14:textId="77777777" w:rsidR="00AB238E" w:rsidRPr="00705903" w:rsidRDefault="00AB238E" w:rsidP="0097761F">
      <w:pPr>
        <w:spacing w:line="259" w:lineRule="auto"/>
        <w:ind w:firstLine="0"/>
        <w:jc w:val="both"/>
        <w:rPr>
          <w:sz w:val="20"/>
          <w:szCs w:val="20"/>
        </w:rPr>
      </w:pPr>
    </w:p>
    <w:tbl>
      <w:tblPr>
        <w:tblStyle w:val="PlainTable2"/>
        <w:tblW w:w="0" w:type="auto"/>
        <w:tblLook w:val="04A0" w:firstRow="1" w:lastRow="0" w:firstColumn="1" w:lastColumn="0" w:noHBand="0" w:noVBand="1"/>
      </w:tblPr>
      <w:tblGrid>
        <w:gridCol w:w="2510"/>
        <w:gridCol w:w="1141"/>
        <w:gridCol w:w="1142"/>
        <w:gridCol w:w="1142"/>
        <w:gridCol w:w="1141"/>
        <w:gridCol w:w="1142"/>
        <w:gridCol w:w="1142"/>
      </w:tblGrid>
      <w:tr w:rsidR="00AB238E" w:rsidRPr="00705903" w14:paraId="54FA9B78"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37FA3C27"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Industry (GICS Level 1)</w:t>
            </w:r>
          </w:p>
        </w:tc>
        <w:tc>
          <w:tcPr>
            <w:tcW w:w="1141" w:type="dxa"/>
            <w:tcBorders>
              <w:bottom w:val="single" w:sz="4" w:space="0" w:color="auto"/>
            </w:tcBorders>
            <w:hideMark/>
          </w:tcPr>
          <w:p w14:paraId="15E27FC5"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E Score</w:t>
            </w:r>
          </w:p>
        </w:tc>
        <w:tc>
          <w:tcPr>
            <w:tcW w:w="1142" w:type="dxa"/>
            <w:tcBorders>
              <w:bottom w:val="single" w:sz="4" w:space="0" w:color="auto"/>
            </w:tcBorders>
            <w:hideMark/>
          </w:tcPr>
          <w:p w14:paraId="2D4C7166"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E Rank</w:t>
            </w:r>
          </w:p>
        </w:tc>
        <w:tc>
          <w:tcPr>
            <w:tcW w:w="1142" w:type="dxa"/>
            <w:tcBorders>
              <w:bottom w:val="single" w:sz="4" w:space="0" w:color="auto"/>
            </w:tcBorders>
            <w:hideMark/>
          </w:tcPr>
          <w:p w14:paraId="68A71ECF"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 Score</w:t>
            </w:r>
          </w:p>
        </w:tc>
        <w:tc>
          <w:tcPr>
            <w:tcW w:w="1141" w:type="dxa"/>
            <w:tcBorders>
              <w:bottom w:val="single" w:sz="4" w:space="0" w:color="auto"/>
            </w:tcBorders>
            <w:hideMark/>
          </w:tcPr>
          <w:p w14:paraId="6E55D35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 Rank</w:t>
            </w:r>
          </w:p>
        </w:tc>
        <w:tc>
          <w:tcPr>
            <w:tcW w:w="1142" w:type="dxa"/>
            <w:tcBorders>
              <w:bottom w:val="single" w:sz="4" w:space="0" w:color="auto"/>
            </w:tcBorders>
            <w:hideMark/>
          </w:tcPr>
          <w:p w14:paraId="6D99E99A"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G Score</w:t>
            </w:r>
          </w:p>
        </w:tc>
        <w:tc>
          <w:tcPr>
            <w:tcW w:w="1142" w:type="dxa"/>
            <w:tcBorders>
              <w:bottom w:val="single" w:sz="4" w:space="0" w:color="auto"/>
            </w:tcBorders>
            <w:hideMark/>
          </w:tcPr>
          <w:p w14:paraId="44A3A4EB"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G Rank</w:t>
            </w:r>
          </w:p>
        </w:tc>
      </w:tr>
      <w:tr w:rsidR="00AB238E" w:rsidRPr="00705903" w14:paraId="02ED386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hideMark/>
          </w:tcPr>
          <w:p w14:paraId="2D2B2B1A"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Materials</w:t>
            </w:r>
          </w:p>
        </w:tc>
        <w:tc>
          <w:tcPr>
            <w:tcW w:w="1141" w:type="dxa"/>
            <w:tcBorders>
              <w:top w:val="single" w:sz="4" w:space="0" w:color="auto"/>
              <w:bottom w:val="nil"/>
            </w:tcBorders>
            <w:hideMark/>
          </w:tcPr>
          <w:p w14:paraId="6C215C7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23.37</w:t>
            </w:r>
          </w:p>
        </w:tc>
        <w:tc>
          <w:tcPr>
            <w:tcW w:w="1142" w:type="dxa"/>
            <w:tcBorders>
              <w:top w:val="single" w:sz="4" w:space="0" w:color="auto"/>
              <w:bottom w:val="nil"/>
            </w:tcBorders>
            <w:hideMark/>
          </w:tcPr>
          <w:p w14:paraId="56E5EB4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w:t>
            </w:r>
          </w:p>
        </w:tc>
        <w:tc>
          <w:tcPr>
            <w:tcW w:w="1142" w:type="dxa"/>
            <w:tcBorders>
              <w:top w:val="single" w:sz="4" w:space="0" w:color="auto"/>
              <w:bottom w:val="nil"/>
            </w:tcBorders>
            <w:hideMark/>
          </w:tcPr>
          <w:p w14:paraId="4D808BF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23.22</w:t>
            </w:r>
          </w:p>
        </w:tc>
        <w:tc>
          <w:tcPr>
            <w:tcW w:w="1141" w:type="dxa"/>
            <w:tcBorders>
              <w:top w:val="single" w:sz="4" w:space="0" w:color="auto"/>
              <w:bottom w:val="nil"/>
            </w:tcBorders>
            <w:hideMark/>
          </w:tcPr>
          <w:p w14:paraId="578655E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6</w:t>
            </w:r>
          </w:p>
        </w:tc>
        <w:tc>
          <w:tcPr>
            <w:tcW w:w="1142" w:type="dxa"/>
            <w:tcBorders>
              <w:top w:val="single" w:sz="4" w:space="0" w:color="auto"/>
              <w:bottom w:val="nil"/>
            </w:tcBorders>
            <w:hideMark/>
          </w:tcPr>
          <w:p w14:paraId="579A4A3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23.02</w:t>
            </w:r>
          </w:p>
        </w:tc>
        <w:tc>
          <w:tcPr>
            <w:tcW w:w="1142" w:type="dxa"/>
            <w:tcBorders>
              <w:top w:val="single" w:sz="4" w:space="0" w:color="auto"/>
              <w:bottom w:val="nil"/>
            </w:tcBorders>
            <w:hideMark/>
          </w:tcPr>
          <w:p w14:paraId="551E353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9</w:t>
            </w:r>
          </w:p>
        </w:tc>
      </w:tr>
      <w:tr w:rsidR="00AB238E" w:rsidRPr="00705903" w14:paraId="4C1AA17E"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199C00D"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Consumer Staples</w:t>
            </w:r>
          </w:p>
        </w:tc>
        <w:tc>
          <w:tcPr>
            <w:tcW w:w="1141" w:type="dxa"/>
            <w:tcBorders>
              <w:top w:val="nil"/>
              <w:bottom w:val="nil"/>
            </w:tcBorders>
            <w:hideMark/>
          </w:tcPr>
          <w:p w14:paraId="62699D7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17.91</w:t>
            </w:r>
          </w:p>
        </w:tc>
        <w:tc>
          <w:tcPr>
            <w:tcW w:w="1142" w:type="dxa"/>
            <w:tcBorders>
              <w:top w:val="nil"/>
              <w:bottom w:val="nil"/>
            </w:tcBorders>
            <w:hideMark/>
          </w:tcPr>
          <w:p w14:paraId="08CBFBC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w:t>
            </w:r>
          </w:p>
        </w:tc>
        <w:tc>
          <w:tcPr>
            <w:tcW w:w="1142" w:type="dxa"/>
            <w:tcBorders>
              <w:top w:val="nil"/>
              <w:bottom w:val="nil"/>
            </w:tcBorders>
            <w:hideMark/>
          </w:tcPr>
          <w:p w14:paraId="14862D8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29.67</w:t>
            </w:r>
          </w:p>
        </w:tc>
        <w:tc>
          <w:tcPr>
            <w:tcW w:w="1141" w:type="dxa"/>
            <w:tcBorders>
              <w:top w:val="nil"/>
              <w:bottom w:val="nil"/>
            </w:tcBorders>
            <w:hideMark/>
          </w:tcPr>
          <w:p w14:paraId="7A8D44A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w:t>
            </w:r>
          </w:p>
        </w:tc>
        <w:tc>
          <w:tcPr>
            <w:tcW w:w="1142" w:type="dxa"/>
            <w:tcBorders>
              <w:top w:val="nil"/>
              <w:bottom w:val="nil"/>
            </w:tcBorders>
            <w:hideMark/>
          </w:tcPr>
          <w:p w14:paraId="18904FE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28.80</w:t>
            </w:r>
          </w:p>
        </w:tc>
        <w:tc>
          <w:tcPr>
            <w:tcW w:w="1142" w:type="dxa"/>
            <w:tcBorders>
              <w:top w:val="nil"/>
              <w:bottom w:val="nil"/>
            </w:tcBorders>
            <w:hideMark/>
          </w:tcPr>
          <w:p w14:paraId="73562D7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4</w:t>
            </w:r>
          </w:p>
        </w:tc>
      </w:tr>
      <w:tr w:rsidR="00AB238E" w:rsidRPr="00705903" w14:paraId="51B8EA67"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4B23D69"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Health Care</w:t>
            </w:r>
          </w:p>
        </w:tc>
        <w:tc>
          <w:tcPr>
            <w:tcW w:w="1141" w:type="dxa"/>
            <w:tcBorders>
              <w:top w:val="nil"/>
              <w:bottom w:val="nil"/>
            </w:tcBorders>
            <w:hideMark/>
          </w:tcPr>
          <w:p w14:paraId="34EAA86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17.18</w:t>
            </w:r>
          </w:p>
        </w:tc>
        <w:tc>
          <w:tcPr>
            <w:tcW w:w="1142" w:type="dxa"/>
            <w:tcBorders>
              <w:top w:val="nil"/>
              <w:bottom w:val="nil"/>
            </w:tcBorders>
            <w:hideMark/>
          </w:tcPr>
          <w:p w14:paraId="294C622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w:t>
            </w:r>
          </w:p>
        </w:tc>
        <w:tc>
          <w:tcPr>
            <w:tcW w:w="1142" w:type="dxa"/>
            <w:tcBorders>
              <w:top w:val="nil"/>
              <w:bottom w:val="nil"/>
            </w:tcBorders>
            <w:hideMark/>
          </w:tcPr>
          <w:p w14:paraId="725E0BA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25.74</w:t>
            </w:r>
          </w:p>
        </w:tc>
        <w:tc>
          <w:tcPr>
            <w:tcW w:w="1141" w:type="dxa"/>
            <w:tcBorders>
              <w:top w:val="nil"/>
              <w:bottom w:val="nil"/>
            </w:tcBorders>
            <w:hideMark/>
          </w:tcPr>
          <w:p w14:paraId="1CF1897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w:t>
            </w:r>
          </w:p>
        </w:tc>
        <w:tc>
          <w:tcPr>
            <w:tcW w:w="1142" w:type="dxa"/>
            <w:tcBorders>
              <w:top w:val="nil"/>
              <w:bottom w:val="nil"/>
            </w:tcBorders>
            <w:hideMark/>
          </w:tcPr>
          <w:p w14:paraId="7934647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24.02</w:t>
            </w:r>
          </w:p>
        </w:tc>
        <w:tc>
          <w:tcPr>
            <w:tcW w:w="1142" w:type="dxa"/>
            <w:tcBorders>
              <w:top w:val="nil"/>
              <w:bottom w:val="nil"/>
            </w:tcBorders>
            <w:hideMark/>
          </w:tcPr>
          <w:p w14:paraId="69FE095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8</w:t>
            </w:r>
          </w:p>
        </w:tc>
      </w:tr>
      <w:tr w:rsidR="00AB238E" w:rsidRPr="00705903" w14:paraId="1EC82385"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E055A2B"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Energy</w:t>
            </w:r>
          </w:p>
        </w:tc>
        <w:tc>
          <w:tcPr>
            <w:tcW w:w="1141" w:type="dxa"/>
            <w:tcBorders>
              <w:top w:val="nil"/>
              <w:bottom w:val="nil"/>
            </w:tcBorders>
            <w:hideMark/>
          </w:tcPr>
          <w:p w14:paraId="6E60FAE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15.32</w:t>
            </w:r>
          </w:p>
        </w:tc>
        <w:tc>
          <w:tcPr>
            <w:tcW w:w="1142" w:type="dxa"/>
            <w:tcBorders>
              <w:top w:val="nil"/>
              <w:bottom w:val="nil"/>
            </w:tcBorders>
            <w:hideMark/>
          </w:tcPr>
          <w:p w14:paraId="1986ADF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4</w:t>
            </w:r>
          </w:p>
        </w:tc>
        <w:tc>
          <w:tcPr>
            <w:tcW w:w="1142" w:type="dxa"/>
            <w:tcBorders>
              <w:top w:val="nil"/>
              <w:bottom w:val="nil"/>
            </w:tcBorders>
            <w:hideMark/>
          </w:tcPr>
          <w:p w14:paraId="5ECB9C3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28.84</w:t>
            </w:r>
          </w:p>
        </w:tc>
        <w:tc>
          <w:tcPr>
            <w:tcW w:w="1141" w:type="dxa"/>
            <w:tcBorders>
              <w:top w:val="nil"/>
              <w:bottom w:val="nil"/>
            </w:tcBorders>
            <w:hideMark/>
          </w:tcPr>
          <w:p w14:paraId="4435B80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w:t>
            </w:r>
          </w:p>
        </w:tc>
        <w:tc>
          <w:tcPr>
            <w:tcW w:w="1142" w:type="dxa"/>
            <w:tcBorders>
              <w:top w:val="nil"/>
              <w:bottom w:val="nil"/>
            </w:tcBorders>
            <w:hideMark/>
          </w:tcPr>
          <w:p w14:paraId="5BE11B7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27.50</w:t>
            </w:r>
          </w:p>
        </w:tc>
        <w:tc>
          <w:tcPr>
            <w:tcW w:w="1142" w:type="dxa"/>
            <w:tcBorders>
              <w:top w:val="nil"/>
              <w:bottom w:val="nil"/>
            </w:tcBorders>
            <w:hideMark/>
          </w:tcPr>
          <w:p w14:paraId="65E8606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5</w:t>
            </w:r>
          </w:p>
        </w:tc>
      </w:tr>
      <w:tr w:rsidR="00AB238E" w:rsidRPr="00705903" w14:paraId="4E7F8E54"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F076AB2"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Industrials</w:t>
            </w:r>
          </w:p>
        </w:tc>
        <w:tc>
          <w:tcPr>
            <w:tcW w:w="1141" w:type="dxa"/>
            <w:tcBorders>
              <w:top w:val="nil"/>
              <w:bottom w:val="nil"/>
            </w:tcBorders>
            <w:hideMark/>
          </w:tcPr>
          <w:p w14:paraId="5A95368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12.66</w:t>
            </w:r>
          </w:p>
        </w:tc>
        <w:tc>
          <w:tcPr>
            <w:tcW w:w="1142" w:type="dxa"/>
            <w:tcBorders>
              <w:top w:val="nil"/>
              <w:bottom w:val="nil"/>
            </w:tcBorders>
            <w:hideMark/>
          </w:tcPr>
          <w:p w14:paraId="2958FF3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w:t>
            </w:r>
          </w:p>
        </w:tc>
        <w:tc>
          <w:tcPr>
            <w:tcW w:w="1142" w:type="dxa"/>
            <w:tcBorders>
              <w:top w:val="nil"/>
              <w:bottom w:val="nil"/>
            </w:tcBorders>
            <w:hideMark/>
          </w:tcPr>
          <w:p w14:paraId="56434FE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23.59</w:t>
            </w:r>
          </w:p>
        </w:tc>
        <w:tc>
          <w:tcPr>
            <w:tcW w:w="1141" w:type="dxa"/>
            <w:tcBorders>
              <w:top w:val="nil"/>
              <w:bottom w:val="nil"/>
            </w:tcBorders>
            <w:hideMark/>
          </w:tcPr>
          <w:p w14:paraId="6F5CF48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w:t>
            </w:r>
          </w:p>
        </w:tc>
        <w:tc>
          <w:tcPr>
            <w:tcW w:w="1142" w:type="dxa"/>
            <w:tcBorders>
              <w:top w:val="nil"/>
              <w:bottom w:val="nil"/>
            </w:tcBorders>
            <w:hideMark/>
          </w:tcPr>
          <w:p w14:paraId="5C1D03C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23.01</w:t>
            </w:r>
          </w:p>
        </w:tc>
        <w:tc>
          <w:tcPr>
            <w:tcW w:w="1142" w:type="dxa"/>
            <w:tcBorders>
              <w:top w:val="nil"/>
              <w:bottom w:val="nil"/>
            </w:tcBorders>
            <w:hideMark/>
          </w:tcPr>
          <w:p w14:paraId="6026E08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10</w:t>
            </w:r>
          </w:p>
        </w:tc>
      </w:tr>
      <w:tr w:rsidR="00AB238E" w:rsidRPr="00705903" w14:paraId="3E9F71A9"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E8401B6"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Consumer Discretionary</w:t>
            </w:r>
          </w:p>
        </w:tc>
        <w:tc>
          <w:tcPr>
            <w:tcW w:w="1141" w:type="dxa"/>
            <w:tcBorders>
              <w:top w:val="nil"/>
              <w:bottom w:val="nil"/>
            </w:tcBorders>
            <w:hideMark/>
          </w:tcPr>
          <w:p w14:paraId="79426AB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11.54</w:t>
            </w:r>
          </w:p>
        </w:tc>
        <w:tc>
          <w:tcPr>
            <w:tcW w:w="1142" w:type="dxa"/>
            <w:tcBorders>
              <w:top w:val="nil"/>
              <w:bottom w:val="nil"/>
            </w:tcBorders>
            <w:hideMark/>
          </w:tcPr>
          <w:p w14:paraId="0406141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6</w:t>
            </w:r>
          </w:p>
        </w:tc>
        <w:tc>
          <w:tcPr>
            <w:tcW w:w="1142" w:type="dxa"/>
            <w:tcBorders>
              <w:top w:val="nil"/>
              <w:bottom w:val="nil"/>
            </w:tcBorders>
            <w:hideMark/>
          </w:tcPr>
          <w:p w14:paraId="783E06E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21.48</w:t>
            </w:r>
          </w:p>
        </w:tc>
        <w:tc>
          <w:tcPr>
            <w:tcW w:w="1141" w:type="dxa"/>
            <w:tcBorders>
              <w:top w:val="nil"/>
              <w:bottom w:val="nil"/>
            </w:tcBorders>
            <w:hideMark/>
          </w:tcPr>
          <w:p w14:paraId="7E9AD2F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9</w:t>
            </w:r>
          </w:p>
        </w:tc>
        <w:tc>
          <w:tcPr>
            <w:tcW w:w="1142" w:type="dxa"/>
            <w:tcBorders>
              <w:top w:val="nil"/>
              <w:bottom w:val="nil"/>
            </w:tcBorders>
            <w:hideMark/>
          </w:tcPr>
          <w:p w14:paraId="149CE11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24.37</w:t>
            </w:r>
          </w:p>
        </w:tc>
        <w:tc>
          <w:tcPr>
            <w:tcW w:w="1142" w:type="dxa"/>
            <w:tcBorders>
              <w:top w:val="nil"/>
              <w:bottom w:val="nil"/>
            </w:tcBorders>
            <w:hideMark/>
          </w:tcPr>
          <w:p w14:paraId="61741D9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7</w:t>
            </w:r>
          </w:p>
        </w:tc>
      </w:tr>
      <w:tr w:rsidR="00AB238E" w:rsidRPr="00705903" w14:paraId="2F6BC368"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5D83165"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Utilities</w:t>
            </w:r>
          </w:p>
        </w:tc>
        <w:tc>
          <w:tcPr>
            <w:tcW w:w="1141" w:type="dxa"/>
            <w:tcBorders>
              <w:top w:val="nil"/>
              <w:bottom w:val="nil"/>
            </w:tcBorders>
            <w:hideMark/>
          </w:tcPr>
          <w:p w14:paraId="51EBB0B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11.46</w:t>
            </w:r>
          </w:p>
        </w:tc>
        <w:tc>
          <w:tcPr>
            <w:tcW w:w="1142" w:type="dxa"/>
            <w:tcBorders>
              <w:top w:val="nil"/>
              <w:bottom w:val="nil"/>
            </w:tcBorders>
            <w:hideMark/>
          </w:tcPr>
          <w:p w14:paraId="59E7C2E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7</w:t>
            </w:r>
          </w:p>
        </w:tc>
        <w:tc>
          <w:tcPr>
            <w:tcW w:w="1142" w:type="dxa"/>
            <w:tcBorders>
              <w:top w:val="nil"/>
              <w:bottom w:val="nil"/>
            </w:tcBorders>
            <w:hideMark/>
          </w:tcPr>
          <w:p w14:paraId="2B2C46D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25.30</w:t>
            </w:r>
          </w:p>
        </w:tc>
        <w:tc>
          <w:tcPr>
            <w:tcW w:w="1141" w:type="dxa"/>
            <w:tcBorders>
              <w:top w:val="nil"/>
              <w:bottom w:val="nil"/>
            </w:tcBorders>
            <w:hideMark/>
          </w:tcPr>
          <w:p w14:paraId="5CA6B82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4</w:t>
            </w:r>
          </w:p>
        </w:tc>
        <w:tc>
          <w:tcPr>
            <w:tcW w:w="1142" w:type="dxa"/>
            <w:tcBorders>
              <w:top w:val="nil"/>
              <w:bottom w:val="nil"/>
            </w:tcBorders>
            <w:hideMark/>
          </w:tcPr>
          <w:p w14:paraId="02F3179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29.15</w:t>
            </w:r>
          </w:p>
        </w:tc>
        <w:tc>
          <w:tcPr>
            <w:tcW w:w="1142" w:type="dxa"/>
            <w:tcBorders>
              <w:top w:val="nil"/>
              <w:bottom w:val="nil"/>
            </w:tcBorders>
            <w:hideMark/>
          </w:tcPr>
          <w:p w14:paraId="42DCE5E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w:t>
            </w:r>
          </w:p>
        </w:tc>
      </w:tr>
      <w:tr w:rsidR="00AB238E" w:rsidRPr="00705903" w14:paraId="3809C531"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4342F04"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Information Technology</w:t>
            </w:r>
          </w:p>
        </w:tc>
        <w:tc>
          <w:tcPr>
            <w:tcW w:w="1141" w:type="dxa"/>
            <w:tcBorders>
              <w:top w:val="nil"/>
              <w:bottom w:val="nil"/>
            </w:tcBorders>
            <w:hideMark/>
          </w:tcPr>
          <w:p w14:paraId="70FC9C2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9.44</w:t>
            </w:r>
          </w:p>
        </w:tc>
        <w:tc>
          <w:tcPr>
            <w:tcW w:w="1142" w:type="dxa"/>
            <w:tcBorders>
              <w:top w:val="nil"/>
              <w:bottom w:val="nil"/>
            </w:tcBorders>
            <w:hideMark/>
          </w:tcPr>
          <w:p w14:paraId="2600172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8</w:t>
            </w:r>
          </w:p>
        </w:tc>
        <w:tc>
          <w:tcPr>
            <w:tcW w:w="1142" w:type="dxa"/>
            <w:tcBorders>
              <w:top w:val="nil"/>
              <w:bottom w:val="nil"/>
            </w:tcBorders>
            <w:hideMark/>
          </w:tcPr>
          <w:p w14:paraId="6C8524F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22.27</w:t>
            </w:r>
          </w:p>
        </w:tc>
        <w:tc>
          <w:tcPr>
            <w:tcW w:w="1141" w:type="dxa"/>
            <w:tcBorders>
              <w:top w:val="nil"/>
              <w:bottom w:val="nil"/>
            </w:tcBorders>
            <w:hideMark/>
          </w:tcPr>
          <w:p w14:paraId="4AE8AE0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8</w:t>
            </w:r>
          </w:p>
        </w:tc>
        <w:tc>
          <w:tcPr>
            <w:tcW w:w="1142" w:type="dxa"/>
            <w:tcBorders>
              <w:top w:val="nil"/>
              <w:bottom w:val="nil"/>
            </w:tcBorders>
            <w:hideMark/>
          </w:tcPr>
          <w:p w14:paraId="5B689A9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21.38</w:t>
            </w:r>
          </w:p>
        </w:tc>
        <w:tc>
          <w:tcPr>
            <w:tcW w:w="1142" w:type="dxa"/>
            <w:tcBorders>
              <w:top w:val="nil"/>
              <w:bottom w:val="nil"/>
            </w:tcBorders>
            <w:hideMark/>
          </w:tcPr>
          <w:p w14:paraId="57000D4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11</w:t>
            </w:r>
          </w:p>
        </w:tc>
      </w:tr>
      <w:tr w:rsidR="00AB238E" w:rsidRPr="00705903" w14:paraId="517AC66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9DEBA52"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Financials</w:t>
            </w:r>
          </w:p>
        </w:tc>
        <w:tc>
          <w:tcPr>
            <w:tcW w:w="1141" w:type="dxa"/>
            <w:tcBorders>
              <w:top w:val="nil"/>
              <w:bottom w:val="nil"/>
            </w:tcBorders>
            <w:hideMark/>
          </w:tcPr>
          <w:p w14:paraId="209ECD9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8.06</w:t>
            </w:r>
          </w:p>
        </w:tc>
        <w:tc>
          <w:tcPr>
            <w:tcW w:w="1142" w:type="dxa"/>
            <w:tcBorders>
              <w:top w:val="nil"/>
              <w:bottom w:val="nil"/>
            </w:tcBorders>
            <w:hideMark/>
          </w:tcPr>
          <w:p w14:paraId="074289C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9</w:t>
            </w:r>
          </w:p>
        </w:tc>
        <w:tc>
          <w:tcPr>
            <w:tcW w:w="1142" w:type="dxa"/>
            <w:tcBorders>
              <w:top w:val="nil"/>
              <w:bottom w:val="nil"/>
            </w:tcBorders>
            <w:hideMark/>
          </w:tcPr>
          <w:p w14:paraId="1EAC624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23.00</w:t>
            </w:r>
          </w:p>
        </w:tc>
        <w:tc>
          <w:tcPr>
            <w:tcW w:w="1141" w:type="dxa"/>
            <w:tcBorders>
              <w:top w:val="nil"/>
              <w:bottom w:val="nil"/>
            </w:tcBorders>
            <w:hideMark/>
          </w:tcPr>
          <w:p w14:paraId="5643D0A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7</w:t>
            </w:r>
          </w:p>
        </w:tc>
        <w:tc>
          <w:tcPr>
            <w:tcW w:w="1142" w:type="dxa"/>
            <w:tcBorders>
              <w:top w:val="nil"/>
              <w:bottom w:val="nil"/>
            </w:tcBorders>
            <w:hideMark/>
          </w:tcPr>
          <w:p w14:paraId="02A7943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33.54</w:t>
            </w:r>
          </w:p>
        </w:tc>
        <w:tc>
          <w:tcPr>
            <w:tcW w:w="1142" w:type="dxa"/>
            <w:tcBorders>
              <w:top w:val="nil"/>
              <w:bottom w:val="nil"/>
            </w:tcBorders>
            <w:hideMark/>
          </w:tcPr>
          <w:p w14:paraId="71EDF91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w:t>
            </w:r>
          </w:p>
        </w:tc>
      </w:tr>
      <w:tr w:rsidR="00AB238E" w:rsidRPr="00705903" w14:paraId="7B3C64AC"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E1A0102"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Telecommunication Services</w:t>
            </w:r>
          </w:p>
        </w:tc>
        <w:tc>
          <w:tcPr>
            <w:tcW w:w="1141" w:type="dxa"/>
            <w:tcBorders>
              <w:top w:val="nil"/>
              <w:bottom w:val="nil"/>
            </w:tcBorders>
            <w:hideMark/>
          </w:tcPr>
          <w:p w14:paraId="76A58E4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6.05</w:t>
            </w:r>
          </w:p>
        </w:tc>
        <w:tc>
          <w:tcPr>
            <w:tcW w:w="1142" w:type="dxa"/>
            <w:tcBorders>
              <w:top w:val="nil"/>
              <w:bottom w:val="nil"/>
            </w:tcBorders>
            <w:hideMark/>
          </w:tcPr>
          <w:p w14:paraId="4850310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10</w:t>
            </w:r>
          </w:p>
        </w:tc>
        <w:tc>
          <w:tcPr>
            <w:tcW w:w="1142" w:type="dxa"/>
            <w:tcBorders>
              <w:top w:val="nil"/>
              <w:bottom w:val="nil"/>
            </w:tcBorders>
            <w:hideMark/>
          </w:tcPr>
          <w:p w14:paraId="4774CCE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17.94</w:t>
            </w:r>
          </w:p>
        </w:tc>
        <w:tc>
          <w:tcPr>
            <w:tcW w:w="1141" w:type="dxa"/>
            <w:tcBorders>
              <w:top w:val="nil"/>
              <w:bottom w:val="nil"/>
            </w:tcBorders>
            <w:hideMark/>
          </w:tcPr>
          <w:p w14:paraId="66E5961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11</w:t>
            </w:r>
          </w:p>
        </w:tc>
        <w:tc>
          <w:tcPr>
            <w:tcW w:w="1142" w:type="dxa"/>
            <w:tcBorders>
              <w:top w:val="nil"/>
              <w:bottom w:val="nil"/>
            </w:tcBorders>
            <w:hideMark/>
          </w:tcPr>
          <w:p w14:paraId="10BB672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27.06</w:t>
            </w:r>
          </w:p>
        </w:tc>
        <w:tc>
          <w:tcPr>
            <w:tcW w:w="1142" w:type="dxa"/>
            <w:tcBorders>
              <w:top w:val="nil"/>
              <w:bottom w:val="nil"/>
            </w:tcBorders>
            <w:hideMark/>
          </w:tcPr>
          <w:p w14:paraId="00709CC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6</w:t>
            </w:r>
          </w:p>
        </w:tc>
      </w:tr>
      <w:tr w:rsidR="00AB238E" w:rsidRPr="00705903" w14:paraId="6198A52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hideMark/>
          </w:tcPr>
          <w:p w14:paraId="56EF1285"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Real Estate</w:t>
            </w:r>
          </w:p>
        </w:tc>
        <w:tc>
          <w:tcPr>
            <w:tcW w:w="1141" w:type="dxa"/>
            <w:tcBorders>
              <w:top w:val="nil"/>
              <w:bottom w:val="single" w:sz="4" w:space="0" w:color="auto"/>
            </w:tcBorders>
            <w:hideMark/>
          </w:tcPr>
          <w:p w14:paraId="2CA65D3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5.07</w:t>
            </w:r>
          </w:p>
        </w:tc>
        <w:tc>
          <w:tcPr>
            <w:tcW w:w="1142" w:type="dxa"/>
            <w:tcBorders>
              <w:top w:val="nil"/>
              <w:bottom w:val="single" w:sz="4" w:space="0" w:color="auto"/>
            </w:tcBorders>
            <w:hideMark/>
          </w:tcPr>
          <w:p w14:paraId="0554071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11</w:t>
            </w:r>
          </w:p>
        </w:tc>
        <w:tc>
          <w:tcPr>
            <w:tcW w:w="1142" w:type="dxa"/>
            <w:tcBorders>
              <w:top w:val="nil"/>
              <w:bottom w:val="single" w:sz="4" w:space="0" w:color="auto"/>
            </w:tcBorders>
            <w:hideMark/>
          </w:tcPr>
          <w:p w14:paraId="039FCE1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19.51</w:t>
            </w:r>
          </w:p>
        </w:tc>
        <w:tc>
          <w:tcPr>
            <w:tcW w:w="1141" w:type="dxa"/>
            <w:tcBorders>
              <w:top w:val="nil"/>
              <w:bottom w:val="single" w:sz="4" w:space="0" w:color="auto"/>
            </w:tcBorders>
            <w:hideMark/>
          </w:tcPr>
          <w:p w14:paraId="24B2746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10</w:t>
            </w:r>
          </w:p>
        </w:tc>
        <w:tc>
          <w:tcPr>
            <w:tcW w:w="1142" w:type="dxa"/>
            <w:tcBorders>
              <w:top w:val="nil"/>
              <w:bottom w:val="single" w:sz="4" w:space="0" w:color="auto"/>
            </w:tcBorders>
            <w:hideMark/>
          </w:tcPr>
          <w:p w14:paraId="6D27FBF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31.73</w:t>
            </w:r>
          </w:p>
        </w:tc>
        <w:tc>
          <w:tcPr>
            <w:tcW w:w="1142" w:type="dxa"/>
            <w:tcBorders>
              <w:top w:val="nil"/>
              <w:bottom w:val="single" w:sz="4" w:space="0" w:color="auto"/>
            </w:tcBorders>
            <w:hideMark/>
          </w:tcPr>
          <w:p w14:paraId="31FA123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w:t>
            </w:r>
          </w:p>
        </w:tc>
      </w:tr>
    </w:tbl>
    <w:p w14:paraId="3804FB0C" w14:textId="77777777" w:rsidR="00AB238E" w:rsidRPr="00705903" w:rsidRDefault="00AB238E" w:rsidP="0097761F">
      <w:pPr>
        <w:spacing w:line="259" w:lineRule="auto"/>
        <w:ind w:firstLine="0"/>
        <w:jc w:val="both"/>
        <w:rPr>
          <w:sz w:val="20"/>
          <w:szCs w:val="20"/>
        </w:rPr>
      </w:pPr>
    </w:p>
    <w:p w14:paraId="321FDD71" w14:textId="77777777" w:rsidR="00AB238E" w:rsidRPr="00705903" w:rsidRDefault="00AB238E" w:rsidP="0097761F">
      <w:pPr>
        <w:spacing w:line="259" w:lineRule="auto"/>
        <w:ind w:firstLine="0"/>
        <w:jc w:val="both"/>
        <w:rPr>
          <w:sz w:val="20"/>
          <w:szCs w:val="20"/>
        </w:rPr>
      </w:pPr>
    </w:p>
    <w:p w14:paraId="0B7F08FA" w14:textId="77777777" w:rsidR="00AB238E" w:rsidRPr="00705903" w:rsidRDefault="00AB238E" w:rsidP="0097761F">
      <w:pPr>
        <w:spacing w:line="259" w:lineRule="auto"/>
        <w:ind w:firstLine="0"/>
        <w:jc w:val="both"/>
        <w:rPr>
          <w:sz w:val="20"/>
          <w:szCs w:val="20"/>
        </w:rPr>
      </w:pPr>
    </w:p>
    <w:p w14:paraId="238818E4" w14:textId="77777777" w:rsidR="00AB238E" w:rsidRPr="00705903" w:rsidRDefault="00AB238E" w:rsidP="0097761F">
      <w:pPr>
        <w:spacing w:after="160" w:line="259" w:lineRule="auto"/>
        <w:ind w:firstLine="0"/>
        <w:jc w:val="both"/>
        <w:rPr>
          <w:sz w:val="20"/>
          <w:szCs w:val="20"/>
        </w:rPr>
      </w:pPr>
      <w:r w:rsidRPr="00705903">
        <w:rPr>
          <w:sz w:val="20"/>
          <w:szCs w:val="20"/>
        </w:rPr>
        <w:br w:type="page"/>
      </w:r>
    </w:p>
    <w:p w14:paraId="372FB3E7" w14:textId="77777777" w:rsidR="00AB238E" w:rsidRPr="00705903" w:rsidRDefault="00AB238E" w:rsidP="0097761F">
      <w:pPr>
        <w:pStyle w:val="Heading1"/>
      </w:pPr>
      <w:r w:rsidRPr="00705903">
        <w:t>Table 14. Rank Correlation Matrices among ESG Dimensions</w:t>
      </w:r>
    </w:p>
    <w:p w14:paraId="3C156CED" w14:textId="77777777" w:rsidR="00AB238E" w:rsidRPr="00705903" w:rsidRDefault="00AB238E" w:rsidP="0097761F">
      <w:pPr>
        <w:spacing w:line="259" w:lineRule="auto"/>
        <w:ind w:firstLine="0"/>
        <w:jc w:val="both"/>
        <w:rPr>
          <w:sz w:val="20"/>
          <w:szCs w:val="20"/>
        </w:rPr>
      </w:pPr>
    </w:p>
    <w:p w14:paraId="1D0088EE" w14:textId="77777777" w:rsidR="00AB238E" w:rsidRPr="00705903" w:rsidRDefault="00AB238E" w:rsidP="0097761F">
      <w:pPr>
        <w:spacing w:line="259" w:lineRule="auto"/>
        <w:ind w:firstLine="0"/>
        <w:jc w:val="both"/>
        <w:rPr>
          <w:sz w:val="20"/>
          <w:szCs w:val="20"/>
        </w:rPr>
      </w:pPr>
      <w:r w:rsidRPr="00705903">
        <w:rPr>
          <w:sz w:val="20"/>
          <w:szCs w:val="20"/>
        </w:rPr>
        <w:t>This table presents both Spearman’s ρ and Kendall’s τ rank correlation matrices across Environmental (E), Social (S), and Governance (G) rankings at the industry level.</w:t>
      </w:r>
      <w:r w:rsidRPr="00705903">
        <w:rPr>
          <w:sz w:val="20"/>
          <w:szCs w:val="20"/>
          <w:lang w:eastAsia="zh-CN"/>
        </w:rPr>
        <w:t xml:space="preserve"> </w:t>
      </w:r>
      <w:r w:rsidRPr="00705903">
        <w:rPr>
          <w:sz w:val="20"/>
          <w:szCs w:val="20"/>
        </w:rPr>
        <w:t>A strong positive relationship is found between E and S dimensions (ρ = 0.755, τ = 0.564), suggesting a consistent pattern across environmental and social criteria, while the G dimension appears relatively independent from the other two.</w:t>
      </w:r>
    </w:p>
    <w:p w14:paraId="3891DB38" w14:textId="77777777" w:rsidR="00AB238E" w:rsidRPr="00705903" w:rsidRDefault="00AB238E" w:rsidP="0097761F">
      <w:pPr>
        <w:spacing w:line="259" w:lineRule="auto"/>
        <w:ind w:firstLine="0"/>
        <w:jc w:val="both"/>
        <w:rPr>
          <w:sz w:val="20"/>
          <w:szCs w:val="20"/>
        </w:rPr>
      </w:pPr>
    </w:p>
    <w:p w14:paraId="4E93B521" w14:textId="77777777" w:rsidR="00AB238E" w:rsidRPr="00705903" w:rsidRDefault="00AB238E" w:rsidP="0097761F">
      <w:pPr>
        <w:spacing w:line="259" w:lineRule="auto"/>
        <w:ind w:firstLine="0"/>
        <w:jc w:val="both"/>
        <w:rPr>
          <w:sz w:val="20"/>
          <w:szCs w:val="20"/>
        </w:rPr>
      </w:pPr>
    </w:p>
    <w:tbl>
      <w:tblPr>
        <w:tblStyle w:val="PlainTable2"/>
        <w:tblW w:w="0" w:type="auto"/>
        <w:tblLook w:val="04A0" w:firstRow="1" w:lastRow="0" w:firstColumn="1" w:lastColumn="0" w:noHBand="0" w:noVBand="1"/>
      </w:tblPr>
      <w:tblGrid>
        <w:gridCol w:w="1166"/>
        <w:gridCol w:w="2701"/>
        <w:gridCol w:w="2701"/>
        <w:gridCol w:w="2702"/>
      </w:tblGrid>
      <w:tr w:rsidR="00AB238E" w:rsidRPr="00705903" w14:paraId="4397888D"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13989F43" w14:textId="77777777" w:rsidR="00AB238E" w:rsidRPr="00705903" w:rsidRDefault="00AB238E" w:rsidP="0097761F">
            <w:pPr>
              <w:spacing w:line="259" w:lineRule="auto"/>
              <w:ind w:firstLine="0"/>
              <w:jc w:val="both"/>
              <w:rPr>
                <w:b w:val="0"/>
                <w:bCs w:val="0"/>
                <w:sz w:val="20"/>
                <w:szCs w:val="20"/>
                <w:lang w:val="en-US"/>
              </w:rPr>
            </w:pPr>
          </w:p>
        </w:tc>
        <w:tc>
          <w:tcPr>
            <w:tcW w:w="2701" w:type="dxa"/>
            <w:tcBorders>
              <w:bottom w:val="single" w:sz="4" w:space="0" w:color="auto"/>
            </w:tcBorders>
            <w:hideMark/>
          </w:tcPr>
          <w:p w14:paraId="612292DF"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E</w:t>
            </w:r>
            <w:r w:rsidRPr="00705903">
              <w:rPr>
                <w:b w:val="0"/>
                <w:bCs w:val="0"/>
                <w:i/>
                <w:iCs/>
                <w:sz w:val="20"/>
                <w:szCs w:val="20"/>
                <w:lang w:val="en-US" w:eastAsia="zh-CN"/>
              </w:rPr>
              <w:t xml:space="preserve"> </w:t>
            </w:r>
            <w:r w:rsidRPr="00705903">
              <w:rPr>
                <w:b w:val="0"/>
                <w:bCs w:val="0"/>
                <w:i/>
                <w:iCs/>
                <w:sz w:val="20"/>
                <w:szCs w:val="20"/>
                <w:lang w:val="en-US"/>
              </w:rPr>
              <w:t>rank</w:t>
            </w:r>
          </w:p>
        </w:tc>
        <w:tc>
          <w:tcPr>
            <w:tcW w:w="2701" w:type="dxa"/>
            <w:tcBorders>
              <w:bottom w:val="single" w:sz="4" w:space="0" w:color="auto"/>
            </w:tcBorders>
            <w:hideMark/>
          </w:tcPr>
          <w:p w14:paraId="0669646F"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w:t>
            </w:r>
            <w:r w:rsidRPr="00705903">
              <w:rPr>
                <w:b w:val="0"/>
                <w:bCs w:val="0"/>
                <w:i/>
                <w:iCs/>
                <w:sz w:val="20"/>
                <w:szCs w:val="20"/>
                <w:lang w:val="en-US" w:eastAsia="zh-CN"/>
              </w:rPr>
              <w:t xml:space="preserve"> </w:t>
            </w:r>
            <w:r w:rsidRPr="00705903">
              <w:rPr>
                <w:b w:val="0"/>
                <w:bCs w:val="0"/>
                <w:i/>
                <w:iCs/>
                <w:sz w:val="20"/>
                <w:szCs w:val="20"/>
                <w:lang w:val="en-US"/>
              </w:rPr>
              <w:t>rank</w:t>
            </w:r>
          </w:p>
        </w:tc>
        <w:tc>
          <w:tcPr>
            <w:tcW w:w="2702" w:type="dxa"/>
            <w:tcBorders>
              <w:bottom w:val="single" w:sz="4" w:space="0" w:color="auto"/>
            </w:tcBorders>
            <w:hideMark/>
          </w:tcPr>
          <w:p w14:paraId="143EADA0"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G</w:t>
            </w:r>
            <w:r w:rsidRPr="00705903">
              <w:rPr>
                <w:b w:val="0"/>
                <w:bCs w:val="0"/>
                <w:i/>
                <w:iCs/>
                <w:sz w:val="20"/>
                <w:szCs w:val="20"/>
                <w:lang w:val="en-US" w:eastAsia="zh-CN"/>
              </w:rPr>
              <w:t xml:space="preserve"> </w:t>
            </w:r>
            <w:r w:rsidRPr="00705903">
              <w:rPr>
                <w:b w:val="0"/>
                <w:bCs w:val="0"/>
                <w:i/>
                <w:iCs/>
                <w:sz w:val="20"/>
                <w:szCs w:val="20"/>
                <w:lang w:val="en-US"/>
              </w:rPr>
              <w:t>rank</w:t>
            </w:r>
          </w:p>
        </w:tc>
      </w:tr>
      <w:tr w:rsidR="00AB238E" w:rsidRPr="00705903" w14:paraId="288B752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hideMark/>
          </w:tcPr>
          <w:p w14:paraId="275E5042"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Spearman ρ</w:t>
            </w:r>
          </w:p>
        </w:tc>
        <w:tc>
          <w:tcPr>
            <w:tcW w:w="2701" w:type="dxa"/>
            <w:tcBorders>
              <w:top w:val="single" w:sz="4" w:space="0" w:color="auto"/>
              <w:bottom w:val="nil"/>
            </w:tcBorders>
            <w:hideMark/>
          </w:tcPr>
          <w:p w14:paraId="6839AEF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701" w:type="dxa"/>
            <w:tcBorders>
              <w:top w:val="single" w:sz="4" w:space="0" w:color="auto"/>
              <w:bottom w:val="nil"/>
            </w:tcBorders>
            <w:hideMark/>
          </w:tcPr>
          <w:p w14:paraId="07F951E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702" w:type="dxa"/>
            <w:tcBorders>
              <w:top w:val="single" w:sz="4" w:space="0" w:color="auto"/>
              <w:bottom w:val="nil"/>
            </w:tcBorders>
            <w:hideMark/>
          </w:tcPr>
          <w:p w14:paraId="02C7080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p>
        </w:tc>
      </w:tr>
      <w:tr w:rsidR="00AB238E" w:rsidRPr="00705903" w14:paraId="5BB8E669"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919D14E"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eastAsia="zh-CN"/>
              </w:rPr>
              <w:t xml:space="preserve">    </w:t>
            </w:r>
            <w:r w:rsidRPr="00705903">
              <w:rPr>
                <w:b w:val="0"/>
                <w:bCs w:val="0"/>
                <w:i/>
                <w:iCs/>
                <w:sz w:val="20"/>
                <w:szCs w:val="20"/>
                <w:lang w:val="en-US"/>
              </w:rPr>
              <w:t>E</w:t>
            </w:r>
            <w:r w:rsidRPr="00705903">
              <w:rPr>
                <w:b w:val="0"/>
                <w:bCs w:val="0"/>
                <w:i/>
                <w:iCs/>
                <w:sz w:val="20"/>
                <w:szCs w:val="20"/>
                <w:lang w:val="en-US" w:eastAsia="zh-CN"/>
              </w:rPr>
              <w:t xml:space="preserve"> </w:t>
            </w:r>
            <w:r w:rsidRPr="00705903">
              <w:rPr>
                <w:b w:val="0"/>
                <w:bCs w:val="0"/>
                <w:i/>
                <w:iCs/>
                <w:sz w:val="20"/>
                <w:szCs w:val="20"/>
                <w:lang w:val="en-US"/>
              </w:rPr>
              <w:t>rank</w:t>
            </w:r>
          </w:p>
        </w:tc>
        <w:tc>
          <w:tcPr>
            <w:tcW w:w="2701" w:type="dxa"/>
            <w:tcBorders>
              <w:top w:val="nil"/>
              <w:bottom w:val="nil"/>
            </w:tcBorders>
            <w:hideMark/>
          </w:tcPr>
          <w:p w14:paraId="3E7F650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1.000</w:t>
            </w:r>
          </w:p>
        </w:tc>
        <w:tc>
          <w:tcPr>
            <w:tcW w:w="2701" w:type="dxa"/>
            <w:tcBorders>
              <w:top w:val="nil"/>
              <w:bottom w:val="nil"/>
            </w:tcBorders>
            <w:hideMark/>
          </w:tcPr>
          <w:p w14:paraId="38542A5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0.755</w:t>
            </w:r>
          </w:p>
        </w:tc>
        <w:tc>
          <w:tcPr>
            <w:tcW w:w="2702" w:type="dxa"/>
            <w:tcBorders>
              <w:top w:val="nil"/>
              <w:bottom w:val="nil"/>
            </w:tcBorders>
            <w:hideMark/>
          </w:tcPr>
          <w:p w14:paraId="0FE83EA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-0.391</w:t>
            </w:r>
          </w:p>
        </w:tc>
      </w:tr>
      <w:tr w:rsidR="00AB238E" w:rsidRPr="00705903" w14:paraId="229674A7"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F6C1E23"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eastAsia="zh-CN"/>
              </w:rPr>
              <w:t xml:space="preserve">   </w:t>
            </w:r>
            <w:r w:rsidRPr="00705903">
              <w:rPr>
                <w:b w:val="0"/>
                <w:bCs w:val="0"/>
                <w:i/>
                <w:iCs/>
                <w:sz w:val="20"/>
                <w:szCs w:val="20"/>
                <w:lang w:val="en-US"/>
              </w:rPr>
              <w:t>S</w:t>
            </w:r>
            <w:r w:rsidRPr="00705903">
              <w:rPr>
                <w:b w:val="0"/>
                <w:bCs w:val="0"/>
                <w:i/>
                <w:iCs/>
                <w:sz w:val="20"/>
                <w:szCs w:val="20"/>
                <w:lang w:val="en-US" w:eastAsia="zh-CN"/>
              </w:rPr>
              <w:t xml:space="preserve"> </w:t>
            </w:r>
            <w:r w:rsidRPr="00705903">
              <w:rPr>
                <w:b w:val="0"/>
                <w:bCs w:val="0"/>
                <w:i/>
                <w:iCs/>
                <w:sz w:val="20"/>
                <w:szCs w:val="20"/>
                <w:lang w:val="en-US"/>
              </w:rPr>
              <w:t>rank</w:t>
            </w:r>
          </w:p>
        </w:tc>
        <w:tc>
          <w:tcPr>
            <w:tcW w:w="2701" w:type="dxa"/>
            <w:tcBorders>
              <w:top w:val="nil"/>
              <w:bottom w:val="nil"/>
            </w:tcBorders>
            <w:hideMark/>
          </w:tcPr>
          <w:p w14:paraId="51CD164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0.755</w:t>
            </w:r>
          </w:p>
        </w:tc>
        <w:tc>
          <w:tcPr>
            <w:tcW w:w="2701" w:type="dxa"/>
            <w:tcBorders>
              <w:top w:val="nil"/>
              <w:bottom w:val="nil"/>
            </w:tcBorders>
            <w:hideMark/>
          </w:tcPr>
          <w:p w14:paraId="43DD964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1.000</w:t>
            </w:r>
          </w:p>
        </w:tc>
        <w:tc>
          <w:tcPr>
            <w:tcW w:w="2702" w:type="dxa"/>
            <w:tcBorders>
              <w:top w:val="nil"/>
              <w:bottom w:val="nil"/>
            </w:tcBorders>
            <w:hideMark/>
          </w:tcPr>
          <w:p w14:paraId="26DA5FB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0.018</w:t>
            </w:r>
          </w:p>
        </w:tc>
      </w:tr>
      <w:tr w:rsidR="00AB238E" w:rsidRPr="00705903" w14:paraId="34DD05DB"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hideMark/>
          </w:tcPr>
          <w:p w14:paraId="0105F29A"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eastAsia="zh-CN"/>
              </w:rPr>
              <w:t xml:space="preserve">   </w:t>
            </w:r>
            <w:r w:rsidRPr="00705903">
              <w:rPr>
                <w:b w:val="0"/>
                <w:bCs w:val="0"/>
                <w:i/>
                <w:iCs/>
                <w:sz w:val="20"/>
                <w:szCs w:val="20"/>
                <w:lang w:val="en-US"/>
              </w:rPr>
              <w:t>G</w:t>
            </w:r>
            <w:r w:rsidRPr="00705903">
              <w:rPr>
                <w:b w:val="0"/>
                <w:bCs w:val="0"/>
                <w:i/>
                <w:iCs/>
                <w:sz w:val="20"/>
                <w:szCs w:val="20"/>
                <w:lang w:val="en-US" w:eastAsia="zh-CN"/>
              </w:rPr>
              <w:t xml:space="preserve"> </w:t>
            </w:r>
            <w:r w:rsidRPr="00705903">
              <w:rPr>
                <w:b w:val="0"/>
                <w:bCs w:val="0"/>
                <w:i/>
                <w:iCs/>
                <w:sz w:val="20"/>
                <w:szCs w:val="20"/>
                <w:lang w:val="en-US"/>
              </w:rPr>
              <w:t>rank</w:t>
            </w:r>
          </w:p>
        </w:tc>
        <w:tc>
          <w:tcPr>
            <w:tcW w:w="2701" w:type="dxa"/>
            <w:tcBorders>
              <w:top w:val="nil"/>
              <w:bottom w:val="single" w:sz="4" w:space="0" w:color="auto"/>
            </w:tcBorders>
            <w:hideMark/>
          </w:tcPr>
          <w:p w14:paraId="5C38BFC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-0.391</w:t>
            </w:r>
          </w:p>
        </w:tc>
        <w:tc>
          <w:tcPr>
            <w:tcW w:w="2701" w:type="dxa"/>
            <w:tcBorders>
              <w:top w:val="nil"/>
              <w:bottom w:val="single" w:sz="4" w:space="0" w:color="auto"/>
            </w:tcBorders>
            <w:hideMark/>
          </w:tcPr>
          <w:p w14:paraId="0823351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0.018</w:t>
            </w:r>
          </w:p>
        </w:tc>
        <w:tc>
          <w:tcPr>
            <w:tcW w:w="2702" w:type="dxa"/>
            <w:tcBorders>
              <w:top w:val="nil"/>
              <w:bottom w:val="single" w:sz="4" w:space="0" w:color="auto"/>
            </w:tcBorders>
            <w:hideMark/>
          </w:tcPr>
          <w:p w14:paraId="49B80D2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1.000</w:t>
            </w:r>
          </w:p>
        </w:tc>
      </w:tr>
      <w:tr w:rsidR="00AB238E" w:rsidRPr="00705903" w14:paraId="5B04AA2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hideMark/>
          </w:tcPr>
          <w:p w14:paraId="1E366BFE"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Kendall τ</w:t>
            </w:r>
          </w:p>
        </w:tc>
        <w:tc>
          <w:tcPr>
            <w:tcW w:w="2701" w:type="dxa"/>
            <w:tcBorders>
              <w:top w:val="single" w:sz="4" w:space="0" w:color="auto"/>
              <w:bottom w:val="nil"/>
            </w:tcBorders>
            <w:hideMark/>
          </w:tcPr>
          <w:p w14:paraId="28D9A30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701" w:type="dxa"/>
            <w:tcBorders>
              <w:top w:val="single" w:sz="4" w:space="0" w:color="auto"/>
              <w:bottom w:val="nil"/>
            </w:tcBorders>
            <w:hideMark/>
          </w:tcPr>
          <w:p w14:paraId="4050F0E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702" w:type="dxa"/>
            <w:tcBorders>
              <w:top w:val="single" w:sz="4" w:space="0" w:color="auto"/>
              <w:bottom w:val="nil"/>
            </w:tcBorders>
            <w:hideMark/>
          </w:tcPr>
          <w:p w14:paraId="7C36BD2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p>
        </w:tc>
      </w:tr>
      <w:tr w:rsidR="00AB238E" w:rsidRPr="00705903" w14:paraId="766FCD71"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D00CAEC"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eastAsia="zh-CN"/>
              </w:rPr>
              <w:t xml:space="preserve">   </w:t>
            </w:r>
            <w:r w:rsidRPr="00705903">
              <w:rPr>
                <w:b w:val="0"/>
                <w:bCs w:val="0"/>
                <w:i/>
                <w:iCs/>
                <w:sz w:val="20"/>
                <w:szCs w:val="20"/>
                <w:lang w:val="en-US"/>
              </w:rPr>
              <w:t>E</w:t>
            </w:r>
            <w:r w:rsidRPr="00705903">
              <w:rPr>
                <w:b w:val="0"/>
                <w:bCs w:val="0"/>
                <w:i/>
                <w:iCs/>
                <w:sz w:val="20"/>
                <w:szCs w:val="20"/>
                <w:lang w:val="en-US" w:eastAsia="zh-CN"/>
              </w:rPr>
              <w:t xml:space="preserve"> </w:t>
            </w:r>
            <w:r w:rsidRPr="00705903">
              <w:rPr>
                <w:b w:val="0"/>
                <w:bCs w:val="0"/>
                <w:i/>
                <w:iCs/>
                <w:sz w:val="20"/>
                <w:szCs w:val="20"/>
                <w:lang w:val="en-US"/>
              </w:rPr>
              <w:t>rank</w:t>
            </w:r>
          </w:p>
        </w:tc>
        <w:tc>
          <w:tcPr>
            <w:tcW w:w="2701" w:type="dxa"/>
            <w:tcBorders>
              <w:top w:val="nil"/>
              <w:bottom w:val="nil"/>
            </w:tcBorders>
            <w:hideMark/>
          </w:tcPr>
          <w:p w14:paraId="0275AC6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1.000</w:t>
            </w:r>
          </w:p>
        </w:tc>
        <w:tc>
          <w:tcPr>
            <w:tcW w:w="2701" w:type="dxa"/>
            <w:tcBorders>
              <w:top w:val="nil"/>
              <w:bottom w:val="nil"/>
            </w:tcBorders>
            <w:hideMark/>
          </w:tcPr>
          <w:p w14:paraId="7762ED9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0.564</w:t>
            </w:r>
          </w:p>
        </w:tc>
        <w:tc>
          <w:tcPr>
            <w:tcW w:w="2702" w:type="dxa"/>
            <w:tcBorders>
              <w:top w:val="nil"/>
              <w:bottom w:val="nil"/>
            </w:tcBorders>
            <w:hideMark/>
          </w:tcPr>
          <w:p w14:paraId="29427AD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-0.273</w:t>
            </w:r>
          </w:p>
        </w:tc>
      </w:tr>
      <w:tr w:rsidR="00AB238E" w:rsidRPr="00705903" w14:paraId="6965D0B7"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A29567F"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eastAsia="zh-CN"/>
              </w:rPr>
              <w:t xml:space="preserve">   </w:t>
            </w:r>
            <w:r w:rsidRPr="00705903">
              <w:rPr>
                <w:b w:val="0"/>
                <w:bCs w:val="0"/>
                <w:i/>
                <w:iCs/>
                <w:sz w:val="20"/>
                <w:szCs w:val="20"/>
                <w:lang w:val="en-US"/>
              </w:rPr>
              <w:t>S</w:t>
            </w:r>
            <w:r w:rsidRPr="00705903">
              <w:rPr>
                <w:b w:val="0"/>
                <w:bCs w:val="0"/>
                <w:i/>
                <w:iCs/>
                <w:sz w:val="20"/>
                <w:szCs w:val="20"/>
                <w:lang w:val="en-US" w:eastAsia="zh-CN"/>
              </w:rPr>
              <w:t xml:space="preserve"> r</w:t>
            </w:r>
            <w:r w:rsidRPr="00705903">
              <w:rPr>
                <w:b w:val="0"/>
                <w:bCs w:val="0"/>
                <w:i/>
                <w:iCs/>
                <w:sz w:val="20"/>
                <w:szCs w:val="20"/>
                <w:lang w:val="en-US"/>
              </w:rPr>
              <w:t>ank</w:t>
            </w:r>
          </w:p>
        </w:tc>
        <w:tc>
          <w:tcPr>
            <w:tcW w:w="2701" w:type="dxa"/>
            <w:tcBorders>
              <w:top w:val="nil"/>
              <w:bottom w:val="nil"/>
            </w:tcBorders>
            <w:hideMark/>
          </w:tcPr>
          <w:p w14:paraId="5EE8161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0.564</w:t>
            </w:r>
          </w:p>
        </w:tc>
        <w:tc>
          <w:tcPr>
            <w:tcW w:w="2701" w:type="dxa"/>
            <w:tcBorders>
              <w:top w:val="nil"/>
              <w:bottom w:val="nil"/>
            </w:tcBorders>
            <w:hideMark/>
          </w:tcPr>
          <w:p w14:paraId="08A41C9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1.000</w:t>
            </w:r>
          </w:p>
        </w:tc>
        <w:tc>
          <w:tcPr>
            <w:tcW w:w="2702" w:type="dxa"/>
            <w:tcBorders>
              <w:top w:val="nil"/>
              <w:bottom w:val="nil"/>
            </w:tcBorders>
            <w:hideMark/>
          </w:tcPr>
          <w:p w14:paraId="1AE8A09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0.018</w:t>
            </w:r>
          </w:p>
        </w:tc>
      </w:tr>
      <w:tr w:rsidR="00AB238E" w:rsidRPr="00705903" w14:paraId="5077CBA2"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hideMark/>
          </w:tcPr>
          <w:p w14:paraId="0204F319"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eastAsia="zh-CN"/>
              </w:rPr>
              <w:t xml:space="preserve">   </w:t>
            </w:r>
            <w:r w:rsidRPr="00705903">
              <w:rPr>
                <w:b w:val="0"/>
                <w:bCs w:val="0"/>
                <w:i/>
                <w:iCs/>
                <w:sz w:val="20"/>
                <w:szCs w:val="20"/>
                <w:lang w:val="en-US"/>
              </w:rPr>
              <w:t>G</w:t>
            </w:r>
            <w:r w:rsidRPr="00705903">
              <w:rPr>
                <w:b w:val="0"/>
                <w:bCs w:val="0"/>
                <w:i/>
                <w:iCs/>
                <w:sz w:val="20"/>
                <w:szCs w:val="20"/>
                <w:lang w:val="en-US" w:eastAsia="zh-CN"/>
              </w:rPr>
              <w:t xml:space="preserve"> </w:t>
            </w:r>
            <w:r w:rsidRPr="00705903">
              <w:rPr>
                <w:b w:val="0"/>
                <w:bCs w:val="0"/>
                <w:i/>
                <w:iCs/>
                <w:sz w:val="20"/>
                <w:szCs w:val="20"/>
                <w:lang w:val="en-US"/>
              </w:rPr>
              <w:t>rank</w:t>
            </w:r>
          </w:p>
        </w:tc>
        <w:tc>
          <w:tcPr>
            <w:tcW w:w="2701" w:type="dxa"/>
            <w:tcBorders>
              <w:top w:val="nil"/>
              <w:bottom w:val="single" w:sz="4" w:space="0" w:color="auto"/>
            </w:tcBorders>
            <w:hideMark/>
          </w:tcPr>
          <w:p w14:paraId="12EEA7C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-0.273</w:t>
            </w:r>
          </w:p>
        </w:tc>
        <w:tc>
          <w:tcPr>
            <w:tcW w:w="2701" w:type="dxa"/>
            <w:tcBorders>
              <w:top w:val="nil"/>
              <w:bottom w:val="single" w:sz="4" w:space="0" w:color="auto"/>
            </w:tcBorders>
            <w:hideMark/>
          </w:tcPr>
          <w:p w14:paraId="68A8334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0.018</w:t>
            </w:r>
          </w:p>
        </w:tc>
        <w:tc>
          <w:tcPr>
            <w:tcW w:w="2702" w:type="dxa"/>
            <w:tcBorders>
              <w:top w:val="nil"/>
              <w:bottom w:val="single" w:sz="4" w:space="0" w:color="auto"/>
            </w:tcBorders>
            <w:hideMark/>
          </w:tcPr>
          <w:p w14:paraId="17C3E01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1.000</w:t>
            </w:r>
          </w:p>
        </w:tc>
      </w:tr>
    </w:tbl>
    <w:p w14:paraId="1ECBEF6E" w14:textId="77777777" w:rsidR="00AB238E" w:rsidRPr="00705903" w:rsidRDefault="00AB238E" w:rsidP="0097761F">
      <w:pPr>
        <w:spacing w:line="259" w:lineRule="auto"/>
        <w:ind w:firstLine="0"/>
        <w:jc w:val="both"/>
        <w:rPr>
          <w:sz w:val="20"/>
          <w:szCs w:val="20"/>
        </w:rPr>
      </w:pPr>
    </w:p>
    <w:p w14:paraId="10ACFFD1" w14:textId="77777777" w:rsidR="00AB238E" w:rsidRPr="00705903" w:rsidRDefault="00AB238E" w:rsidP="0097761F">
      <w:pPr>
        <w:pStyle w:val="Heading1"/>
      </w:pPr>
      <w:r w:rsidRPr="00705903">
        <w:br w:type="page"/>
        <w:t>Table 15. Pairwise Rank Correlation Tests (Spearman and Kendall)</w:t>
      </w:r>
    </w:p>
    <w:p w14:paraId="57DEB8E2" w14:textId="77777777" w:rsidR="00AB238E" w:rsidRPr="00705903" w:rsidRDefault="00AB238E" w:rsidP="0097761F">
      <w:pPr>
        <w:spacing w:line="259" w:lineRule="auto"/>
        <w:ind w:firstLine="0"/>
        <w:jc w:val="both"/>
        <w:rPr>
          <w:sz w:val="20"/>
          <w:szCs w:val="20"/>
        </w:rPr>
      </w:pPr>
    </w:p>
    <w:p w14:paraId="1667ACA4" w14:textId="77777777" w:rsidR="00AB238E" w:rsidRPr="00705903" w:rsidRDefault="00AB238E" w:rsidP="0097761F">
      <w:pPr>
        <w:spacing w:line="259" w:lineRule="auto"/>
        <w:ind w:firstLine="0"/>
        <w:jc w:val="both"/>
        <w:rPr>
          <w:sz w:val="20"/>
          <w:szCs w:val="20"/>
        </w:rPr>
      </w:pPr>
      <w:r w:rsidRPr="00705903">
        <w:rPr>
          <w:sz w:val="20"/>
          <w:szCs w:val="20"/>
        </w:rPr>
        <w:t>This table summarizes pairwise rank correlation tests among the Environmental (E), Social (S), and Governance (G) dimensions at the industry level.</w:t>
      </w:r>
      <w:r w:rsidRPr="00705903">
        <w:rPr>
          <w:sz w:val="20"/>
          <w:szCs w:val="20"/>
          <w:lang w:eastAsia="zh-CN"/>
        </w:rPr>
        <w:t xml:space="preserve"> </w:t>
      </w:r>
      <w:r w:rsidRPr="00705903">
        <w:rPr>
          <w:sz w:val="20"/>
          <w:szCs w:val="20"/>
        </w:rPr>
        <w:br/>
        <w:t xml:space="preserve">Both Spearman and Kendall tests confirm a statistically significant positive association between E and S rankings, while G rankings show weak or insignificant relationships with the other two dimensions. Adjusted </w:t>
      </w:r>
      <w:r w:rsidRPr="00705903">
        <w:rPr>
          <w:i/>
          <w:iCs/>
          <w:sz w:val="20"/>
          <w:szCs w:val="20"/>
        </w:rPr>
        <w:t>p</w:t>
      </w:r>
      <w:r w:rsidRPr="00705903">
        <w:rPr>
          <w:sz w:val="20"/>
          <w:szCs w:val="20"/>
        </w:rPr>
        <w:t>-values are computed using the Holm–Bonferroni method to account for multiple testing.</w:t>
      </w:r>
    </w:p>
    <w:p w14:paraId="2256D0B1" w14:textId="77777777" w:rsidR="00AB238E" w:rsidRPr="00705903" w:rsidRDefault="00AB238E" w:rsidP="0097761F">
      <w:pPr>
        <w:spacing w:line="259" w:lineRule="auto"/>
        <w:ind w:firstLine="0"/>
        <w:jc w:val="both"/>
        <w:rPr>
          <w:sz w:val="20"/>
          <w:szCs w:val="20"/>
        </w:rPr>
      </w:pPr>
    </w:p>
    <w:p w14:paraId="7790EA38" w14:textId="77777777" w:rsidR="00AB238E" w:rsidRPr="00705903" w:rsidRDefault="00AB238E" w:rsidP="0097761F">
      <w:pPr>
        <w:spacing w:line="259" w:lineRule="auto"/>
        <w:ind w:firstLine="0"/>
        <w:jc w:val="both"/>
        <w:rPr>
          <w:sz w:val="20"/>
          <w:szCs w:val="20"/>
        </w:rPr>
      </w:pPr>
    </w:p>
    <w:tbl>
      <w:tblPr>
        <w:tblStyle w:val="PlainTable2"/>
        <w:tblW w:w="0" w:type="auto"/>
        <w:tblLook w:val="04A0" w:firstRow="1" w:lastRow="0" w:firstColumn="1" w:lastColumn="0" w:noHBand="0" w:noVBand="1"/>
      </w:tblPr>
      <w:tblGrid>
        <w:gridCol w:w="750"/>
        <w:gridCol w:w="1230"/>
        <w:gridCol w:w="1230"/>
        <w:gridCol w:w="1230"/>
        <w:gridCol w:w="1230"/>
        <w:gridCol w:w="1230"/>
        <w:gridCol w:w="1230"/>
        <w:gridCol w:w="1230"/>
      </w:tblGrid>
      <w:tr w:rsidR="00AB238E" w:rsidRPr="00705903" w14:paraId="41DC78A5"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0D7650F8"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Pair</w:t>
            </w:r>
          </w:p>
        </w:tc>
        <w:tc>
          <w:tcPr>
            <w:tcW w:w="1230" w:type="dxa"/>
            <w:tcBorders>
              <w:bottom w:val="single" w:sz="4" w:space="0" w:color="auto"/>
            </w:tcBorders>
            <w:hideMark/>
          </w:tcPr>
          <w:p w14:paraId="0F0CFFDB"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Spearman ρ</w:t>
            </w:r>
          </w:p>
        </w:tc>
        <w:tc>
          <w:tcPr>
            <w:tcW w:w="1230" w:type="dxa"/>
            <w:tcBorders>
              <w:bottom w:val="single" w:sz="4" w:space="0" w:color="auto"/>
            </w:tcBorders>
            <w:hideMark/>
          </w:tcPr>
          <w:p w14:paraId="00C02C2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p</w:t>
            </w:r>
          </w:p>
        </w:tc>
        <w:tc>
          <w:tcPr>
            <w:tcW w:w="1230" w:type="dxa"/>
            <w:tcBorders>
              <w:bottom w:val="single" w:sz="4" w:space="0" w:color="auto"/>
            </w:tcBorders>
            <w:hideMark/>
          </w:tcPr>
          <w:p w14:paraId="676ACBD4"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Adj. p</w:t>
            </w:r>
          </w:p>
        </w:tc>
        <w:tc>
          <w:tcPr>
            <w:tcW w:w="1230" w:type="dxa"/>
            <w:tcBorders>
              <w:bottom w:val="single" w:sz="4" w:space="0" w:color="auto"/>
            </w:tcBorders>
            <w:hideMark/>
          </w:tcPr>
          <w:p w14:paraId="071A60EF"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Kendall τ</w:t>
            </w:r>
          </w:p>
        </w:tc>
        <w:tc>
          <w:tcPr>
            <w:tcW w:w="1230" w:type="dxa"/>
            <w:tcBorders>
              <w:bottom w:val="single" w:sz="4" w:space="0" w:color="auto"/>
            </w:tcBorders>
            <w:hideMark/>
          </w:tcPr>
          <w:p w14:paraId="1A055265"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p</w:t>
            </w:r>
          </w:p>
        </w:tc>
        <w:tc>
          <w:tcPr>
            <w:tcW w:w="1230" w:type="dxa"/>
            <w:tcBorders>
              <w:bottom w:val="single" w:sz="4" w:space="0" w:color="auto"/>
            </w:tcBorders>
            <w:hideMark/>
          </w:tcPr>
          <w:p w14:paraId="5936AE8D"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Adj. p</w:t>
            </w:r>
          </w:p>
        </w:tc>
        <w:tc>
          <w:tcPr>
            <w:tcW w:w="1230" w:type="dxa"/>
            <w:tcBorders>
              <w:bottom w:val="single" w:sz="4" w:space="0" w:color="auto"/>
            </w:tcBorders>
            <w:hideMark/>
          </w:tcPr>
          <w:p w14:paraId="21D34A77"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N</w:t>
            </w:r>
          </w:p>
        </w:tc>
      </w:tr>
      <w:tr w:rsidR="00AB238E" w:rsidRPr="00705903" w14:paraId="2E53777C"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hideMark/>
          </w:tcPr>
          <w:p w14:paraId="420D1B5F"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E vs S</w:t>
            </w:r>
          </w:p>
        </w:tc>
        <w:tc>
          <w:tcPr>
            <w:tcW w:w="1230" w:type="dxa"/>
            <w:tcBorders>
              <w:top w:val="single" w:sz="4" w:space="0" w:color="auto"/>
              <w:bottom w:val="nil"/>
            </w:tcBorders>
            <w:hideMark/>
          </w:tcPr>
          <w:p w14:paraId="0BDFE5A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0.755*</w:t>
            </w:r>
          </w:p>
        </w:tc>
        <w:tc>
          <w:tcPr>
            <w:tcW w:w="1230" w:type="dxa"/>
            <w:tcBorders>
              <w:top w:val="single" w:sz="4" w:space="0" w:color="auto"/>
              <w:bottom w:val="nil"/>
            </w:tcBorders>
            <w:hideMark/>
          </w:tcPr>
          <w:p w14:paraId="2779FED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0.007</w:t>
            </w:r>
          </w:p>
        </w:tc>
        <w:tc>
          <w:tcPr>
            <w:tcW w:w="1230" w:type="dxa"/>
            <w:tcBorders>
              <w:top w:val="single" w:sz="4" w:space="0" w:color="auto"/>
              <w:bottom w:val="nil"/>
            </w:tcBorders>
            <w:hideMark/>
          </w:tcPr>
          <w:p w14:paraId="0E32BA1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0.022</w:t>
            </w:r>
          </w:p>
        </w:tc>
        <w:tc>
          <w:tcPr>
            <w:tcW w:w="1230" w:type="dxa"/>
            <w:tcBorders>
              <w:top w:val="single" w:sz="4" w:space="0" w:color="auto"/>
              <w:bottom w:val="nil"/>
            </w:tcBorders>
            <w:hideMark/>
          </w:tcPr>
          <w:p w14:paraId="4B1A472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0.564</w:t>
            </w:r>
          </w:p>
        </w:tc>
        <w:tc>
          <w:tcPr>
            <w:tcW w:w="1230" w:type="dxa"/>
            <w:tcBorders>
              <w:top w:val="single" w:sz="4" w:space="0" w:color="auto"/>
              <w:bottom w:val="nil"/>
            </w:tcBorders>
            <w:hideMark/>
          </w:tcPr>
          <w:p w14:paraId="4A2920A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0.017</w:t>
            </w:r>
          </w:p>
        </w:tc>
        <w:tc>
          <w:tcPr>
            <w:tcW w:w="1230" w:type="dxa"/>
            <w:tcBorders>
              <w:top w:val="single" w:sz="4" w:space="0" w:color="auto"/>
              <w:bottom w:val="nil"/>
            </w:tcBorders>
            <w:hideMark/>
          </w:tcPr>
          <w:p w14:paraId="26D66CF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0.050</w:t>
            </w:r>
          </w:p>
        </w:tc>
        <w:tc>
          <w:tcPr>
            <w:tcW w:w="1230" w:type="dxa"/>
            <w:tcBorders>
              <w:top w:val="single" w:sz="4" w:space="0" w:color="auto"/>
              <w:bottom w:val="nil"/>
            </w:tcBorders>
            <w:hideMark/>
          </w:tcPr>
          <w:p w14:paraId="0B1E8EA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11</w:t>
            </w:r>
          </w:p>
        </w:tc>
      </w:tr>
      <w:tr w:rsidR="00AB238E" w:rsidRPr="00705903" w14:paraId="187EA435"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31B8937"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E vs G</w:t>
            </w:r>
          </w:p>
        </w:tc>
        <w:tc>
          <w:tcPr>
            <w:tcW w:w="1230" w:type="dxa"/>
            <w:tcBorders>
              <w:top w:val="nil"/>
              <w:bottom w:val="nil"/>
            </w:tcBorders>
            <w:hideMark/>
          </w:tcPr>
          <w:p w14:paraId="626BF38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-0.391</w:t>
            </w:r>
          </w:p>
        </w:tc>
        <w:tc>
          <w:tcPr>
            <w:tcW w:w="1230" w:type="dxa"/>
            <w:tcBorders>
              <w:top w:val="nil"/>
              <w:bottom w:val="nil"/>
            </w:tcBorders>
            <w:hideMark/>
          </w:tcPr>
          <w:p w14:paraId="626A2EC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0.235</w:t>
            </w:r>
          </w:p>
        </w:tc>
        <w:tc>
          <w:tcPr>
            <w:tcW w:w="1230" w:type="dxa"/>
            <w:tcBorders>
              <w:top w:val="nil"/>
              <w:bottom w:val="nil"/>
            </w:tcBorders>
            <w:hideMark/>
          </w:tcPr>
          <w:p w14:paraId="1E914CA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0.469</w:t>
            </w:r>
          </w:p>
        </w:tc>
        <w:tc>
          <w:tcPr>
            <w:tcW w:w="1230" w:type="dxa"/>
            <w:tcBorders>
              <w:top w:val="nil"/>
              <w:bottom w:val="nil"/>
            </w:tcBorders>
            <w:hideMark/>
          </w:tcPr>
          <w:p w14:paraId="4735892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-0.273</w:t>
            </w:r>
          </w:p>
        </w:tc>
        <w:tc>
          <w:tcPr>
            <w:tcW w:w="1230" w:type="dxa"/>
            <w:tcBorders>
              <w:top w:val="nil"/>
              <w:bottom w:val="nil"/>
            </w:tcBorders>
            <w:hideMark/>
          </w:tcPr>
          <w:p w14:paraId="6BDAFCF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0.283</w:t>
            </w:r>
          </w:p>
        </w:tc>
        <w:tc>
          <w:tcPr>
            <w:tcW w:w="1230" w:type="dxa"/>
            <w:tcBorders>
              <w:top w:val="nil"/>
              <w:bottom w:val="nil"/>
            </w:tcBorders>
            <w:hideMark/>
          </w:tcPr>
          <w:p w14:paraId="4B26CC1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0.566</w:t>
            </w:r>
          </w:p>
        </w:tc>
        <w:tc>
          <w:tcPr>
            <w:tcW w:w="1230" w:type="dxa"/>
            <w:tcBorders>
              <w:top w:val="nil"/>
              <w:bottom w:val="nil"/>
            </w:tcBorders>
            <w:hideMark/>
          </w:tcPr>
          <w:p w14:paraId="2A6FA7A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11</w:t>
            </w:r>
          </w:p>
        </w:tc>
      </w:tr>
      <w:tr w:rsidR="00AB238E" w:rsidRPr="00705903" w14:paraId="0B932FB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hideMark/>
          </w:tcPr>
          <w:p w14:paraId="4D6E3B20"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S vs G</w:t>
            </w:r>
          </w:p>
        </w:tc>
        <w:tc>
          <w:tcPr>
            <w:tcW w:w="1230" w:type="dxa"/>
            <w:tcBorders>
              <w:top w:val="nil"/>
              <w:bottom w:val="single" w:sz="4" w:space="0" w:color="auto"/>
            </w:tcBorders>
            <w:hideMark/>
          </w:tcPr>
          <w:p w14:paraId="18DF2B7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0.018</w:t>
            </w:r>
          </w:p>
        </w:tc>
        <w:tc>
          <w:tcPr>
            <w:tcW w:w="1230" w:type="dxa"/>
            <w:tcBorders>
              <w:top w:val="nil"/>
              <w:bottom w:val="single" w:sz="4" w:space="0" w:color="auto"/>
            </w:tcBorders>
            <w:hideMark/>
          </w:tcPr>
          <w:p w14:paraId="4493633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0.958</w:t>
            </w:r>
          </w:p>
        </w:tc>
        <w:tc>
          <w:tcPr>
            <w:tcW w:w="1230" w:type="dxa"/>
            <w:tcBorders>
              <w:top w:val="nil"/>
              <w:bottom w:val="single" w:sz="4" w:space="0" w:color="auto"/>
            </w:tcBorders>
            <w:hideMark/>
          </w:tcPr>
          <w:p w14:paraId="655175B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0.958</w:t>
            </w:r>
          </w:p>
        </w:tc>
        <w:tc>
          <w:tcPr>
            <w:tcW w:w="1230" w:type="dxa"/>
            <w:tcBorders>
              <w:top w:val="nil"/>
              <w:bottom w:val="single" w:sz="4" w:space="0" w:color="auto"/>
            </w:tcBorders>
            <w:hideMark/>
          </w:tcPr>
          <w:p w14:paraId="011EC82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0.018</w:t>
            </w:r>
          </w:p>
        </w:tc>
        <w:tc>
          <w:tcPr>
            <w:tcW w:w="1230" w:type="dxa"/>
            <w:tcBorders>
              <w:top w:val="nil"/>
              <w:bottom w:val="single" w:sz="4" w:space="0" w:color="auto"/>
            </w:tcBorders>
            <w:hideMark/>
          </w:tcPr>
          <w:p w14:paraId="14F22B2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1.000</w:t>
            </w:r>
          </w:p>
        </w:tc>
        <w:tc>
          <w:tcPr>
            <w:tcW w:w="1230" w:type="dxa"/>
            <w:tcBorders>
              <w:top w:val="nil"/>
              <w:bottom w:val="single" w:sz="4" w:space="0" w:color="auto"/>
            </w:tcBorders>
            <w:hideMark/>
          </w:tcPr>
          <w:p w14:paraId="296D877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1.000</w:t>
            </w:r>
          </w:p>
        </w:tc>
        <w:tc>
          <w:tcPr>
            <w:tcW w:w="1230" w:type="dxa"/>
            <w:tcBorders>
              <w:top w:val="nil"/>
              <w:bottom w:val="single" w:sz="4" w:space="0" w:color="auto"/>
            </w:tcBorders>
            <w:hideMark/>
          </w:tcPr>
          <w:p w14:paraId="69F232C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11</w:t>
            </w:r>
          </w:p>
        </w:tc>
      </w:tr>
    </w:tbl>
    <w:p w14:paraId="289A1D74" w14:textId="77777777" w:rsidR="00AB238E" w:rsidRPr="00705903" w:rsidRDefault="00AB238E" w:rsidP="0097761F">
      <w:pPr>
        <w:spacing w:line="259" w:lineRule="auto"/>
        <w:ind w:firstLine="0"/>
        <w:jc w:val="both"/>
        <w:rPr>
          <w:sz w:val="20"/>
          <w:szCs w:val="20"/>
        </w:rPr>
      </w:pPr>
    </w:p>
    <w:p w14:paraId="3B68B7CB" w14:textId="77777777" w:rsidR="00AB238E" w:rsidRPr="00705903" w:rsidRDefault="00AB238E" w:rsidP="0097761F">
      <w:pPr>
        <w:spacing w:line="259" w:lineRule="auto"/>
        <w:ind w:firstLine="0"/>
        <w:jc w:val="both"/>
        <w:rPr>
          <w:i/>
          <w:iCs/>
          <w:sz w:val="20"/>
          <w:szCs w:val="20"/>
        </w:rPr>
      </w:pPr>
      <w:r w:rsidRPr="00705903">
        <w:rPr>
          <w:i/>
          <w:iCs/>
          <w:sz w:val="20"/>
          <w:szCs w:val="20"/>
          <w:lang w:eastAsia="zh-CN"/>
        </w:rPr>
        <w:t xml:space="preserve">(Significance levels: </w:t>
      </w:r>
      <w:r w:rsidRPr="00705903">
        <w:rPr>
          <w:i/>
          <w:iCs/>
          <w:sz w:val="20"/>
          <w:szCs w:val="20"/>
        </w:rPr>
        <w:t>*** p&lt;0.01</w:t>
      </w:r>
      <w:r w:rsidRPr="00705903">
        <w:rPr>
          <w:i/>
          <w:iCs/>
          <w:sz w:val="20"/>
          <w:szCs w:val="20"/>
        </w:rPr>
        <w:t>，</w:t>
      </w:r>
      <w:r w:rsidRPr="00705903">
        <w:rPr>
          <w:i/>
          <w:iCs/>
          <w:sz w:val="20"/>
          <w:szCs w:val="20"/>
        </w:rPr>
        <w:t>** p&lt;0.05</w:t>
      </w:r>
      <w:r w:rsidRPr="00705903">
        <w:rPr>
          <w:i/>
          <w:iCs/>
          <w:sz w:val="20"/>
          <w:szCs w:val="20"/>
        </w:rPr>
        <w:t>，</w:t>
      </w:r>
      <w:r w:rsidRPr="00705903">
        <w:rPr>
          <w:i/>
          <w:iCs/>
          <w:sz w:val="20"/>
          <w:szCs w:val="20"/>
        </w:rPr>
        <w:t>* p&lt;0.1</w:t>
      </w:r>
      <w:r w:rsidRPr="00705903">
        <w:rPr>
          <w:i/>
          <w:iCs/>
          <w:sz w:val="20"/>
          <w:szCs w:val="20"/>
          <w:lang w:eastAsia="zh-CN"/>
        </w:rPr>
        <w:t>)</w:t>
      </w:r>
      <w:r w:rsidRPr="00705903">
        <w:rPr>
          <w:i/>
          <w:iCs/>
          <w:sz w:val="20"/>
          <w:szCs w:val="20"/>
        </w:rPr>
        <w:br w:type="page"/>
      </w:r>
    </w:p>
    <w:p w14:paraId="3B5FB99E" w14:textId="77777777" w:rsidR="00AB238E" w:rsidRPr="00705903" w:rsidRDefault="00AB238E" w:rsidP="0097761F">
      <w:pPr>
        <w:pStyle w:val="Heading1"/>
      </w:pPr>
      <w:r w:rsidRPr="00705903">
        <w:t>Table 16. Industry Rank Consistency across E/S/G Dimensions</w:t>
      </w:r>
    </w:p>
    <w:p w14:paraId="6260B831" w14:textId="77777777" w:rsidR="00AB238E" w:rsidRPr="00705903" w:rsidRDefault="00AB238E" w:rsidP="0097761F">
      <w:pPr>
        <w:spacing w:line="259" w:lineRule="auto"/>
        <w:ind w:firstLine="0"/>
        <w:jc w:val="both"/>
        <w:rPr>
          <w:sz w:val="20"/>
          <w:szCs w:val="20"/>
          <w:lang w:val="en-US"/>
        </w:rPr>
      </w:pPr>
    </w:p>
    <w:p w14:paraId="338708D1"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This table reports the consistency of industry rankings across Environmental (E), Social (S), and Governance (G) dimensions.</w:t>
      </w:r>
      <w:r w:rsidRPr="00705903">
        <w:rPr>
          <w:sz w:val="20"/>
          <w:szCs w:val="20"/>
          <w:lang w:val="en-US" w:eastAsia="zh-CN"/>
        </w:rPr>
        <w:t xml:space="preserve"> </w:t>
      </w:r>
      <w:r w:rsidRPr="00705903">
        <w:rPr>
          <w:sz w:val="20"/>
          <w:szCs w:val="20"/>
          <w:lang w:val="en-US"/>
        </w:rPr>
        <w:t>The Rank Std. column measures the standard deviation of each industry’s ranking across the three dimensions, while Rank Range represents the difference between the highest and lowest ranks. Average Rank denotes the mean ranking across E, S, and G.</w:t>
      </w:r>
    </w:p>
    <w:p w14:paraId="5E6A0BAC" w14:textId="77777777" w:rsidR="00AB238E" w:rsidRPr="00705903" w:rsidRDefault="00AB238E" w:rsidP="0097761F">
      <w:pPr>
        <w:spacing w:line="259" w:lineRule="auto"/>
        <w:ind w:firstLine="0"/>
        <w:jc w:val="both"/>
        <w:rPr>
          <w:sz w:val="20"/>
          <w:szCs w:val="20"/>
          <w:lang w:val="en-US"/>
        </w:rPr>
      </w:pPr>
    </w:p>
    <w:p w14:paraId="254EA5D8"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A lower Rank Std. and Range indicate higher cross-dimensional stability. For example, Consumer Staples and Energy industries exhibit highly consistent ESG performance across dimensions (Rank Std. = 1.53), suggesting balanced sustainability practices. In contrast, Real Estate and Financials show larger variation across E/S/G, implying greater divergence between environmental and governance aspects.</w:t>
      </w:r>
    </w:p>
    <w:p w14:paraId="553D1992" w14:textId="77777777" w:rsidR="00AB238E" w:rsidRPr="00705903" w:rsidRDefault="00AB238E" w:rsidP="0097761F">
      <w:pPr>
        <w:spacing w:line="259" w:lineRule="auto"/>
        <w:ind w:firstLine="0"/>
        <w:jc w:val="both"/>
        <w:rPr>
          <w:sz w:val="20"/>
          <w:szCs w:val="20"/>
          <w:lang w:val="en-US"/>
        </w:rPr>
      </w:pPr>
    </w:p>
    <w:p w14:paraId="240AE888" w14:textId="77777777" w:rsidR="00AB238E" w:rsidRPr="00705903" w:rsidRDefault="00AB238E" w:rsidP="0097761F">
      <w:pPr>
        <w:spacing w:line="259" w:lineRule="auto"/>
        <w:ind w:firstLine="0"/>
        <w:jc w:val="both"/>
        <w:rPr>
          <w:sz w:val="20"/>
          <w:szCs w:val="20"/>
        </w:rPr>
      </w:pPr>
    </w:p>
    <w:tbl>
      <w:tblPr>
        <w:tblStyle w:val="PlainTable2"/>
        <w:tblW w:w="0" w:type="auto"/>
        <w:tblLook w:val="04A0" w:firstRow="1" w:lastRow="0" w:firstColumn="1" w:lastColumn="0" w:noHBand="0" w:noVBand="1"/>
      </w:tblPr>
      <w:tblGrid>
        <w:gridCol w:w="2760"/>
        <w:gridCol w:w="2092"/>
        <w:gridCol w:w="2092"/>
        <w:gridCol w:w="2092"/>
      </w:tblGrid>
      <w:tr w:rsidR="00AB238E" w:rsidRPr="00705903" w14:paraId="2361A087"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518771DC" w14:textId="77777777" w:rsidR="00AB238E" w:rsidRPr="00705903" w:rsidRDefault="00AB238E" w:rsidP="0097761F">
            <w:pPr>
              <w:spacing w:line="259" w:lineRule="auto"/>
              <w:ind w:firstLine="0"/>
              <w:jc w:val="both"/>
              <w:rPr>
                <w:b w:val="0"/>
                <w:bCs w:val="0"/>
                <w:sz w:val="20"/>
                <w:szCs w:val="20"/>
                <w:lang w:val="en-US" w:eastAsia="zh-CN"/>
              </w:rPr>
            </w:pPr>
            <w:r w:rsidRPr="00705903">
              <w:rPr>
                <w:b w:val="0"/>
                <w:bCs w:val="0"/>
                <w:sz w:val="20"/>
                <w:szCs w:val="20"/>
                <w:lang w:val="en-US" w:eastAsia="zh-CN"/>
              </w:rPr>
              <w:t>Industry Name</w:t>
            </w:r>
          </w:p>
        </w:tc>
        <w:tc>
          <w:tcPr>
            <w:tcW w:w="2092" w:type="dxa"/>
            <w:tcBorders>
              <w:bottom w:val="single" w:sz="4" w:space="0" w:color="auto"/>
            </w:tcBorders>
            <w:hideMark/>
          </w:tcPr>
          <w:p w14:paraId="5427F790"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Rank Std.</w:t>
            </w:r>
          </w:p>
        </w:tc>
        <w:tc>
          <w:tcPr>
            <w:tcW w:w="2092" w:type="dxa"/>
            <w:tcBorders>
              <w:bottom w:val="single" w:sz="4" w:space="0" w:color="auto"/>
            </w:tcBorders>
            <w:hideMark/>
          </w:tcPr>
          <w:p w14:paraId="1C5125B5"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Rank Range</w:t>
            </w:r>
          </w:p>
        </w:tc>
        <w:tc>
          <w:tcPr>
            <w:tcW w:w="2092" w:type="dxa"/>
            <w:tcBorders>
              <w:bottom w:val="single" w:sz="4" w:space="0" w:color="auto"/>
            </w:tcBorders>
            <w:hideMark/>
          </w:tcPr>
          <w:p w14:paraId="702054C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Average Rank</w:t>
            </w:r>
          </w:p>
        </w:tc>
      </w:tr>
      <w:tr w:rsidR="00AB238E" w:rsidRPr="00705903" w14:paraId="71282F7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hideMark/>
          </w:tcPr>
          <w:p w14:paraId="7358181B"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30 Consumer Staples</w:t>
            </w:r>
          </w:p>
        </w:tc>
        <w:tc>
          <w:tcPr>
            <w:tcW w:w="2092" w:type="dxa"/>
            <w:tcBorders>
              <w:top w:val="single" w:sz="4" w:space="0" w:color="auto"/>
              <w:bottom w:val="nil"/>
            </w:tcBorders>
            <w:hideMark/>
          </w:tcPr>
          <w:p w14:paraId="15A1C57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1.53</w:t>
            </w:r>
          </w:p>
        </w:tc>
        <w:tc>
          <w:tcPr>
            <w:tcW w:w="2092" w:type="dxa"/>
            <w:tcBorders>
              <w:top w:val="single" w:sz="4" w:space="0" w:color="auto"/>
              <w:bottom w:val="nil"/>
            </w:tcBorders>
            <w:hideMark/>
          </w:tcPr>
          <w:p w14:paraId="7A20167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w:t>
            </w:r>
          </w:p>
        </w:tc>
        <w:tc>
          <w:tcPr>
            <w:tcW w:w="2092" w:type="dxa"/>
            <w:tcBorders>
              <w:top w:val="single" w:sz="4" w:space="0" w:color="auto"/>
              <w:bottom w:val="nil"/>
            </w:tcBorders>
            <w:hideMark/>
          </w:tcPr>
          <w:p w14:paraId="3C0A45E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2.33</w:t>
            </w:r>
          </w:p>
        </w:tc>
      </w:tr>
      <w:tr w:rsidR="00AB238E" w:rsidRPr="00705903" w14:paraId="04A3E048"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DB0E64E"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10 Energy</w:t>
            </w:r>
          </w:p>
        </w:tc>
        <w:tc>
          <w:tcPr>
            <w:tcW w:w="2092" w:type="dxa"/>
            <w:tcBorders>
              <w:top w:val="nil"/>
              <w:bottom w:val="nil"/>
            </w:tcBorders>
            <w:hideMark/>
          </w:tcPr>
          <w:p w14:paraId="768019A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1.53</w:t>
            </w:r>
          </w:p>
        </w:tc>
        <w:tc>
          <w:tcPr>
            <w:tcW w:w="2092" w:type="dxa"/>
            <w:tcBorders>
              <w:top w:val="nil"/>
              <w:bottom w:val="nil"/>
            </w:tcBorders>
            <w:hideMark/>
          </w:tcPr>
          <w:p w14:paraId="2B65C56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3</w:t>
            </w:r>
          </w:p>
        </w:tc>
        <w:tc>
          <w:tcPr>
            <w:tcW w:w="2092" w:type="dxa"/>
            <w:tcBorders>
              <w:top w:val="nil"/>
              <w:bottom w:val="nil"/>
            </w:tcBorders>
            <w:hideMark/>
          </w:tcPr>
          <w:p w14:paraId="7A54072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3.67</w:t>
            </w:r>
          </w:p>
        </w:tc>
      </w:tr>
      <w:tr w:rsidR="00AB238E" w:rsidRPr="00705903" w14:paraId="4E5213BA"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DDFCDC0"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25 Consumer Discretionary</w:t>
            </w:r>
          </w:p>
        </w:tc>
        <w:tc>
          <w:tcPr>
            <w:tcW w:w="2092" w:type="dxa"/>
            <w:tcBorders>
              <w:top w:val="nil"/>
              <w:bottom w:val="nil"/>
            </w:tcBorders>
            <w:hideMark/>
          </w:tcPr>
          <w:p w14:paraId="2DE4FCF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1.53</w:t>
            </w:r>
          </w:p>
        </w:tc>
        <w:tc>
          <w:tcPr>
            <w:tcW w:w="2092" w:type="dxa"/>
            <w:tcBorders>
              <w:top w:val="nil"/>
              <w:bottom w:val="nil"/>
            </w:tcBorders>
            <w:hideMark/>
          </w:tcPr>
          <w:p w14:paraId="44C87A4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w:t>
            </w:r>
          </w:p>
        </w:tc>
        <w:tc>
          <w:tcPr>
            <w:tcW w:w="2092" w:type="dxa"/>
            <w:tcBorders>
              <w:top w:val="nil"/>
              <w:bottom w:val="nil"/>
            </w:tcBorders>
            <w:hideMark/>
          </w:tcPr>
          <w:p w14:paraId="5A06B4C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7.33</w:t>
            </w:r>
          </w:p>
        </w:tc>
      </w:tr>
      <w:tr w:rsidR="00AB238E" w:rsidRPr="00705903" w14:paraId="4F766811"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DCBB3D1"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45 Information Technology</w:t>
            </w:r>
          </w:p>
        </w:tc>
        <w:tc>
          <w:tcPr>
            <w:tcW w:w="2092" w:type="dxa"/>
            <w:tcBorders>
              <w:top w:val="nil"/>
              <w:bottom w:val="nil"/>
            </w:tcBorders>
            <w:hideMark/>
          </w:tcPr>
          <w:p w14:paraId="4ABE2C5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1.73</w:t>
            </w:r>
          </w:p>
        </w:tc>
        <w:tc>
          <w:tcPr>
            <w:tcW w:w="2092" w:type="dxa"/>
            <w:tcBorders>
              <w:top w:val="nil"/>
              <w:bottom w:val="nil"/>
            </w:tcBorders>
            <w:hideMark/>
          </w:tcPr>
          <w:p w14:paraId="7CB725F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3</w:t>
            </w:r>
          </w:p>
        </w:tc>
        <w:tc>
          <w:tcPr>
            <w:tcW w:w="2092" w:type="dxa"/>
            <w:tcBorders>
              <w:top w:val="nil"/>
              <w:bottom w:val="nil"/>
            </w:tcBorders>
            <w:hideMark/>
          </w:tcPr>
          <w:p w14:paraId="19398A2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9.00</w:t>
            </w:r>
          </w:p>
        </w:tc>
      </w:tr>
      <w:tr w:rsidR="00AB238E" w:rsidRPr="00705903" w14:paraId="65D321F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C8322DB"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55 Utilities</w:t>
            </w:r>
          </w:p>
        </w:tc>
        <w:tc>
          <w:tcPr>
            <w:tcW w:w="2092" w:type="dxa"/>
            <w:tcBorders>
              <w:top w:val="nil"/>
              <w:bottom w:val="nil"/>
            </w:tcBorders>
            <w:hideMark/>
          </w:tcPr>
          <w:p w14:paraId="1DDCD46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2.08</w:t>
            </w:r>
          </w:p>
        </w:tc>
        <w:tc>
          <w:tcPr>
            <w:tcW w:w="2092" w:type="dxa"/>
            <w:tcBorders>
              <w:top w:val="nil"/>
              <w:bottom w:val="nil"/>
            </w:tcBorders>
            <w:hideMark/>
          </w:tcPr>
          <w:p w14:paraId="3BCD004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4</w:t>
            </w:r>
          </w:p>
        </w:tc>
        <w:tc>
          <w:tcPr>
            <w:tcW w:w="2092" w:type="dxa"/>
            <w:tcBorders>
              <w:top w:val="nil"/>
              <w:bottom w:val="nil"/>
            </w:tcBorders>
            <w:hideMark/>
          </w:tcPr>
          <w:p w14:paraId="4291937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4.67</w:t>
            </w:r>
          </w:p>
        </w:tc>
      </w:tr>
      <w:tr w:rsidR="00AB238E" w:rsidRPr="00705903" w14:paraId="2FBF09AA"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FCB8DA5"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50 Telecommunication Services</w:t>
            </w:r>
          </w:p>
        </w:tc>
        <w:tc>
          <w:tcPr>
            <w:tcW w:w="2092" w:type="dxa"/>
            <w:tcBorders>
              <w:top w:val="nil"/>
              <w:bottom w:val="nil"/>
            </w:tcBorders>
            <w:hideMark/>
          </w:tcPr>
          <w:p w14:paraId="6F05EF9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2.65</w:t>
            </w:r>
          </w:p>
        </w:tc>
        <w:tc>
          <w:tcPr>
            <w:tcW w:w="2092" w:type="dxa"/>
            <w:tcBorders>
              <w:top w:val="nil"/>
              <w:bottom w:val="nil"/>
            </w:tcBorders>
            <w:hideMark/>
          </w:tcPr>
          <w:p w14:paraId="51C68A3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5</w:t>
            </w:r>
          </w:p>
        </w:tc>
        <w:tc>
          <w:tcPr>
            <w:tcW w:w="2092" w:type="dxa"/>
            <w:tcBorders>
              <w:top w:val="nil"/>
              <w:bottom w:val="nil"/>
            </w:tcBorders>
            <w:hideMark/>
          </w:tcPr>
          <w:p w14:paraId="48B0552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9.00</w:t>
            </w:r>
          </w:p>
        </w:tc>
      </w:tr>
      <w:tr w:rsidR="00AB238E" w:rsidRPr="00705903" w14:paraId="4AD3765A"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EE29274"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35 Health Care</w:t>
            </w:r>
          </w:p>
        </w:tc>
        <w:tc>
          <w:tcPr>
            <w:tcW w:w="2092" w:type="dxa"/>
            <w:tcBorders>
              <w:top w:val="nil"/>
              <w:bottom w:val="nil"/>
            </w:tcBorders>
            <w:hideMark/>
          </w:tcPr>
          <w:p w14:paraId="651941D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2.89</w:t>
            </w:r>
          </w:p>
        </w:tc>
        <w:tc>
          <w:tcPr>
            <w:tcW w:w="2092" w:type="dxa"/>
            <w:tcBorders>
              <w:top w:val="nil"/>
              <w:bottom w:val="nil"/>
            </w:tcBorders>
            <w:hideMark/>
          </w:tcPr>
          <w:p w14:paraId="150066F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w:t>
            </w:r>
          </w:p>
        </w:tc>
        <w:tc>
          <w:tcPr>
            <w:tcW w:w="2092" w:type="dxa"/>
            <w:tcBorders>
              <w:top w:val="nil"/>
              <w:bottom w:val="nil"/>
            </w:tcBorders>
            <w:hideMark/>
          </w:tcPr>
          <w:p w14:paraId="4B7B0DF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4.67</w:t>
            </w:r>
          </w:p>
        </w:tc>
      </w:tr>
      <w:tr w:rsidR="00AB238E" w:rsidRPr="00705903" w14:paraId="53493067"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D702853"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20 Industrials</w:t>
            </w:r>
          </w:p>
        </w:tc>
        <w:tc>
          <w:tcPr>
            <w:tcW w:w="2092" w:type="dxa"/>
            <w:tcBorders>
              <w:top w:val="nil"/>
              <w:bottom w:val="nil"/>
            </w:tcBorders>
            <w:hideMark/>
          </w:tcPr>
          <w:p w14:paraId="42C7B28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2.89</w:t>
            </w:r>
          </w:p>
        </w:tc>
        <w:tc>
          <w:tcPr>
            <w:tcW w:w="2092" w:type="dxa"/>
            <w:tcBorders>
              <w:top w:val="nil"/>
              <w:bottom w:val="nil"/>
            </w:tcBorders>
            <w:hideMark/>
          </w:tcPr>
          <w:p w14:paraId="0218854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5</w:t>
            </w:r>
          </w:p>
        </w:tc>
        <w:tc>
          <w:tcPr>
            <w:tcW w:w="2092" w:type="dxa"/>
            <w:tcBorders>
              <w:top w:val="nil"/>
              <w:bottom w:val="nil"/>
            </w:tcBorders>
            <w:hideMark/>
          </w:tcPr>
          <w:p w14:paraId="01BD393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6.67</w:t>
            </w:r>
          </w:p>
        </w:tc>
      </w:tr>
      <w:tr w:rsidR="00AB238E" w:rsidRPr="00705903" w14:paraId="5BA30BDC"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9D2B116"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15 Materials</w:t>
            </w:r>
          </w:p>
        </w:tc>
        <w:tc>
          <w:tcPr>
            <w:tcW w:w="2092" w:type="dxa"/>
            <w:tcBorders>
              <w:top w:val="nil"/>
              <w:bottom w:val="nil"/>
            </w:tcBorders>
            <w:hideMark/>
          </w:tcPr>
          <w:p w14:paraId="62E06AB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4.04</w:t>
            </w:r>
          </w:p>
        </w:tc>
        <w:tc>
          <w:tcPr>
            <w:tcW w:w="2092" w:type="dxa"/>
            <w:tcBorders>
              <w:top w:val="nil"/>
              <w:bottom w:val="nil"/>
            </w:tcBorders>
            <w:hideMark/>
          </w:tcPr>
          <w:p w14:paraId="566BB50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8</w:t>
            </w:r>
          </w:p>
        </w:tc>
        <w:tc>
          <w:tcPr>
            <w:tcW w:w="2092" w:type="dxa"/>
            <w:tcBorders>
              <w:top w:val="nil"/>
              <w:bottom w:val="nil"/>
            </w:tcBorders>
            <w:hideMark/>
          </w:tcPr>
          <w:p w14:paraId="7D0C4AE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5.33</w:t>
            </w:r>
          </w:p>
        </w:tc>
      </w:tr>
      <w:tr w:rsidR="00AB238E" w:rsidRPr="00705903" w14:paraId="6DF2C237"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90AE5BE"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40 Financials</w:t>
            </w:r>
          </w:p>
        </w:tc>
        <w:tc>
          <w:tcPr>
            <w:tcW w:w="2092" w:type="dxa"/>
            <w:tcBorders>
              <w:top w:val="nil"/>
              <w:bottom w:val="nil"/>
            </w:tcBorders>
            <w:hideMark/>
          </w:tcPr>
          <w:p w14:paraId="521C764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4.16</w:t>
            </w:r>
          </w:p>
        </w:tc>
        <w:tc>
          <w:tcPr>
            <w:tcW w:w="2092" w:type="dxa"/>
            <w:tcBorders>
              <w:top w:val="nil"/>
              <w:bottom w:val="nil"/>
            </w:tcBorders>
            <w:hideMark/>
          </w:tcPr>
          <w:p w14:paraId="28F33E5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8</w:t>
            </w:r>
          </w:p>
        </w:tc>
        <w:tc>
          <w:tcPr>
            <w:tcW w:w="2092" w:type="dxa"/>
            <w:tcBorders>
              <w:top w:val="nil"/>
              <w:bottom w:val="nil"/>
            </w:tcBorders>
            <w:hideMark/>
          </w:tcPr>
          <w:p w14:paraId="16AC603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5.67</w:t>
            </w:r>
          </w:p>
        </w:tc>
      </w:tr>
      <w:tr w:rsidR="00AB238E" w:rsidRPr="00705903" w14:paraId="08FB517D"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hideMark/>
          </w:tcPr>
          <w:p w14:paraId="15119B57"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60 Real Estate</w:t>
            </w:r>
          </w:p>
        </w:tc>
        <w:tc>
          <w:tcPr>
            <w:tcW w:w="2092" w:type="dxa"/>
            <w:tcBorders>
              <w:top w:val="nil"/>
              <w:bottom w:val="single" w:sz="4" w:space="0" w:color="auto"/>
            </w:tcBorders>
            <w:hideMark/>
          </w:tcPr>
          <w:p w14:paraId="5F8106A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4.93</w:t>
            </w:r>
          </w:p>
        </w:tc>
        <w:tc>
          <w:tcPr>
            <w:tcW w:w="2092" w:type="dxa"/>
            <w:tcBorders>
              <w:top w:val="nil"/>
              <w:bottom w:val="single" w:sz="4" w:space="0" w:color="auto"/>
            </w:tcBorders>
            <w:hideMark/>
          </w:tcPr>
          <w:p w14:paraId="73EA5C9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9</w:t>
            </w:r>
          </w:p>
        </w:tc>
        <w:tc>
          <w:tcPr>
            <w:tcW w:w="2092" w:type="dxa"/>
            <w:tcBorders>
              <w:top w:val="nil"/>
              <w:bottom w:val="single" w:sz="4" w:space="0" w:color="auto"/>
            </w:tcBorders>
            <w:hideMark/>
          </w:tcPr>
          <w:p w14:paraId="00EFC23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7.67</w:t>
            </w:r>
          </w:p>
        </w:tc>
      </w:tr>
    </w:tbl>
    <w:p w14:paraId="2C71EC26" w14:textId="77777777" w:rsidR="00AB238E" w:rsidRPr="00705903" w:rsidRDefault="00AB238E" w:rsidP="0097761F">
      <w:pPr>
        <w:spacing w:line="259" w:lineRule="auto"/>
        <w:ind w:firstLine="0"/>
        <w:jc w:val="both"/>
        <w:rPr>
          <w:sz w:val="20"/>
          <w:szCs w:val="20"/>
        </w:rPr>
      </w:pPr>
    </w:p>
    <w:p w14:paraId="297D3493" w14:textId="77777777" w:rsidR="00AB238E" w:rsidRPr="00705903" w:rsidRDefault="00AB238E" w:rsidP="0097761F">
      <w:pPr>
        <w:spacing w:line="259" w:lineRule="auto"/>
        <w:ind w:firstLine="0"/>
        <w:jc w:val="both"/>
        <w:rPr>
          <w:sz w:val="20"/>
          <w:szCs w:val="20"/>
        </w:rPr>
      </w:pPr>
    </w:p>
    <w:p w14:paraId="4356C787" w14:textId="77777777" w:rsidR="00AB238E" w:rsidRPr="00705903" w:rsidRDefault="00AB238E" w:rsidP="0097761F">
      <w:pPr>
        <w:spacing w:after="160" w:line="259" w:lineRule="auto"/>
        <w:ind w:firstLine="0"/>
        <w:jc w:val="both"/>
        <w:rPr>
          <w:sz w:val="20"/>
          <w:szCs w:val="20"/>
        </w:rPr>
      </w:pPr>
      <w:r w:rsidRPr="00705903">
        <w:rPr>
          <w:sz w:val="20"/>
          <w:szCs w:val="20"/>
        </w:rPr>
        <w:br w:type="page"/>
      </w:r>
    </w:p>
    <w:p w14:paraId="7331593F" w14:textId="77777777" w:rsidR="00AB238E" w:rsidRPr="00705903" w:rsidRDefault="00AB238E" w:rsidP="0097761F">
      <w:pPr>
        <w:pStyle w:val="Heading1"/>
      </w:pPr>
      <w:r w:rsidRPr="00705903">
        <w:t>Table 17. Cross-Year Stability of Industry ESG Ranking (2007–2022)</w:t>
      </w:r>
    </w:p>
    <w:p w14:paraId="4739CE42" w14:textId="77777777" w:rsidR="00AB238E" w:rsidRPr="00705903" w:rsidRDefault="00AB238E" w:rsidP="0097761F">
      <w:pPr>
        <w:spacing w:line="259" w:lineRule="auto"/>
        <w:ind w:firstLine="0"/>
        <w:jc w:val="both"/>
        <w:rPr>
          <w:sz w:val="20"/>
          <w:szCs w:val="20"/>
        </w:rPr>
      </w:pPr>
    </w:p>
    <w:p w14:paraId="0FAA83EF" w14:textId="77777777" w:rsidR="00AB238E" w:rsidRPr="00705903" w:rsidRDefault="00AB238E" w:rsidP="0097761F">
      <w:pPr>
        <w:spacing w:line="259" w:lineRule="auto"/>
        <w:ind w:firstLine="0"/>
        <w:jc w:val="both"/>
        <w:rPr>
          <w:sz w:val="20"/>
          <w:szCs w:val="20"/>
        </w:rPr>
      </w:pPr>
      <w:r w:rsidRPr="00705903">
        <w:rPr>
          <w:sz w:val="20"/>
          <w:szCs w:val="20"/>
        </w:rPr>
        <w:t xml:space="preserve">This table summarizes </w:t>
      </w:r>
      <w:r w:rsidRPr="00705903">
        <w:rPr>
          <w:b/>
          <w:bCs/>
          <w:sz w:val="20"/>
          <w:szCs w:val="20"/>
        </w:rPr>
        <w:t>cross-year stability</w:t>
      </w:r>
      <w:r w:rsidRPr="00705903">
        <w:rPr>
          <w:sz w:val="20"/>
          <w:szCs w:val="20"/>
        </w:rPr>
        <w:t xml:space="preserve"> of industry rankings in Environmental (E), Social (S), and Governance (G). “Std.” is the standard deviation of yearly ranks (lower = more stable). “Range” is the difference between the best and worst ranks (lower = more stable). “Entropy” is Shannon entropy (base-2) computed from the empirical distribution of yearly ranks (lower = more concentrated = more stable). </w:t>
      </w:r>
      <w:r w:rsidRPr="00705903">
        <w:rPr>
          <w:sz w:val="20"/>
          <w:szCs w:val="20"/>
          <w:lang w:eastAsia="zh-CN"/>
        </w:rPr>
        <w:t>L</w:t>
      </w:r>
      <w:r w:rsidRPr="00705903">
        <w:rPr>
          <w:sz w:val="20"/>
          <w:szCs w:val="20"/>
        </w:rPr>
        <w:t>ower entropy indicates that an industry tends to occupy fewer rank positions over time (i.e., higher stability).</w:t>
      </w:r>
      <w:r w:rsidRPr="00705903">
        <w:rPr>
          <w:sz w:val="20"/>
          <w:szCs w:val="20"/>
          <w:lang w:eastAsia="zh-CN"/>
        </w:rPr>
        <w:t xml:space="preserve"> </w:t>
      </w:r>
      <w:r w:rsidRPr="00705903">
        <w:rPr>
          <w:sz w:val="20"/>
          <w:szCs w:val="20"/>
        </w:rPr>
        <w:t xml:space="preserve">All statistics are computed from yearly industry ranks over 2007–2022 using the </w:t>
      </w:r>
      <w:r w:rsidRPr="00705903">
        <w:rPr>
          <w:sz w:val="20"/>
          <w:szCs w:val="20"/>
          <w:lang w:eastAsia="zh-CN"/>
        </w:rPr>
        <w:t xml:space="preserve">CNRDS </w:t>
      </w:r>
      <w:r w:rsidRPr="00705903">
        <w:rPr>
          <w:sz w:val="20"/>
          <w:szCs w:val="20"/>
        </w:rPr>
        <w:t>dataset. Missing years (if any) are excluded before calculation.</w:t>
      </w:r>
    </w:p>
    <w:p w14:paraId="1B942604" w14:textId="77777777" w:rsidR="00AB238E" w:rsidRPr="00705903" w:rsidRDefault="00AB238E" w:rsidP="0097761F">
      <w:pPr>
        <w:spacing w:line="259" w:lineRule="auto"/>
        <w:ind w:firstLine="0"/>
        <w:jc w:val="both"/>
        <w:rPr>
          <w:sz w:val="20"/>
          <w:szCs w:val="20"/>
        </w:rPr>
      </w:pPr>
    </w:p>
    <w:p w14:paraId="1D833827" w14:textId="77777777" w:rsidR="00AB238E" w:rsidRPr="00705903" w:rsidRDefault="00AB238E" w:rsidP="0097761F">
      <w:pPr>
        <w:spacing w:line="259" w:lineRule="auto"/>
        <w:ind w:firstLine="0"/>
        <w:jc w:val="both"/>
        <w:rPr>
          <w:sz w:val="20"/>
          <w:szCs w:val="20"/>
        </w:rPr>
      </w:pPr>
      <w:r w:rsidRPr="00705903">
        <w:rPr>
          <w:sz w:val="20"/>
          <w:szCs w:val="20"/>
        </w:rPr>
        <w:t>Overall, Materials, Energy, and Information Technology exhibit the most stable rankings across the Environmental, Social, and Governance dimensions respectively, while Telecommunication Services shows the greatest volatility—particularly in S and G scores—indicating substantial cross-year rank fluctuations; meanwhile, Industrials maintains the lowest S-range, reflecting relatively consistent performance in the social dimension.</w:t>
      </w:r>
    </w:p>
    <w:p w14:paraId="4E0DFBB2" w14:textId="77777777" w:rsidR="00AB238E" w:rsidRPr="00705903" w:rsidRDefault="00AB238E" w:rsidP="0097761F">
      <w:pPr>
        <w:spacing w:line="259" w:lineRule="auto"/>
        <w:ind w:firstLine="0"/>
        <w:jc w:val="both"/>
        <w:rPr>
          <w:sz w:val="20"/>
          <w:szCs w:val="20"/>
        </w:rPr>
      </w:pPr>
    </w:p>
    <w:p w14:paraId="097DB91A" w14:textId="77777777" w:rsidR="00AB238E" w:rsidRPr="00705903" w:rsidRDefault="00AB238E" w:rsidP="0097761F">
      <w:pPr>
        <w:spacing w:line="259" w:lineRule="auto"/>
        <w:ind w:firstLine="0"/>
        <w:jc w:val="both"/>
        <w:rPr>
          <w:sz w:val="20"/>
          <w:szCs w:val="20"/>
        </w:rPr>
      </w:pPr>
    </w:p>
    <w:tbl>
      <w:tblPr>
        <w:tblStyle w:val="PlainTable2"/>
        <w:tblW w:w="0" w:type="auto"/>
        <w:tblLook w:val="04A0" w:firstRow="1" w:lastRow="0" w:firstColumn="1" w:lastColumn="0" w:noHBand="0" w:noVBand="1"/>
      </w:tblPr>
      <w:tblGrid>
        <w:gridCol w:w="1890"/>
        <w:gridCol w:w="799"/>
        <w:gridCol w:w="667"/>
        <w:gridCol w:w="677"/>
        <w:gridCol w:w="767"/>
        <w:gridCol w:w="761"/>
        <w:gridCol w:w="772"/>
        <w:gridCol w:w="1009"/>
        <w:gridCol w:w="1004"/>
        <w:gridCol w:w="1014"/>
      </w:tblGrid>
      <w:tr w:rsidR="00AB238E" w:rsidRPr="00705903" w14:paraId="56189161"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bottom w:val="single" w:sz="4" w:space="0" w:color="auto"/>
            </w:tcBorders>
            <w:hideMark/>
          </w:tcPr>
          <w:p w14:paraId="3732E154"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Industry (GICS L1)</w:t>
            </w:r>
          </w:p>
        </w:tc>
        <w:tc>
          <w:tcPr>
            <w:tcW w:w="799" w:type="dxa"/>
            <w:tcBorders>
              <w:bottom w:val="single" w:sz="4" w:space="0" w:color="auto"/>
            </w:tcBorders>
            <w:hideMark/>
          </w:tcPr>
          <w:p w14:paraId="35FB26E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E Std.</w:t>
            </w:r>
          </w:p>
        </w:tc>
        <w:tc>
          <w:tcPr>
            <w:tcW w:w="0" w:type="auto"/>
            <w:tcBorders>
              <w:bottom w:val="single" w:sz="4" w:space="0" w:color="auto"/>
            </w:tcBorders>
            <w:hideMark/>
          </w:tcPr>
          <w:p w14:paraId="7F1098D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 Std.</w:t>
            </w:r>
          </w:p>
        </w:tc>
        <w:tc>
          <w:tcPr>
            <w:tcW w:w="0" w:type="auto"/>
            <w:tcBorders>
              <w:bottom w:val="single" w:sz="4" w:space="0" w:color="auto"/>
            </w:tcBorders>
            <w:hideMark/>
          </w:tcPr>
          <w:p w14:paraId="3AC4C5BA"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G Std.</w:t>
            </w:r>
          </w:p>
        </w:tc>
        <w:tc>
          <w:tcPr>
            <w:tcW w:w="0" w:type="auto"/>
            <w:tcBorders>
              <w:bottom w:val="single" w:sz="4" w:space="0" w:color="auto"/>
            </w:tcBorders>
            <w:hideMark/>
          </w:tcPr>
          <w:p w14:paraId="29E24504"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E Range</w:t>
            </w:r>
          </w:p>
        </w:tc>
        <w:tc>
          <w:tcPr>
            <w:tcW w:w="0" w:type="auto"/>
            <w:tcBorders>
              <w:bottom w:val="single" w:sz="4" w:space="0" w:color="auto"/>
            </w:tcBorders>
            <w:hideMark/>
          </w:tcPr>
          <w:p w14:paraId="687E7920"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 Range</w:t>
            </w:r>
          </w:p>
        </w:tc>
        <w:tc>
          <w:tcPr>
            <w:tcW w:w="0" w:type="auto"/>
            <w:tcBorders>
              <w:bottom w:val="single" w:sz="4" w:space="0" w:color="auto"/>
            </w:tcBorders>
            <w:hideMark/>
          </w:tcPr>
          <w:p w14:paraId="56F9B630"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G Range</w:t>
            </w:r>
          </w:p>
        </w:tc>
        <w:tc>
          <w:tcPr>
            <w:tcW w:w="0" w:type="auto"/>
            <w:tcBorders>
              <w:bottom w:val="single" w:sz="4" w:space="0" w:color="auto"/>
            </w:tcBorders>
            <w:hideMark/>
          </w:tcPr>
          <w:p w14:paraId="44CF290D"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E Entropy (bits)</w:t>
            </w:r>
          </w:p>
        </w:tc>
        <w:tc>
          <w:tcPr>
            <w:tcW w:w="0" w:type="auto"/>
            <w:tcBorders>
              <w:bottom w:val="single" w:sz="4" w:space="0" w:color="auto"/>
            </w:tcBorders>
            <w:hideMark/>
          </w:tcPr>
          <w:p w14:paraId="5A66BADA"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 Entropy (bits)</w:t>
            </w:r>
          </w:p>
        </w:tc>
        <w:tc>
          <w:tcPr>
            <w:tcW w:w="0" w:type="auto"/>
            <w:tcBorders>
              <w:bottom w:val="single" w:sz="4" w:space="0" w:color="auto"/>
            </w:tcBorders>
            <w:hideMark/>
          </w:tcPr>
          <w:p w14:paraId="321B22F3"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G Entropy (bits)</w:t>
            </w:r>
          </w:p>
        </w:tc>
      </w:tr>
      <w:tr w:rsidR="00AB238E" w:rsidRPr="00705903" w14:paraId="0ABCE19A"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bottom w:val="nil"/>
            </w:tcBorders>
            <w:hideMark/>
          </w:tcPr>
          <w:p w14:paraId="078E0C8F"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Industrials</w:t>
            </w:r>
          </w:p>
        </w:tc>
        <w:tc>
          <w:tcPr>
            <w:tcW w:w="799" w:type="dxa"/>
            <w:tcBorders>
              <w:top w:val="single" w:sz="4" w:space="0" w:color="auto"/>
              <w:bottom w:val="nil"/>
            </w:tcBorders>
            <w:hideMark/>
          </w:tcPr>
          <w:p w14:paraId="6F84870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0.781</w:t>
            </w:r>
          </w:p>
        </w:tc>
        <w:tc>
          <w:tcPr>
            <w:tcW w:w="0" w:type="auto"/>
            <w:tcBorders>
              <w:top w:val="single" w:sz="4" w:space="0" w:color="auto"/>
              <w:bottom w:val="nil"/>
            </w:tcBorders>
            <w:hideMark/>
          </w:tcPr>
          <w:p w14:paraId="4A3C7FB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0.658</w:t>
            </w:r>
          </w:p>
        </w:tc>
        <w:tc>
          <w:tcPr>
            <w:tcW w:w="0" w:type="auto"/>
            <w:tcBorders>
              <w:top w:val="single" w:sz="4" w:space="0" w:color="auto"/>
              <w:bottom w:val="nil"/>
            </w:tcBorders>
            <w:hideMark/>
          </w:tcPr>
          <w:p w14:paraId="0DFC729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0.583</w:t>
            </w:r>
          </w:p>
        </w:tc>
        <w:tc>
          <w:tcPr>
            <w:tcW w:w="0" w:type="auto"/>
            <w:tcBorders>
              <w:top w:val="single" w:sz="4" w:space="0" w:color="auto"/>
              <w:bottom w:val="nil"/>
            </w:tcBorders>
            <w:hideMark/>
          </w:tcPr>
          <w:p w14:paraId="28C5B06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w:t>
            </w:r>
          </w:p>
        </w:tc>
        <w:tc>
          <w:tcPr>
            <w:tcW w:w="0" w:type="auto"/>
            <w:tcBorders>
              <w:top w:val="single" w:sz="4" w:space="0" w:color="auto"/>
              <w:bottom w:val="nil"/>
            </w:tcBorders>
            <w:hideMark/>
          </w:tcPr>
          <w:p w14:paraId="430E12B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w:t>
            </w:r>
          </w:p>
        </w:tc>
        <w:tc>
          <w:tcPr>
            <w:tcW w:w="0" w:type="auto"/>
            <w:tcBorders>
              <w:top w:val="single" w:sz="4" w:space="0" w:color="auto"/>
              <w:bottom w:val="nil"/>
            </w:tcBorders>
            <w:hideMark/>
          </w:tcPr>
          <w:p w14:paraId="0DF0335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w:t>
            </w:r>
          </w:p>
        </w:tc>
        <w:tc>
          <w:tcPr>
            <w:tcW w:w="0" w:type="auto"/>
            <w:tcBorders>
              <w:top w:val="single" w:sz="4" w:space="0" w:color="auto"/>
              <w:bottom w:val="nil"/>
            </w:tcBorders>
            <w:hideMark/>
          </w:tcPr>
          <w:p w14:paraId="52EE9A6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1.420</w:t>
            </w:r>
          </w:p>
        </w:tc>
        <w:tc>
          <w:tcPr>
            <w:tcW w:w="0" w:type="auto"/>
            <w:tcBorders>
              <w:top w:val="single" w:sz="4" w:space="0" w:color="auto"/>
              <w:bottom w:val="nil"/>
            </w:tcBorders>
            <w:hideMark/>
          </w:tcPr>
          <w:p w14:paraId="26A6165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1.420</w:t>
            </w:r>
          </w:p>
        </w:tc>
        <w:tc>
          <w:tcPr>
            <w:tcW w:w="0" w:type="auto"/>
            <w:tcBorders>
              <w:top w:val="single" w:sz="4" w:space="0" w:color="auto"/>
              <w:bottom w:val="nil"/>
            </w:tcBorders>
            <w:hideMark/>
          </w:tcPr>
          <w:p w14:paraId="4CB3046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1.248</w:t>
            </w:r>
          </w:p>
        </w:tc>
      </w:tr>
      <w:tr w:rsidR="00AB238E" w:rsidRPr="00705903" w14:paraId="23E3F181" w14:textId="77777777" w:rsidTr="00A4523E">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0B277FEE"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Information Technology</w:t>
            </w:r>
          </w:p>
        </w:tc>
        <w:tc>
          <w:tcPr>
            <w:tcW w:w="799" w:type="dxa"/>
            <w:tcBorders>
              <w:top w:val="nil"/>
              <w:bottom w:val="nil"/>
            </w:tcBorders>
            <w:hideMark/>
          </w:tcPr>
          <w:p w14:paraId="05637CA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0.500</w:t>
            </w:r>
          </w:p>
        </w:tc>
        <w:tc>
          <w:tcPr>
            <w:tcW w:w="0" w:type="auto"/>
            <w:tcBorders>
              <w:top w:val="nil"/>
              <w:bottom w:val="nil"/>
            </w:tcBorders>
            <w:hideMark/>
          </w:tcPr>
          <w:p w14:paraId="54B2703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1.368</w:t>
            </w:r>
          </w:p>
        </w:tc>
        <w:tc>
          <w:tcPr>
            <w:tcW w:w="0" w:type="auto"/>
            <w:tcBorders>
              <w:top w:val="nil"/>
              <w:bottom w:val="nil"/>
            </w:tcBorders>
            <w:hideMark/>
          </w:tcPr>
          <w:p w14:paraId="5C88658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0.331</w:t>
            </w:r>
          </w:p>
        </w:tc>
        <w:tc>
          <w:tcPr>
            <w:tcW w:w="0" w:type="auto"/>
            <w:tcBorders>
              <w:top w:val="nil"/>
              <w:bottom w:val="nil"/>
            </w:tcBorders>
            <w:hideMark/>
          </w:tcPr>
          <w:p w14:paraId="77AC64B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w:t>
            </w:r>
          </w:p>
        </w:tc>
        <w:tc>
          <w:tcPr>
            <w:tcW w:w="0" w:type="auto"/>
            <w:tcBorders>
              <w:top w:val="nil"/>
              <w:bottom w:val="nil"/>
            </w:tcBorders>
            <w:hideMark/>
          </w:tcPr>
          <w:p w14:paraId="2BA12E9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4</w:t>
            </w:r>
          </w:p>
        </w:tc>
        <w:tc>
          <w:tcPr>
            <w:tcW w:w="0" w:type="auto"/>
            <w:tcBorders>
              <w:top w:val="nil"/>
              <w:bottom w:val="nil"/>
            </w:tcBorders>
            <w:hideMark/>
          </w:tcPr>
          <w:p w14:paraId="6185ADA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w:t>
            </w:r>
          </w:p>
        </w:tc>
        <w:tc>
          <w:tcPr>
            <w:tcW w:w="0" w:type="auto"/>
            <w:tcBorders>
              <w:top w:val="nil"/>
              <w:bottom w:val="nil"/>
            </w:tcBorders>
            <w:hideMark/>
          </w:tcPr>
          <w:p w14:paraId="6064969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1.000</w:t>
            </w:r>
          </w:p>
        </w:tc>
        <w:tc>
          <w:tcPr>
            <w:tcW w:w="0" w:type="auto"/>
            <w:tcBorders>
              <w:top w:val="nil"/>
              <w:bottom w:val="nil"/>
            </w:tcBorders>
            <w:hideMark/>
          </w:tcPr>
          <w:p w14:paraId="0DF3244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2.108</w:t>
            </w:r>
          </w:p>
        </w:tc>
        <w:tc>
          <w:tcPr>
            <w:tcW w:w="0" w:type="auto"/>
            <w:tcBorders>
              <w:top w:val="nil"/>
              <w:bottom w:val="nil"/>
            </w:tcBorders>
            <w:hideMark/>
          </w:tcPr>
          <w:p w14:paraId="43C2D14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0.544</w:t>
            </w:r>
          </w:p>
        </w:tc>
      </w:tr>
      <w:tr w:rsidR="00AB238E" w:rsidRPr="00705903" w14:paraId="162D0D2C"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7AB4B1BC"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Consumer Discretionary</w:t>
            </w:r>
          </w:p>
        </w:tc>
        <w:tc>
          <w:tcPr>
            <w:tcW w:w="799" w:type="dxa"/>
            <w:tcBorders>
              <w:top w:val="nil"/>
              <w:bottom w:val="nil"/>
            </w:tcBorders>
            <w:hideMark/>
          </w:tcPr>
          <w:p w14:paraId="01136B4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0.599</w:t>
            </w:r>
          </w:p>
        </w:tc>
        <w:tc>
          <w:tcPr>
            <w:tcW w:w="0" w:type="auto"/>
            <w:tcBorders>
              <w:top w:val="nil"/>
              <w:bottom w:val="nil"/>
            </w:tcBorders>
            <w:hideMark/>
          </w:tcPr>
          <w:p w14:paraId="6106CDD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0.857</w:t>
            </w:r>
          </w:p>
        </w:tc>
        <w:tc>
          <w:tcPr>
            <w:tcW w:w="0" w:type="auto"/>
            <w:tcBorders>
              <w:top w:val="nil"/>
              <w:bottom w:val="nil"/>
            </w:tcBorders>
            <w:hideMark/>
          </w:tcPr>
          <w:p w14:paraId="5D12BB0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0.808</w:t>
            </w:r>
          </w:p>
        </w:tc>
        <w:tc>
          <w:tcPr>
            <w:tcW w:w="0" w:type="auto"/>
            <w:tcBorders>
              <w:top w:val="nil"/>
              <w:bottom w:val="nil"/>
            </w:tcBorders>
            <w:hideMark/>
          </w:tcPr>
          <w:p w14:paraId="329D89E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w:t>
            </w:r>
          </w:p>
        </w:tc>
        <w:tc>
          <w:tcPr>
            <w:tcW w:w="0" w:type="auto"/>
            <w:tcBorders>
              <w:top w:val="nil"/>
              <w:bottom w:val="nil"/>
            </w:tcBorders>
            <w:hideMark/>
          </w:tcPr>
          <w:p w14:paraId="60C1448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w:t>
            </w:r>
          </w:p>
        </w:tc>
        <w:tc>
          <w:tcPr>
            <w:tcW w:w="0" w:type="auto"/>
            <w:tcBorders>
              <w:top w:val="nil"/>
              <w:bottom w:val="nil"/>
            </w:tcBorders>
            <w:hideMark/>
          </w:tcPr>
          <w:p w14:paraId="716DE8E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w:t>
            </w:r>
          </w:p>
        </w:tc>
        <w:tc>
          <w:tcPr>
            <w:tcW w:w="0" w:type="auto"/>
            <w:tcBorders>
              <w:top w:val="nil"/>
              <w:bottom w:val="nil"/>
            </w:tcBorders>
            <w:hideMark/>
          </w:tcPr>
          <w:p w14:paraId="208D7A5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1.122</w:t>
            </w:r>
          </w:p>
        </w:tc>
        <w:tc>
          <w:tcPr>
            <w:tcW w:w="0" w:type="auto"/>
            <w:tcBorders>
              <w:top w:val="nil"/>
              <w:bottom w:val="nil"/>
            </w:tcBorders>
            <w:hideMark/>
          </w:tcPr>
          <w:p w14:paraId="6E9AC53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1.772</w:t>
            </w:r>
          </w:p>
        </w:tc>
        <w:tc>
          <w:tcPr>
            <w:tcW w:w="0" w:type="auto"/>
            <w:tcBorders>
              <w:top w:val="nil"/>
              <w:bottom w:val="nil"/>
            </w:tcBorders>
            <w:hideMark/>
          </w:tcPr>
          <w:p w14:paraId="428C29D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1.546</w:t>
            </w:r>
          </w:p>
        </w:tc>
      </w:tr>
      <w:tr w:rsidR="00AB238E" w:rsidRPr="00705903" w14:paraId="22B9D244" w14:textId="77777777" w:rsidTr="00A4523E">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595F0715"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Utilities</w:t>
            </w:r>
          </w:p>
        </w:tc>
        <w:tc>
          <w:tcPr>
            <w:tcW w:w="799" w:type="dxa"/>
            <w:tcBorders>
              <w:top w:val="nil"/>
              <w:bottom w:val="nil"/>
            </w:tcBorders>
            <w:hideMark/>
          </w:tcPr>
          <w:p w14:paraId="2D9F900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0.661</w:t>
            </w:r>
          </w:p>
        </w:tc>
        <w:tc>
          <w:tcPr>
            <w:tcW w:w="0" w:type="auto"/>
            <w:tcBorders>
              <w:top w:val="nil"/>
              <w:bottom w:val="nil"/>
            </w:tcBorders>
            <w:hideMark/>
          </w:tcPr>
          <w:p w14:paraId="5D64A5B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0.696</w:t>
            </w:r>
          </w:p>
        </w:tc>
        <w:tc>
          <w:tcPr>
            <w:tcW w:w="0" w:type="auto"/>
            <w:tcBorders>
              <w:top w:val="nil"/>
              <w:bottom w:val="nil"/>
            </w:tcBorders>
            <w:hideMark/>
          </w:tcPr>
          <w:p w14:paraId="7935790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0.935</w:t>
            </w:r>
          </w:p>
        </w:tc>
        <w:tc>
          <w:tcPr>
            <w:tcW w:w="0" w:type="auto"/>
            <w:tcBorders>
              <w:top w:val="nil"/>
              <w:bottom w:val="nil"/>
            </w:tcBorders>
            <w:hideMark/>
          </w:tcPr>
          <w:p w14:paraId="136FDEF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w:t>
            </w:r>
          </w:p>
        </w:tc>
        <w:tc>
          <w:tcPr>
            <w:tcW w:w="0" w:type="auto"/>
            <w:tcBorders>
              <w:top w:val="nil"/>
              <w:bottom w:val="nil"/>
            </w:tcBorders>
            <w:hideMark/>
          </w:tcPr>
          <w:p w14:paraId="45C8E41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w:t>
            </w:r>
          </w:p>
        </w:tc>
        <w:tc>
          <w:tcPr>
            <w:tcW w:w="0" w:type="auto"/>
            <w:tcBorders>
              <w:top w:val="nil"/>
              <w:bottom w:val="nil"/>
            </w:tcBorders>
            <w:hideMark/>
          </w:tcPr>
          <w:p w14:paraId="46E45CE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3</w:t>
            </w:r>
          </w:p>
        </w:tc>
        <w:tc>
          <w:tcPr>
            <w:tcW w:w="0" w:type="auto"/>
            <w:tcBorders>
              <w:top w:val="nil"/>
              <w:bottom w:val="nil"/>
            </w:tcBorders>
            <w:hideMark/>
          </w:tcPr>
          <w:p w14:paraId="41CD6D2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1.406</w:t>
            </w:r>
          </w:p>
        </w:tc>
        <w:tc>
          <w:tcPr>
            <w:tcW w:w="0" w:type="auto"/>
            <w:tcBorders>
              <w:top w:val="nil"/>
              <w:bottom w:val="nil"/>
            </w:tcBorders>
            <w:hideMark/>
          </w:tcPr>
          <w:p w14:paraId="00E22DF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1.406</w:t>
            </w:r>
          </w:p>
        </w:tc>
        <w:tc>
          <w:tcPr>
            <w:tcW w:w="0" w:type="auto"/>
            <w:tcBorders>
              <w:top w:val="nil"/>
              <w:bottom w:val="nil"/>
            </w:tcBorders>
            <w:hideMark/>
          </w:tcPr>
          <w:p w14:paraId="000A35A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1.805</w:t>
            </w:r>
          </w:p>
        </w:tc>
      </w:tr>
      <w:tr w:rsidR="00AB238E" w:rsidRPr="00705903" w14:paraId="2045FDE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4DC44451"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Consumer Staples</w:t>
            </w:r>
          </w:p>
        </w:tc>
        <w:tc>
          <w:tcPr>
            <w:tcW w:w="799" w:type="dxa"/>
            <w:tcBorders>
              <w:top w:val="nil"/>
              <w:bottom w:val="nil"/>
            </w:tcBorders>
            <w:hideMark/>
          </w:tcPr>
          <w:p w14:paraId="7D7DC15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0.768</w:t>
            </w:r>
          </w:p>
        </w:tc>
        <w:tc>
          <w:tcPr>
            <w:tcW w:w="0" w:type="auto"/>
            <w:tcBorders>
              <w:top w:val="nil"/>
              <w:bottom w:val="nil"/>
            </w:tcBorders>
            <w:hideMark/>
          </w:tcPr>
          <w:p w14:paraId="5C6EE39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0.704</w:t>
            </w:r>
          </w:p>
        </w:tc>
        <w:tc>
          <w:tcPr>
            <w:tcW w:w="0" w:type="auto"/>
            <w:tcBorders>
              <w:top w:val="nil"/>
              <w:bottom w:val="nil"/>
            </w:tcBorders>
            <w:hideMark/>
          </w:tcPr>
          <w:p w14:paraId="251E390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0.829</w:t>
            </w:r>
          </w:p>
        </w:tc>
        <w:tc>
          <w:tcPr>
            <w:tcW w:w="0" w:type="auto"/>
            <w:tcBorders>
              <w:top w:val="nil"/>
              <w:bottom w:val="nil"/>
            </w:tcBorders>
            <w:hideMark/>
          </w:tcPr>
          <w:p w14:paraId="137E903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w:t>
            </w:r>
          </w:p>
        </w:tc>
        <w:tc>
          <w:tcPr>
            <w:tcW w:w="0" w:type="auto"/>
            <w:tcBorders>
              <w:top w:val="nil"/>
              <w:bottom w:val="nil"/>
            </w:tcBorders>
            <w:hideMark/>
          </w:tcPr>
          <w:p w14:paraId="796F838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w:t>
            </w:r>
          </w:p>
        </w:tc>
        <w:tc>
          <w:tcPr>
            <w:tcW w:w="0" w:type="auto"/>
            <w:tcBorders>
              <w:top w:val="nil"/>
              <w:bottom w:val="nil"/>
            </w:tcBorders>
            <w:hideMark/>
          </w:tcPr>
          <w:p w14:paraId="4616451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w:t>
            </w:r>
          </w:p>
        </w:tc>
        <w:tc>
          <w:tcPr>
            <w:tcW w:w="0" w:type="auto"/>
            <w:tcBorders>
              <w:top w:val="nil"/>
              <w:bottom w:val="nil"/>
            </w:tcBorders>
            <w:hideMark/>
          </w:tcPr>
          <w:p w14:paraId="5F66264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1.477</w:t>
            </w:r>
          </w:p>
        </w:tc>
        <w:tc>
          <w:tcPr>
            <w:tcW w:w="0" w:type="auto"/>
            <w:tcBorders>
              <w:top w:val="nil"/>
              <w:bottom w:val="nil"/>
            </w:tcBorders>
            <w:hideMark/>
          </w:tcPr>
          <w:p w14:paraId="6CD83DB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1.366</w:t>
            </w:r>
          </w:p>
        </w:tc>
        <w:tc>
          <w:tcPr>
            <w:tcW w:w="0" w:type="auto"/>
            <w:tcBorders>
              <w:top w:val="nil"/>
              <w:bottom w:val="nil"/>
            </w:tcBorders>
            <w:hideMark/>
          </w:tcPr>
          <w:p w14:paraId="3EC4D5A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1.544</w:t>
            </w:r>
          </w:p>
        </w:tc>
      </w:tr>
      <w:tr w:rsidR="00AB238E" w:rsidRPr="00705903" w14:paraId="4982E0C1" w14:textId="77777777" w:rsidTr="00A4523E">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382964C6"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Real Estate</w:t>
            </w:r>
          </w:p>
        </w:tc>
        <w:tc>
          <w:tcPr>
            <w:tcW w:w="799" w:type="dxa"/>
            <w:tcBorders>
              <w:top w:val="nil"/>
              <w:bottom w:val="nil"/>
            </w:tcBorders>
            <w:hideMark/>
          </w:tcPr>
          <w:p w14:paraId="270BD71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0.464</w:t>
            </w:r>
          </w:p>
        </w:tc>
        <w:tc>
          <w:tcPr>
            <w:tcW w:w="0" w:type="auto"/>
            <w:tcBorders>
              <w:top w:val="nil"/>
              <w:bottom w:val="nil"/>
            </w:tcBorders>
            <w:hideMark/>
          </w:tcPr>
          <w:p w14:paraId="0C46B0E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1.171</w:t>
            </w:r>
          </w:p>
        </w:tc>
        <w:tc>
          <w:tcPr>
            <w:tcW w:w="0" w:type="auto"/>
            <w:tcBorders>
              <w:top w:val="nil"/>
              <w:bottom w:val="nil"/>
            </w:tcBorders>
            <w:hideMark/>
          </w:tcPr>
          <w:p w14:paraId="0EFD157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0.696</w:t>
            </w:r>
          </w:p>
        </w:tc>
        <w:tc>
          <w:tcPr>
            <w:tcW w:w="0" w:type="auto"/>
            <w:tcBorders>
              <w:top w:val="nil"/>
              <w:bottom w:val="nil"/>
            </w:tcBorders>
            <w:hideMark/>
          </w:tcPr>
          <w:p w14:paraId="1E2E1D2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w:t>
            </w:r>
          </w:p>
        </w:tc>
        <w:tc>
          <w:tcPr>
            <w:tcW w:w="0" w:type="auto"/>
            <w:tcBorders>
              <w:top w:val="nil"/>
              <w:bottom w:val="nil"/>
            </w:tcBorders>
            <w:hideMark/>
          </w:tcPr>
          <w:p w14:paraId="6A21123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4</w:t>
            </w:r>
          </w:p>
        </w:tc>
        <w:tc>
          <w:tcPr>
            <w:tcW w:w="0" w:type="auto"/>
            <w:tcBorders>
              <w:top w:val="nil"/>
              <w:bottom w:val="nil"/>
            </w:tcBorders>
            <w:hideMark/>
          </w:tcPr>
          <w:p w14:paraId="11C5D3C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3</w:t>
            </w:r>
          </w:p>
        </w:tc>
        <w:tc>
          <w:tcPr>
            <w:tcW w:w="0" w:type="auto"/>
            <w:tcBorders>
              <w:top w:val="nil"/>
              <w:bottom w:val="nil"/>
            </w:tcBorders>
            <w:hideMark/>
          </w:tcPr>
          <w:p w14:paraId="6D5956E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0.896</w:t>
            </w:r>
          </w:p>
        </w:tc>
        <w:tc>
          <w:tcPr>
            <w:tcW w:w="0" w:type="auto"/>
            <w:tcBorders>
              <w:top w:val="nil"/>
              <w:bottom w:val="nil"/>
            </w:tcBorders>
            <w:hideMark/>
          </w:tcPr>
          <w:p w14:paraId="1768845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2.149</w:t>
            </w:r>
          </w:p>
        </w:tc>
        <w:tc>
          <w:tcPr>
            <w:tcW w:w="0" w:type="auto"/>
            <w:tcBorders>
              <w:top w:val="nil"/>
              <w:bottom w:val="nil"/>
            </w:tcBorders>
            <w:hideMark/>
          </w:tcPr>
          <w:p w14:paraId="1FA9A09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1.372</w:t>
            </w:r>
          </w:p>
        </w:tc>
      </w:tr>
      <w:tr w:rsidR="00AB238E" w:rsidRPr="00705903" w14:paraId="502D04B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3CF5176B"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Materials</w:t>
            </w:r>
          </w:p>
        </w:tc>
        <w:tc>
          <w:tcPr>
            <w:tcW w:w="799" w:type="dxa"/>
            <w:tcBorders>
              <w:top w:val="nil"/>
              <w:bottom w:val="nil"/>
            </w:tcBorders>
            <w:hideMark/>
          </w:tcPr>
          <w:p w14:paraId="21902C6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0.000</w:t>
            </w:r>
          </w:p>
        </w:tc>
        <w:tc>
          <w:tcPr>
            <w:tcW w:w="0" w:type="auto"/>
            <w:tcBorders>
              <w:top w:val="nil"/>
              <w:bottom w:val="nil"/>
            </w:tcBorders>
            <w:hideMark/>
          </w:tcPr>
          <w:p w14:paraId="33043EA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1.590</w:t>
            </w:r>
          </w:p>
        </w:tc>
        <w:tc>
          <w:tcPr>
            <w:tcW w:w="0" w:type="auto"/>
            <w:tcBorders>
              <w:top w:val="nil"/>
              <w:bottom w:val="nil"/>
            </w:tcBorders>
            <w:hideMark/>
          </w:tcPr>
          <w:p w14:paraId="44E4D20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0.882</w:t>
            </w:r>
          </w:p>
        </w:tc>
        <w:tc>
          <w:tcPr>
            <w:tcW w:w="0" w:type="auto"/>
            <w:tcBorders>
              <w:top w:val="nil"/>
              <w:bottom w:val="nil"/>
            </w:tcBorders>
            <w:hideMark/>
          </w:tcPr>
          <w:p w14:paraId="195A415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w:t>
            </w:r>
          </w:p>
        </w:tc>
        <w:tc>
          <w:tcPr>
            <w:tcW w:w="0" w:type="auto"/>
            <w:tcBorders>
              <w:top w:val="nil"/>
              <w:bottom w:val="nil"/>
            </w:tcBorders>
            <w:hideMark/>
          </w:tcPr>
          <w:p w14:paraId="3688940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w:t>
            </w:r>
          </w:p>
        </w:tc>
        <w:tc>
          <w:tcPr>
            <w:tcW w:w="0" w:type="auto"/>
            <w:tcBorders>
              <w:top w:val="nil"/>
              <w:bottom w:val="nil"/>
            </w:tcBorders>
            <w:hideMark/>
          </w:tcPr>
          <w:p w14:paraId="30A45F1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w:t>
            </w:r>
          </w:p>
        </w:tc>
        <w:tc>
          <w:tcPr>
            <w:tcW w:w="0" w:type="auto"/>
            <w:tcBorders>
              <w:top w:val="nil"/>
              <w:bottom w:val="nil"/>
            </w:tcBorders>
            <w:hideMark/>
          </w:tcPr>
          <w:p w14:paraId="2CE18B5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0.000</w:t>
            </w:r>
          </w:p>
        </w:tc>
        <w:tc>
          <w:tcPr>
            <w:tcW w:w="0" w:type="auto"/>
            <w:tcBorders>
              <w:top w:val="nil"/>
              <w:bottom w:val="nil"/>
            </w:tcBorders>
            <w:hideMark/>
          </w:tcPr>
          <w:p w14:paraId="63AB5E1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2.399</w:t>
            </w:r>
          </w:p>
        </w:tc>
        <w:tc>
          <w:tcPr>
            <w:tcW w:w="0" w:type="auto"/>
            <w:tcBorders>
              <w:top w:val="nil"/>
              <w:bottom w:val="nil"/>
            </w:tcBorders>
            <w:hideMark/>
          </w:tcPr>
          <w:p w14:paraId="4045C89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1.677</w:t>
            </w:r>
          </w:p>
        </w:tc>
      </w:tr>
      <w:tr w:rsidR="00AB238E" w:rsidRPr="00705903" w14:paraId="0A117E33" w14:textId="77777777" w:rsidTr="00A4523E">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6A1B0C10"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Health Care</w:t>
            </w:r>
          </w:p>
        </w:tc>
        <w:tc>
          <w:tcPr>
            <w:tcW w:w="799" w:type="dxa"/>
            <w:tcBorders>
              <w:top w:val="nil"/>
              <w:bottom w:val="nil"/>
            </w:tcBorders>
            <w:hideMark/>
          </w:tcPr>
          <w:p w14:paraId="2AAAC05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0.750</w:t>
            </w:r>
          </w:p>
        </w:tc>
        <w:tc>
          <w:tcPr>
            <w:tcW w:w="0" w:type="auto"/>
            <w:tcBorders>
              <w:top w:val="nil"/>
              <w:bottom w:val="nil"/>
            </w:tcBorders>
            <w:hideMark/>
          </w:tcPr>
          <w:p w14:paraId="73A2A7F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1.111</w:t>
            </w:r>
          </w:p>
        </w:tc>
        <w:tc>
          <w:tcPr>
            <w:tcW w:w="0" w:type="auto"/>
            <w:tcBorders>
              <w:top w:val="nil"/>
              <w:bottom w:val="nil"/>
            </w:tcBorders>
            <w:hideMark/>
          </w:tcPr>
          <w:p w14:paraId="4212BC6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0.827</w:t>
            </w:r>
          </w:p>
        </w:tc>
        <w:tc>
          <w:tcPr>
            <w:tcW w:w="0" w:type="auto"/>
            <w:tcBorders>
              <w:top w:val="nil"/>
              <w:bottom w:val="nil"/>
            </w:tcBorders>
            <w:hideMark/>
          </w:tcPr>
          <w:p w14:paraId="63D3414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w:t>
            </w:r>
          </w:p>
        </w:tc>
        <w:tc>
          <w:tcPr>
            <w:tcW w:w="0" w:type="auto"/>
            <w:tcBorders>
              <w:top w:val="nil"/>
              <w:bottom w:val="nil"/>
            </w:tcBorders>
            <w:hideMark/>
          </w:tcPr>
          <w:p w14:paraId="3A7CADB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4</w:t>
            </w:r>
          </w:p>
        </w:tc>
        <w:tc>
          <w:tcPr>
            <w:tcW w:w="0" w:type="auto"/>
            <w:tcBorders>
              <w:top w:val="nil"/>
              <w:bottom w:val="nil"/>
            </w:tcBorders>
            <w:hideMark/>
          </w:tcPr>
          <w:p w14:paraId="5C212CA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3</w:t>
            </w:r>
          </w:p>
        </w:tc>
        <w:tc>
          <w:tcPr>
            <w:tcW w:w="0" w:type="auto"/>
            <w:tcBorders>
              <w:top w:val="nil"/>
              <w:bottom w:val="nil"/>
            </w:tcBorders>
            <w:hideMark/>
          </w:tcPr>
          <w:p w14:paraId="7FBB077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1.505</w:t>
            </w:r>
          </w:p>
        </w:tc>
        <w:tc>
          <w:tcPr>
            <w:tcW w:w="0" w:type="auto"/>
            <w:tcBorders>
              <w:top w:val="nil"/>
              <w:bottom w:val="nil"/>
            </w:tcBorders>
            <w:hideMark/>
          </w:tcPr>
          <w:p w14:paraId="45194EC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1.921</w:t>
            </w:r>
          </w:p>
        </w:tc>
        <w:tc>
          <w:tcPr>
            <w:tcW w:w="0" w:type="auto"/>
            <w:tcBorders>
              <w:top w:val="nil"/>
              <w:bottom w:val="nil"/>
            </w:tcBorders>
            <w:hideMark/>
          </w:tcPr>
          <w:p w14:paraId="76F0AC5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1.649</w:t>
            </w:r>
          </w:p>
        </w:tc>
      </w:tr>
      <w:tr w:rsidR="00AB238E" w:rsidRPr="00705903" w14:paraId="50E38644"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5C231B4E"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Energy</w:t>
            </w:r>
          </w:p>
        </w:tc>
        <w:tc>
          <w:tcPr>
            <w:tcW w:w="799" w:type="dxa"/>
            <w:tcBorders>
              <w:top w:val="nil"/>
              <w:bottom w:val="nil"/>
            </w:tcBorders>
            <w:hideMark/>
          </w:tcPr>
          <w:p w14:paraId="49DB62B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0.827</w:t>
            </w:r>
          </w:p>
        </w:tc>
        <w:tc>
          <w:tcPr>
            <w:tcW w:w="0" w:type="auto"/>
            <w:tcBorders>
              <w:top w:val="nil"/>
              <w:bottom w:val="nil"/>
            </w:tcBorders>
            <w:hideMark/>
          </w:tcPr>
          <w:p w14:paraId="0065F49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0.496</w:t>
            </w:r>
          </w:p>
        </w:tc>
        <w:tc>
          <w:tcPr>
            <w:tcW w:w="0" w:type="auto"/>
            <w:tcBorders>
              <w:top w:val="nil"/>
              <w:bottom w:val="nil"/>
            </w:tcBorders>
            <w:hideMark/>
          </w:tcPr>
          <w:p w14:paraId="6265525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1.446</w:t>
            </w:r>
          </w:p>
        </w:tc>
        <w:tc>
          <w:tcPr>
            <w:tcW w:w="0" w:type="auto"/>
            <w:tcBorders>
              <w:top w:val="nil"/>
              <w:bottom w:val="nil"/>
            </w:tcBorders>
            <w:hideMark/>
          </w:tcPr>
          <w:p w14:paraId="6413EB3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w:t>
            </w:r>
          </w:p>
        </w:tc>
        <w:tc>
          <w:tcPr>
            <w:tcW w:w="0" w:type="auto"/>
            <w:tcBorders>
              <w:top w:val="nil"/>
              <w:bottom w:val="nil"/>
            </w:tcBorders>
            <w:hideMark/>
          </w:tcPr>
          <w:p w14:paraId="6B341DA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w:t>
            </w:r>
          </w:p>
        </w:tc>
        <w:tc>
          <w:tcPr>
            <w:tcW w:w="0" w:type="auto"/>
            <w:tcBorders>
              <w:top w:val="nil"/>
              <w:bottom w:val="nil"/>
            </w:tcBorders>
            <w:hideMark/>
          </w:tcPr>
          <w:p w14:paraId="4963A7F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6</w:t>
            </w:r>
          </w:p>
        </w:tc>
        <w:tc>
          <w:tcPr>
            <w:tcW w:w="0" w:type="auto"/>
            <w:tcBorders>
              <w:top w:val="nil"/>
              <w:bottom w:val="nil"/>
            </w:tcBorders>
            <w:hideMark/>
          </w:tcPr>
          <w:p w14:paraId="0F2F0C5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1.579</w:t>
            </w:r>
          </w:p>
        </w:tc>
        <w:tc>
          <w:tcPr>
            <w:tcW w:w="0" w:type="auto"/>
            <w:tcBorders>
              <w:top w:val="nil"/>
              <w:bottom w:val="nil"/>
            </w:tcBorders>
            <w:hideMark/>
          </w:tcPr>
          <w:p w14:paraId="1AF9312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0.989</w:t>
            </w:r>
          </w:p>
        </w:tc>
        <w:tc>
          <w:tcPr>
            <w:tcW w:w="0" w:type="auto"/>
            <w:tcBorders>
              <w:top w:val="nil"/>
              <w:bottom w:val="nil"/>
            </w:tcBorders>
            <w:hideMark/>
          </w:tcPr>
          <w:p w14:paraId="64DEC2C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2.406</w:t>
            </w:r>
          </w:p>
        </w:tc>
      </w:tr>
      <w:tr w:rsidR="00AB238E" w:rsidRPr="00705903" w14:paraId="57431550" w14:textId="77777777" w:rsidTr="00A4523E">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43A2B219"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Financials</w:t>
            </w:r>
          </w:p>
        </w:tc>
        <w:tc>
          <w:tcPr>
            <w:tcW w:w="799" w:type="dxa"/>
            <w:tcBorders>
              <w:top w:val="nil"/>
              <w:bottom w:val="nil"/>
            </w:tcBorders>
            <w:hideMark/>
          </w:tcPr>
          <w:p w14:paraId="5397494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0.500</w:t>
            </w:r>
          </w:p>
        </w:tc>
        <w:tc>
          <w:tcPr>
            <w:tcW w:w="0" w:type="auto"/>
            <w:tcBorders>
              <w:top w:val="nil"/>
              <w:bottom w:val="nil"/>
            </w:tcBorders>
            <w:hideMark/>
          </w:tcPr>
          <w:p w14:paraId="6DE37E6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1.685</w:t>
            </w:r>
          </w:p>
        </w:tc>
        <w:tc>
          <w:tcPr>
            <w:tcW w:w="0" w:type="auto"/>
            <w:tcBorders>
              <w:top w:val="nil"/>
              <w:bottom w:val="nil"/>
            </w:tcBorders>
            <w:hideMark/>
          </w:tcPr>
          <w:p w14:paraId="4B757CE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1.379</w:t>
            </w:r>
          </w:p>
        </w:tc>
        <w:tc>
          <w:tcPr>
            <w:tcW w:w="0" w:type="auto"/>
            <w:tcBorders>
              <w:top w:val="nil"/>
              <w:bottom w:val="nil"/>
            </w:tcBorders>
            <w:hideMark/>
          </w:tcPr>
          <w:p w14:paraId="75448B9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w:t>
            </w:r>
          </w:p>
        </w:tc>
        <w:tc>
          <w:tcPr>
            <w:tcW w:w="0" w:type="auto"/>
            <w:tcBorders>
              <w:top w:val="nil"/>
              <w:bottom w:val="nil"/>
            </w:tcBorders>
            <w:hideMark/>
          </w:tcPr>
          <w:p w14:paraId="61AC277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6</w:t>
            </w:r>
          </w:p>
        </w:tc>
        <w:tc>
          <w:tcPr>
            <w:tcW w:w="0" w:type="auto"/>
            <w:tcBorders>
              <w:top w:val="nil"/>
              <w:bottom w:val="nil"/>
            </w:tcBorders>
            <w:hideMark/>
          </w:tcPr>
          <w:p w14:paraId="2473447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5</w:t>
            </w:r>
          </w:p>
        </w:tc>
        <w:tc>
          <w:tcPr>
            <w:tcW w:w="0" w:type="auto"/>
            <w:tcBorders>
              <w:top w:val="nil"/>
              <w:bottom w:val="nil"/>
            </w:tcBorders>
            <w:hideMark/>
          </w:tcPr>
          <w:p w14:paraId="75167E9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1.000</w:t>
            </w:r>
          </w:p>
        </w:tc>
        <w:tc>
          <w:tcPr>
            <w:tcW w:w="0" w:type="auto"/>
            <w:tcBorders>
              <w:top w:val="nil"/>
              <w:bottom w:val="nil"/>
            </w:tcBorders>
            <w:hideMark/>
          </w:tcPr>
          <w:p w14:paraId="7B026BB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2.625</w:t>
            </w:r>
          </w:p>
        </w:tc>
        <w:tc>
          <w:tcPr>
            <w:tcW w:w="0" w:type="auto"/>
            <w:tcBorders>
              <w:top w:val="nil"/>
              <w:bottom w:val="nil"/>
            </w:tcBorders>
            <w:hideMark/>
          </w:tcPr>
          <w:p w14:paraId="26EC6DF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1.975</w:t>
            </w:r>
          </w:p>
        </w:tc>
      </w:tr>
      <w:tr w:rsidR="00AB238E" w:rsidRPr="00705903" w14:paraId="28B7DEA4"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single" w:sz="4" w:space="0" w:color="auto"/>
            </w:tcBorders>
            <w:hideMark/>
          </w:tcPr>
          <w:p w14:paraId="43957893"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Telecommunication Services</w:t>
            </w:r>
          </w:p>
        </w:tc>
        <w:tc>
          <w:tcPr>
            <w:tcW w:w="799" w:type="dxa"/>
            <w:tcBorders>
              <w:top w:val="nil"/>
              <w:bottom w:val="single" w:sz="4" w:space="0" w:color="auto"/>
            </w:tcBorders>
            <w:hideMark/>
          </w:tcPr>
          <w:p w14:paraId="583F896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0.464</w:t>
            </w:r>
          </w:p>
        </w:tc>
        <w:tc>
          <w:tcPr>
            <w:tcW w:w="0" w:type="auto"/>
            <w:tcBorders>
              <w:top w:val="nil"/>
              <w:bottom w:val="single" w:sz="4" w:space="0" w:color="auto"/>
            </w:tcBorders>
            <w:hideMark/>
          </w:tcPr>
          <w:p w14:paraId="1887F54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3.495</w:t>
            </w:r>
          </w:p>
        </w:tc>
        <w:tc>
          <w:tcPr>
            <w:tcW w:w="0" w:type="auto"/>
            <w:tcBorders>
              <w:top w:val="nil"/>
              <w:bottom w:val="single" w:sz="4" w:space="0" w:color="auto"/>
            </w:tcBorders>
            <w:hideMark/>
          </w:tcPr>
          <w:p w14:paraId="32D8DCF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3.706</w:t>
            </w:r>
          </w:p>
        </w:tc>
        <w:tc>
          <w:tcPr>
            <w:tcW w:w="0" w:type="auto"/>
            <w:tcBorders>
              <w:top w:val="nil"/>
              <w:bottom w:val="single" w:sz="4" w:space="0" w:color="auto"/>
            </w:tcBorders>
            <w:hideMark/>
          </w:tcPr>
          <w:p w14:paraId="44A0B59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w:t>
            </w:r>
          </w:p>
        </w:tc>
        <w:tc>
          <w:tcPr>
            <w:tcW w:w="0" w:type="auto"/>
            <w:tcBorders>
              <w:top w:val="nil"/>
              <w:bottom w:val="single" w:sz="4" w:space="0" w:color="auto"/>
            </w:tcBorders>
            <w:hideMark/>
          </w:tcPr>
          <w:p w14:paraId="6463F40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9</w:t>
            </w:r>
          </w:p>
        </w:tc>
        <w:tc>
          <w:tcPr>
            <w:tcW w:w="0" w:type="auto"/>
            <w:tcBorders>
              <w:top w:val="nil"/>
              <w:bottom w:val="single" w:sz="4" w:space="0" w:color="auto"/>
            </w:tcBorders>
            <w:hideMark/>
          </w:tcPr>
          <w:p w14:paraId="69952F3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10</w:t>
            </w:r>
          </w:p>
        </w:tc>
        <w:tc>
          <w:tcPr>
            <w:tcW w:w="0" w:type="auto"/>
            <w:tcBorders>
              <w:top w:val="nil"/>
              <w:bottom w:val="single" w:sz="4" w:space="0" w:color="auto"/>
            </w:tcBorders>
            <w:hideMark/>
          </w:tcPr>
          <w:p w14:paraId="1B4060A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0.896</w:t>
            </w:r>
          </w:p>
        </w:tc>
        <w:tc>
          <w:tcPr>
            <w:tcW w:w="0" w:type="auto"/>
            <w:tcBorders>
              <w:top w:val="nil"/>
              <w:bottom w:val="single" w:sz="4" w:space="0" w:color="auto"/>
            </w:tcBorders>
            <w:hideMark/>
          </w:tcPr>
          <w:p w14:paraId="0FC928E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1.967</w:t>
            </w:r>
          </w:p>
        </w:tc>
        <w:tc>
          <w:tcPr>
            <w:tcW w:w="0" w:type="auto"/>
            <w:tcBorders>
              <w:top w:val="nil"/>
              <w:bottom w:val="single" w:sz="4" w:space="0" w:color="auto"/>
            </w:tcBorders>
            <w:hideMark/>
          </w:tcPr>
          <w:p w14:paraId="333238C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2.397</w:t>
            </w:r>
          </w:p>
        </w:tc>
      </w:tr>
    </w:tbl>
    <w:p w14:paraId="30E4F898" w14:textId="77777777" w:rsidR="00AB238E" w:rsidRPr="00705903" w:rsidRDefault="00AB238E" w:rsidP="0097761F">
      <w:pPr>
        <w:spacing w:line="259" w:lineRule="auto"/>
        <w:ind w:firstLine="0"/>
        <w:jc w:val="both"/>
        <w:rPr>
          <w:sz w:val="20"/>
          <w:szCs w:val="20"/>
        </w:rPr>
      </w:pPr>
    </w:p>
    <w:p w14:paraId="5B21AFD7" w14:textId="77777777" w:rsidR="00AB238E" w:rsidRPr="00705903" w:rsidRDefault="00AB238E" w:rsidP="0097761F">
      <w:pPr>
        <w:spacing w:line="259" w:lineRule="auto"/>
        <w:ind w:firstLine="0"/>
        <w:jc w:val="both"/>
        <w:rPr>
          <w:sz w:val="20"/>
          <w:szCs w:val="20"/>
        </w:rPr>
      </w:pPr>
    </w:p>
    <w:p w14:paraId="3663B607" w14:textId="77777777" w:rsidR="00AB238E" w:rsidRPr="00705903" w:rsidRDefault="00AB238E" w:rsidP="0097761F">
      <w:pPr>
        <w:spacing w:line="259" w:lineRule="auto"/>
        <w:ind w:firstLine="0"/>
        <w:jc w:val="both"/>
        <w:rPr>
          <w:b/>
          <w:bCs/>
          <w:sz w:val="20"/>
          <w:szCs w:val="20"/>
          <w:lang w:val="en-US" w:eastAsia="zh-CN"/>
        </w:rPr>
      </w:pPr>
    </w:p>
    <w:p w14:paraId="2A4B0C1A" w14:textId="77777777" w:rsidR="00AB238E" w:rsidRPr="00705903" w:rsidRDefault="00AB238E" w:rsidP="0097761F">
      <w:pPr>
        <w:pStyle w:val="Heading1"/>
      </w:pPr>
      <w:r w:rsidRPr="00705903">
        <w:br w:type="page"/>
        <w:t>Table 18. Composite Stability of Industry ESG Rankings (2007–2022)</w:t>
      </w:r>
    </w:p>
    <w:p w14:paraId="1C1C07F5" w14:textId="77777777" w:rsidR="00AB238E" w:rsidRPr="00705903" w:rsidRDefault="00AB238E" w:rsidP="0097761F">
      <w:pPr>
        <w:spacing w:line="259" w:lineRule="auto"/>
        <w:ind w:firstLine="0"/>
        <w:jc w:val="both"/>
        <w:rPr>
          <w:sz w:val="20"/>
          <w:szCs w:val="20"/>
          <w:lang w:val="en-US"/>
        </w:rPr>
      </w:pPr>
    </w:p>
    <w:p w14:paraId="7A69F28E"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This table summarizes the overall temporal stability of ESG (Environmental, Social, and Governance) rankings across eleven GICS first-level industries.</w:t>
      </w:r>
      <w:r w:rsidRPr="00705903">
        <w:rPr>
          <w:sz w:val="20"/>
          <w:szCs w:val="20"/>
          <w:lang w:val="en-US" w:eastAsia="zh-CN"/>
        </w:rPr>
        <w:t xml:space="preserve"> </w:t>
      </w:r>
      <w:r w:rsidRPr="00705903">
        <w:rPr>
          <w:sz w:val="20"/>
          <w:szCs w:val="20"/>
          <w:lang w:val="en-US"/>
        </w:rPr>
        <w:t xml:space="preserve">The </w:t>
      </w:r>
      <w:r w:rsidRPr="00705903">
        <w:rPr>
          <w:b/>
          <w:bCs/>
          <w:sz w:val="20"/>
          <w:szCs w:val="20"/>
          <w:lang w:val="en-US"/>
        </w:rPr>
        <w:t>Stability Score</w:t>
      </w:r>
      <w:r w:rsidRPr="00705903">
        <w:rPr>
          <w:sz w:val="20"/>
          <w:szCs w:val="20"/>
          <w:lang w:val="en-US"/>
        </w:rPr>
        <w:t xml:space="preserve"> combines three indicators—variance, rank range, and Shannon entropy—using the weights 0.50, 0.25, and 0.25, respectively, averaged over the three ESG pillars.</w:t>
      </w:r>
      <w:r w:rsidRPr="00705903">
        <w:rPr>
          <w:sz w:val="20"/>
          <w:szCs w:val="20"/>
          <w:lang w:val="en-US"/>
        </w:rPr>
        <w:br/>
        <w:t>A lower Stability Score indicates greater consistency of an industry’s relative ESG ranking over time (i.e., less cross-year volatility).</w:t>
      </w:r>
    </w:p>
    <w:p w14:paraId="4D8B2666" w14:textId="77777777" w:rsidR="00AB238E" w:rsidRPr="00705903" w:rsidRDefault="00AB238E" w:rsidP="0097761F">
      <w:pPr>
        <w:spacing w:line="259" w:lineRule="auto"/>
        <w:ind w:firstLine="0"/>
        <w:jc w:val="both"/>
        <w:rPr>
          <w:sz w:val="20"/>
          <w:szCs w:val="20"/>
          <w:lang w:val="en-US"/>
        </w:rPr>
      </w:pPr>
      <w:r w:rsidRPr="00705903">
        <w:rPr>
          <w:sz w:val="20"/>
          <w:szCs w:val="20"/>
          <w:lang w:val="en-US"/>
        </w:rPr>
        <w:br/>
        <w:t>Industries such as Industrials, Information Technology, and Consumer Discretionary show the most stable ESG performance over 2007–2022, whereas Financials and Energy display higher cross-year variability, reflecting more cyclical ESG evaluations.</w:t>
      </w:r>
    </w:p>
    <w:p w14:paraId="6E4CF7C9" w14:textId="77777777" w:rsidR="00AB238E" w:rsidRPr="00705903" w:rsidRDefault="00AB238E" w:rsidP="0097761F">
      <w:pPr>
        <w:spacing w:line="259" w:lineRule="auto"/>
        <w:ind w:firstLine="0"/>
        <w:jc w:val="both"/>
        <w:rPr>
          <w:sz w:val="20"/>
          <w:szCs w:val="20"/>
          <w:lang w:val="en-US"/>
        </w:rPr>
      </w:pPr>
    </w:p>
    <w:p w14:paraId="19CAC6F8" w14:textId="77777777" w:rsidR="00AB238E" w:rsidRPr="00705903" w:rsidRDefault="00AB238E" w:rsidP="0097761F">
      <w:pPr>
        <w:spacing w:line="259" w:lineRule="auto"/>
        <w:ind w:firstLine="0"/>
        <w:jc w:val="both"/>
        <w:rPr>
          <w:sz w:val="20"/>
          <w:szCs w:val="20"/>
          <w:lang w:val="en-US"/>
        </w:rPr>
      </w:pPr>
    </w:p>
    <w:tbl>
      <w:tblPr>
        <w:tblStyle w:val="PlainTable2"/>
        <w:tblW w:w="0" w:type="auto"/>
        <w:tblLook w:val="04A0" w:firstRow="1" w:lastRow="0" w:firstColumn="1" w:lastColumn="0" w:noHBand="0" w:noVBand="1"/>
      </w:tblPr>
      <w:tblGrid>
        <w:gridCol w:w="639"/>
        <w:gridCol w:w="4293"/>
        <w:gridCol w:w="4294"/>
      </w:tblGrid>
      <w:tr w:rsidR="00AB238E" w:rsidRPr="00705903" w14:paraId="677DD0CE"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FCFC5"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Rank</w:t>
            </w:r>
          </w:p>
        </w:tc>
        <w:tc>
          <w:tcPr>
            <w:tcW w:w="4293" w:type="dxa"/>
            <w:hideMark/>
          </w:tcPr>
          <w:p w14:paraId="12126A7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Industry (GICS L1)</w:t>
            </w:r>
          </w:p>
        </w:tc>
        <w:tc>
          <w:tcPr>
            <w:tcW w:w="4294" w:type="dxa"/>
            <w:hideMark/>
          </w:tcPr>
          <w:p w14:paraId="678B5662"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Stability</w:t>
            </w:r>
            <w:r w:rsidRPr="00705903">
              <w:rPr>
                <w:b w:val="0"/>
                <w:bCs w:val="0"/>
                <w:i/>
                <w:iCs/>
                <w:sz w:val="20"/>
                <w:szCs w:val="20"/>
                <w:lang w:val="en-US" w:eastAsia="zh-CN"/>
              </w:rPr>
              <w:t xml:space="preserve"> </w:t>
            </w:r>
            <w:r w:rsidRPr="00705903">
              <w:rPr>
                <w:b w:val="0"/>
                <w:bCs w:val="0"/>
                <w:i/>
                <w:iCs/>
                <w:sz w:val="20"/>
                <w:szCs w:val="20"/>
                <w:lang w:val="en-US"/>
              </w:rPr>
              <w:t>Score</w:t>
            </w:r>
          </w:p>
        </w:tc>
      </w:tr>
      <w:tr w:rsidR="00AB238E" w:rsidRPr="00705903" w14:paraId="346BC214"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60C05B8E"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1</w:t>
            </w:r>
          </w:p>
        </w:tc>
        <w:tc>
          <w:tcPr>
            <w:tcW w:w="4293" w:type="dxa"/>
            <w:tcBorders>
              <w:bottom w:val="nil"/>
            </w:tcBorders>
            <w:hideMark/>
          </w:tcPr>
          <w:p w14:paraId="4E8545E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Industrials</w:t>
            </w:r>
          </w:p>
        </w:tc>
        <w:tc>
          <w:tcPr>
            <w:tcW w:w="4294" w:type="dxa"/>
            <w:tcBorders>
              <w:bottom w:val="nil"/>
            </w:tcBorders>
            <w:hideMark/>
          </w:tcPr>
          <w:p w14:paraId="69D8922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1.071</w:t>
            </w:r>
          </w:p>
        </w:tc>
      </w:tr>
      <w:tr w:rsidR="00AB238E" w:rsidRPr="00705903" w14:paraId="0F11BF39"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5013FED"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2</w:t>
            </w:r>
          </w:p>
        </w:tc>
        <w:tc>
          <w:tcPr>
            <w:tcW w:w="4293" w:type="dxa"/>
            <w:tcBorders>
              <w:top w:val="nil"/>
              <w:bottom w:val="nil"/>
            </w:tcBorders>
            <w:hideMark/>
          </w:tcPr>
          <w:p w14:paraId="3BFE259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Information Technology</w:t>
            </w:r>
          </w:p>
        </w:tc>
        <w:tc>
          <w:tcPr>
            <w:tcW w:w="4294" w:type="dxa"/>
            <w:tcBorders>
              <w:top w:val="nil"/>
              <w:bottom w:val="nil"/>
            </w:tcBorders>
            <w:hideMark/>
          </w:tcPr>
          <w:p w14:paraId="1FF4D81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1.176</w:t>
            </w:r>
          </w:p>
        </w:tc>
      </w:tr>
      <w:tr w:rsidR="00AB238E" w:rsidRPr="00705903" w14:paraId="1C84674F"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6E1A647"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3</w:t>
            </w:r>
          </w:p>
        </w:tc>
        <w:tc>
          <w:tcPr>
            <w:tcW w:w="4293" w:type="dxa"/>
            <w:tcBorders>
              <w:top w:val="nil"/>
              <w:bottom w:val="nil"/>
            </w:tcBorders>
            <w:hideMark/>
          </w:tcPr>
          <w:p w14:paraId="09B4D0F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Consumer Discretionary</w:t>
            </w:r>
          </w:p>
        </w:tc>
        <w:tc>
          <w:tcPr>
            <w:tcW w:w="4294" w:type="dxa"/>
            <w:tcBorders>
              <w:top w:val="nil"/>
              <w:bottom w:val="nil"/>
            </w:tcBorders>
            <w:hideMark/>
          </w:tcPr>
          <w:p w14:paraId="78C0EE5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1.244</w:t>
            </w:r>
          </w:p>
        </w:tc>
      </w:tr>
      <w:tr w:rsidR="00AB238E" w:rsidRPr="00705903" w14:paraId="09D9D609"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E7C042A"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4</w:t>
            </w:r>
          </w:p>
        </w:tc>
        <w:tc>
          <w:tcPr>
            <w:tcW w:w="4293" w:type="dxa"/>
            <w:tcBorders>
              <w:top w:val="nil"/>
              <w:bottom w:val="nil"/>
            </w:tcBorders>
            <w:hideMark/>
          </w:tcPr>
          <w:p w14:paraId="16B8772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Consumer Staples</w:t>
            </w:r>
          </w:p>
        </w:tc>
        <w:tc>
          <w:tcPr>
            <w:tcW w:w="4294" w:type="dxa"/>
            <w:tcBorders>
              <w:top w:val="nil"/>
              <w:bottom w:val="nil"/>
            </w:tcBorders>
            <w:hideMark/>
          </w:tcPr>
          <w:p w14:paraId="3DC0005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1.244</w:t>
            </w:r>
          </w:p>
        </w:tc>
      </w:tr>
      <w:tr w:rsidR="00AB238E" w:rsidRPr="00705903" w14:paraId="0A8345B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4F4D53D"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5</w:t>
            </w:r>
          </w:p>
        </w:tc>
        <w:tc>
          <w:tcPr>
            <w:tcW w:w="4293" w:type="dxa"/>
            <w:tcBorders>
              <w:top w:val="nil"/>
              <w:bottom w:val="nil"/>
            </w:tcBorders>
            <w:hideMark/>
          </w:tcPr>
          <w:p w14:paraId="3FA540F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Utilities</w:t>
            </w:r>
          </w:p>
        </w:tc>
        <w:tc>
          <w:tcPr>
            <w:tcW w:w="4294" w:type="dxa"/>
            <w:tcBorders>
              <w:top w:val="nil"/>
              <w:bottom w:val="nil"/>
            </w:tcBorders>
            <w:hideMark/>
          </w:tcPr>
          <w:p w14:paraId="41B9A88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1.268</w:t>
            </w:r>
          </w:p>
        </w:tc>
      </w:tr>
      <w:tr w:rsidR="00AB238E" w:rsidRPr="00705903" w14:paraId="4FA8514F"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916754A"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6</w:t>
            </w:r>
          </w:p>
        </w:tc>
        <w:tc>
          <w:tcPr>
            <w:tcW w:w="4293" w:type="dxa"/>
            <w:tcBorders>
              <w:top w:val="nil"/>
              <w:bottom w:val="nil"/>
            </w:tcBorders>
            <w:hideMark/>
          </w:tcPr>
          <w:p w14:paraId="1D9E82B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Real Estate</w:t>
            </w:r>
          </w:p>
        </w:tc>
        <w:tc>
          <w:tcPr>
            <w:tcW w:w="4294" w:type="dxa"/>
            <w:tcBorders>
              <w:top w:val="nil"/>
              <w:bottom w:val="nil"/>
            </w:tcBorders>
            <w:hideMark/>
          </w:tcPr>
          <w:p w14:paraId="650A1A8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1.380</w:t>
            </w:r>
          </w:p>
        </w:tc>
      </w:tr>
      <w:tr w:rsidR="00AB238E" w:rsidRPr="00705903" w14:paraId="7135D65F"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7441A3F"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7</w:t>
            </w:r>
          </w:p>
        </w:tc>
        <w:tc>
          <w:tcPr>
            <w:tcW w:w="4293" w:type="dxa"/>
            <w:tcBorders>
              <w:top w:val="nil"/>
              <w:bottom w:val="nil"/>
            </w:tcBorders>
            <w:hideMark/>
          </w:tcPr>
          <w:p w14:paraId="5AAF8E7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Materials</w:t>
            </w:r>
          </w:p>
        </w:tc>
        <w:tc>
          <w:tcPr>
            <w:tcW w:w="4294" w:type="dxa"/>
            <w:tcBorders>
              <w:top w:val="nil"/>
              <w:bottom w:val="nil"/>
            </w:tcBorders>
            <w:hideMark/>
          </w:tcPr>
          <w:p w14:paraId="1BFA6D0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1.557</w:t>
            </w:r>
          </w:p>
        </w:tc>
      </w:tr>
      <w:tr w:rsidR="00AB238E" w:rsidRPr="00705903" w14:paraId="5E38E100"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96DEE20"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8</w:t>
            </w:r>
          </w:p>
        </w:tc>
        <w:tc>
          <w:tcPr>
            <w:tcW w:w="4293" w:type="dxa"/>
            <w:tcBorders>
              <w:top w:val="nil"/>
              <w:bottom w:val="nil"/>
            </w:tcBorders>
            <w:hideMark/>
          </w:tcPr>
          <w:p w14:paraId="495525F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Health Care</w:t>
            </w:r>
          </w:p>
        </w:tc>
        <w:tc>
          <w:tcPr>
            <w:tcW w:w="4294" w:type="dxa"/>
            <w:tcBorders>
              <w:top w:val="nil"/>
              <w:bottom w:val="nil"/>
            </w:tcBorders>
            <w:hideMark/>
          </w:tcPr>
          <w:p w14:paraId="629DE3C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1.586</w:t>
            </w:r>
          </w:p>
        </w:tc>
      </w:tr>
      <w:tr w:rsidR="00AB238E" w:rsidRPr="00705903" w14:paraId="639F7C7D"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71C9950"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9</w:t>
            </w:r>
          </w:p>
        </w:tc>
        <w:tc>
          <w:tcPr>
            <w:tcW w:w="4293" w:type="dxa"/>
            <w:tcBorders>
              <w:top w:val="nil"/>
              <w:bottom w:val="nil"/>
            </w:tcBorders>
            <w:hideMark/>
          </w:tcPr>
          <w:p w14:paraId="2F32638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Energy</w:t>
            </w:r>
          </w:p>
        </w:tc>
        <w:tc>
          <w:tcPr>
            <w:tcW w:w="4294" w:type="dxa"/>
            <w:tcBorders>
              <w:top w:val="nil"/>
              <w:bottom w:val="nil"/>
            </w:tcBorders>
            <w:hideMark/>
          </w:tcPr>
          <w:p w14:paraId="3B205D1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1.668</w:t>
            </w:r>
          </w:p>
        </w:tc>
      </w:tr>
      <w:tr w:rsidR="00AB238E" w:rsidRPr="00705903" w14:paraId="095D1061"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7877B866"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10</w:t>
            </w:r>
          </w:p>
        </w:tc>
        <w:tc>
          <w:tcPr>
            <w:tcW w:w="4293" w:type="dxa"/>
            <w:tcBorders>
              <w:top w:val="nil"/>
            </w:tcBorders>
            <w:hideMark/>
          </w:tcPr>
          <w:p w14:paraId="23EA1DF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Financials</w:t>
            </w:r>
          </w:p>
        </w:tc>
        <w:tc>
          <w:tcPr>
            <w:tcW w:w="4294" w:type="dxa"/>
            <w:tcBorders>
              <w:top w:val="nil"/>
            </w:tcBorders>
            <w:hideMark/>
          </w:tcPr>
          <w:p w14:paraId="678C386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2.299</w:t>
            </w:r>
          </w:p>
        </w:tc>
      </w:tr>
    </w:tbl>
    <w:p w14:paraId="524A12DB" w14:textId="77777777" w:rsidR="00AB238E" w:rsidRPr="00705903" w:rsidRDefault="00AB238E" w:rsidP="0097761F">
      <w:pPr>
        <w:spacing w:line="259" w:lineRule="auto"/>
        <w:ind w:firstLine="0"/>
        <w:jc w:val="both"/>
        <w:rPr>
          <w:sz w:val="20"/>
          <w:szCs w:val="20"/>
        </w:rPr>
      </w:pPr>
    </w:p>
    <w:p w14:paraId="7EC24F8B" w14:textId="77777777" w:rsidR="00AB238E" w:rsidRPr="00705903" w:rsidRDefault="00AB238E" w:rsidP="0097761F">
      <w:pPr>
        <w:spacing w:line="259" w:lineRule="auto"/>
        <w:ind w:firstLine="0"/>
        <w:jc w:val="both"/>
        <w:rPr>
          <w:i/>
          <w:iCs/>
          <w:sz w:val="20"/>
          <w:szCs w:val="20"/>
          <w:lang w:eastAsia="zh-CN"/>
        </w:rPr>
      </w:pPr>
      <w:r w:rsidRPr="00705903">
        <w:rPr>
          <w:i/>
          <w:iCs/>
          <w:sz w:val="20"/>
          <w:szCs w:val="20"/>
          <w:lang w:eastAsia="zh-CN"/>
        </w:rPr>
        <w:t>(</w:t>
      </w:r>
      <w:r w:rsidRPr="00705903">
        <w:rPr>
          <w:i/>
          <w:iCs/>
          <w:sz w:val="20"/>
          <w:szCs w:val="20"/>
        </w:rPr>
        <w:t>Weights: Var 0.50, Range 0.25, Entropy 0.25</w:t>
      </w:r>
      <w:r w:rsidRPr="00705903">
        <w:rPr>
          <w:i/>
          <w:iCs/>
          <w:sz w:val="20"/>
          <w:szCs w:val="20"/>
          <w:lang w:eastAsia="zh-CN"/>
        </w:rPr>
        <w:t>)</w:t>
      </w:r>
    </w:p>
    <w:p w14:paraId="7F728E97" w14:textId="77777777" w:rsidR="00AB238E" w:rsidRPr="00705903" w:rsidRDefault="00AB238E" w:rsidP="0097761F">
      <w:pPr>
        <w:spacing w:line="259" w:lineRule="auto"/>
        <w:ind w:firstLine="0"/>
        <w:jc w:val="both"/>
        <w:rPr>
          <w:i/>
          <w:iCs/>
          <w:sz w:val="20"/>
          <w:szCs w:val="20"/>
          <w:lang w:eastAsia="zh-CN"/>
        </w:rPr>
      </w:pPr>
    </w:p>
    <w:p w14:paraId="68D523E0" w14:textId="77777777" w:rsidR="00AB238E" w:rsidRPr="00705903" w:rsidRDefault="00AB238E" w:rsidP="0097761F">
      <w:pPr>
        <w:spacing w:line="259" w:lineRule="auto"/>
        <w:ind w:firstLine="0"/>
        <w:jc w:val="both"/>
        <w:rPr>
          <w:sz w:val="20"/>
          <w:szCs w:val="20"/>
          <w:lang w:eastAsia="zh-CN"/>
        </w:rPr>
      </w:pPr>
    </w:p>
    <w:p w14:paraId="53CE2D4D" w14:textId="77777777" w:rsidR="00AB238E" w:rsidRPr="00705903" w:rsidRDefault="00AB238E" w:rsidP="0097761F">
      <w:pPr>
        <w:spacing w:line="259" w:lineRule="auto"/>
        <w:ind w:firstLine="0"/>
        <w:jc w:val="both"/>
        <w:rPr>
          <w:sz w:val="20"/>
          <w:szCs w:val="20"/>
          <w:lang w:eastAsia="zh-CN"/>
        </w:rPr>
      </w:pPr>
    </w:p>
    <w:p w14:paraId="27ACD684" w14:textId="77777777" w:rsidR="00AB238E" w:rsidRPr="00705903" w:rsidRDefault="00AB238E" w:rsidP="0097761F">
      <w:pPr>
        <w:spacing w:line="259" w:lineRule="auto"/>
        <w:ind w:firstLine="0"/>
        <w:jc w:val="both"/>
        <w:rPr>
          <w:sz w:val="20"/>
          <w:szCs w:val="20"/>
          <w:lang w:eastAsia="zh-CN"/>
        </w:rPr>
      </w:pPr>
    </w:p>
    <w:p w14:paraId="2CAE3CE1" w14:textId="77777777" w:rsidR="00AB238E" w:rsidRPr="00705903" w:rsidRDefault="00AB238E" w:rsidP="0097761F">
      <w:pPr>
        <w:spacing w:after="160" w:line="259" w:lineRule="auto"/>
        <w:ind w:firstLine="0"/>
        <w:jc w:val="both"/>
        <w:rPr>
          <w:sz w:val="20"/>
          <w:szCs w:val="20"/>
          <w:lang w:eastAsia="zh-CN"/>
        </w:rPr>
      </w:pPr>
      <w:r w:rsidRPr="00705903">
        <w:rPr>
          <w:sz w:val="20"/>
          <w:szCs w:val="20"/>
          <w:lang w:eastAsia="zh-CN"/>
        </w:rPr>
        <w:br w:type="page"/>
      </w:r>
    </w:p>
    <w:p w14:paraId="33623CAF" w14:textId="77777777" w:rsidR="00AB238E" w:rsidRPr="00705903" w:rsidRDefault="00AB238E" w:rsidP="0097761F">
      <w:pPr>
        <w:pStyle w:val="Heading1"/>
      </w:pPr>
      <w:r w:rsidRPr="00705903">
        <w:t>Table 19. Descriptive Statistics: Firms With vs. Without ESG Ratings</w:t>
      </w:r>
    </w:p>
    <w:p w14:paraId="5ABEE136" w14:textId="77777777" w:rsidR="00AB238E" w:rsidRPr="00705903" w:rsidRDefault="00AB238E" w:rsidP="0097761F">
      <w:pPr>
        <w:spacing w:line="259" w:lineRule="auto"/>
        <w:ind w:firstLine="0"/>
        <w:jc w:val="both"/>
        <w:rPr>
          <w:sz w:val="20"/>
          <w:szCs w:val="20"/>
          <w:lang w:eastAsia="zh-CN"/>
        </w:rPr>
      </w:pPr>
    </w:p>
    <w:p w14:paraId="67D2B413"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This table reports the completeness of key firm‐level variables — market capitalization, price‐to‐book ratio, and daily returns — for firms with and without ESG ratings from the Wind database (2007–2022). “Valid” refers to non-zero and non-missing observations. “Invalid” includes zero or missing values. The results show that financial data are nearly complete for firms with ESG ratings, while almost entirely missing for firms without ratings, implying that ESG coverage bias largely reflects underlying data availability rather than selection by rating agencies.</w:t>
      </w:r>
    </w:p>
    <w:p w14:paraId="1953267B" w14:textId="77777777" w:rsidR="00AB238E" w:rsidRPr="00705903" w:rsidRDefault="00AB238E" w:rsidP="0097761F">
      <w:pPr>
        <w:spacing w:line="259" w:lineRule="auto"/>
        <w:ind w:firstLine="0"/>
        <w:jc w:val="both"/>
        <w:rPr>
          <w:sz w:val="20"/>
          <w:szCs w:val="20"/>
          <w:lang w:eastAsia="zh-CN"/>
        </w:rPr>
      </w:pPr>
    </w:p>
    <w:p w14:paraId="25F7ED8A"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Data are obtained from the Wind Financial Database (February 2025 extraction). Percentages are calculated relative to total firm-year observations within each subgroup. The results indicate that nearly all non-ESG-rated firms lack valid financial data across key variables, whereas ESG-rated firms exhibit high data completeness, supporting the interpretation that ESG coverage bias arises from differences in data disclosure and availability.</w:t>
      </w:r>
    </w:p>
    <w:p w14:paraId="33608B18" w14:textId="77777777" w:rsidR="00AB238E" w:rsidRPr="00705903" w:rsidRDefault="00AB238E" w:rsidP="0097761F">
      <w:pPr>
        <w:spacing w:line="259" w:lineRule="auto"/>
        <w:ind w:firstLine="0"/>
        <w:jc w:val="both"/>
        <w:rPr>
          <w:sz w:val="20"/>
          <w:szCs w:val="20"/>
          <w:lang w:eastAsia="zh-CN"/>
        </w:rPr>
      </w:pPr>
    </w:p>
    <w:tbl>
      <w:tblPr>
        <w:tblStyle w:val="PlainTable2"/>
        <w:tblW w:w="0" w:type="auto"/>
        <w:tblLook w:val="04A0" w:firstRow="1" w:lastRow="0" w:firstColumn="1" w:lastColumn="0" w:noHBand="0" w:noVBand="1"/>
      </w:tblPr>
      <w:tblGrid>
        <w:gridCol w:w="1430"/>
        <w:gridCol w:w="861"/>
        <w:gridCol w:w="1114"/>
        <w:gridCol w:w="1061"/>
        <w:gridCol w:w="904"/>
        <w:gridCol w:w="1114"/>
        <w:gridCol w:w="1150"/>
        <w:gridCol w:w="812"/>
        <w:gridCol w:w="914"/>
      </w:tblGrid>
      <w:tr w:rsidR="00AB238E" w:rsidRPr="00705903" w14:paraId="5357097C"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4E7E5" w14:textId="77777777" w:rsidR="00AB238E" w:rsidRPr="00705903" w:rsidRDefault="00AB238E" w:rsidP="0097761F">
            <w:pPr>
              <w:spacing w:line="259" w:lineRule="auto"/>
              <w:ind w:firstLine="0"/>
              <w:jc w:val="both"/>
              <w:rPr>
                <w:b w:val="0"/>
                <w:bCs w:val="0"/>
                <w:sz w:val="20"/>
                <w:szCs w:val="20"/>
                <w:lang w:val="en-US" w:eastAsia="zh-CN"/>
              </w:rPr>
            </w:pPr>
            <w:r w:rsidRPr="00705903">
              <w:rPr>
                <w:b w:val="0"/>
                <w:bCs w:val="0"/>
                <w:sz w:val="20"/>
                <w:szCs w:val="20"/>
                <w:lang w:val="en-US" w:eastAsia="zh-CN"/>
              </w:rPr>
              <w:t>Variable</w:t>
            </w:r>
          </w:p>
        </w:tc>
        <w:tc>
          <w:tcPr>
            <w:tcW w:w="0" w:type="auto"/>
            <w:hideMark/>
          </w:tcPr>
          <w:p w14:paraId="3200FD4E"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ESG-Rated Firms</w:t>
            </w:r>
          </w:p>
        </w:tc>
        <w:tc>
          <w:tcPr>
            <w:tcW w:w="0" w:type="auto"/>
            <w:hideMark/>
          </w:tcPr>
          <w:p w14:paraId="6B026D4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Valid (Non-Zero, Non-Missing)</w:t>
            </w:r>
          </w:p>
        </w:tc>
        <w:tc>
          <w:tcPr>
            <w:tcW w:w="0" w:type="auto"/>
            <w:hideMark/>
          </w:tcPr>
          <w:p w14:paraId="5726413C"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Invalid (Zero or Missing)</w:t>
            </w:r>
          </w:p>
        </w:tc>
        <w:tc>
          <w:tcPr>
            <w:tcW w:w="0" w:type="auto"/>
            <w:hideMark/>
          </w:tcPr>
          <w:p w14:paraId="71A186EA"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Non-ESG-Rated Firms</w:t>
            </w:r>
          </w:p>
        </w:tc>
        <w:tc>
          <w:tcPr>
            <w:tcW w:w="0" w:type="auto"/>
            <w:hideMark/>
          </w:tcPr>
          <w:p w14:paraId="5CC1C354"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Valid (Non-Zero, Non-Missing)</w:t>
            </w:r>
          </w:p>
        </w:tc>
        <w:tc>
          <w:tcPr>
            <w:tcW w:w="0" w:type="auto"/>
            <w:hideMark/>
          </w:tcPr>
          <w:p w14:paraId="106F6554"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Invalid (Zero or Missing)</w:t>
            </w:r>
          </w:p>
        </w:tc>
        <w:tc>
          <w:tcPr>
            <w:tcW w:w="0" w:type="auto"/>
            <w:hideMark/>
          </w:tcPr>
          <w:p w14:paraId="1C8F0C0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Zero Values</w:t>
            </w:r>
          </w:p>
        </w:tc>
        <w:tc>
          <w:tcPr>
            <w:tcW w:w="0" w:type="auto"/>
            <w:hideMark/>
          </w:tcPr>
          <w:p w14:paraId="36CC3697"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Missing Values</w:t>
            </w:r>
          </w:p>
        </w:tc>
      </w:tr>
      <w:tr w:rsidR="00AB238E" w:rsidRPr="00705903" w14:paraId="09C5CD9A"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3B097"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Market Capitalization</w:t>
            </w:r>
          </w:p>
        </w:tc>
        <w:tc>
          <w:tcPr>
            <w:tcW w:w="0" w:type="auto"/>
            <w:hideMark/>
          </w:tcPr>
          <w:p w14:paraId="076A62D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N = 45,199</w:t>
            </w:r>
          </w:p>
        </w:tc>
        <w:tc>
          <w:tcPr>
            <w:tcW w:w="0" w:type="auto"/>
            <w:hideMark/>
          </w:tcPr>
          <w:p w14:paraId="175E2DE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44,206 (97.8 %)</w:t>
            </w:r>
          </w:p>
        </w:tc>
        <w:tc>
          <w:tcPr>
            <w:tcW w:w="0" w:type="auto"/>
            <w:hideMark/>
          </w:tcPr>
          <w:p w14:paraId="13144E1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993 (2.2 %)</w:t>
            </w:r>
          </w:p>
        </w:tc>
        <w:tc>
          <w:tcPr>
            <w:tcW w:w="0" w:type="auto"/>
            <w:hideMark/>
          </w:tcPr>
          <w:p w14:paraId="0D057BC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N = 36,081</w:t>
            </w:r>
          </w:p>
        </w:tc>
        <w:tc>
          <w:tcPr>
            <w:tcW w:w="0" w:type="auto"/>
            <w:hideMark/>
          </w:tcPr>
          <w:p w14:paraId="266AB24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 (0.0 %)</w:t>
            </w:r>
          </w:p>
        </w:tc>
        <w:tc>
          <w:tcPr>
            <w:tcW w:w="0" w:type="auto"/>
            <w:hideMark/>
          </w:tcPr>
          <w:p w14:paraId="6646029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36,081 (100.0 %)</w:t>
            </w:r>
          </w:p>
        </w:tc>
        <w:tc>
          <w:tcPr>
            <w:tcW w:w="0" w:type="auto"/>
            <w:hideMark/>
          </w:tcPr>
          <w:p w14:paraId="26DF436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36,017</w:t>
            </w:r>
          </w:p>
        </w:tc>
        <w:tc>
          <w:tcPr>
            <w:tcW w:w="0" w:type="auto"/>
            <w:hideMark/>
          </w:tcPr>
          <w:p w14:paraId="5E29EF1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64</w:t>
            </w:r>
          </w:p>
        </w:tc>
      </w:tr>
      <w:tr w:rsidR="00AB238E" w:rsidRPr="00705903" w14:paraId="6D92E8F5" w14:textId="77777777" w:rsidTr="00A4523E">
        <w:tc>
          <w:tcPr>
            <w:cnfStyle w:val="001000000000" w:firstRow="0" w:lastRow="0" w:firstColumn="1" w:lastColumn="0" w:oddVBand="0" w:evenVBand="0" w:oddHBand="0" w:evenHBand="0" w:firstRowFirstColumn="0" w:firstRowLastColumn="0" w:lastRowFirstColumn="0" w:lastRowLastColumn="0"/>
            <w:tcW w:w="0" w:type="auto"/>
            <w:hideMark/>
          </w:tcPr>
          <w:p w14:paraId="046D3FAD"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Price-to-Book Ratio</w:t>
            </w:r>
          </w:p>
        </w:tc>
        <w:tc>
          <w:tcPr>
            <w:tcW w:w="0" w:type="auto"/>
            <w:hideMark/>
          </w:tcPr>
          <w:p w14:paraId="6E30823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N = 45,199</w:t>
            </w:r>
          </w:p>
        </w:tc>
        <w:tc>
          <w:tcPr>
            <w:tcW w:w="0" w:type="auto"/>
            <w:hideMark/>
          </w:tcPr>
          <w:p w14:paraId="55FFBAC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28,798 (63.7 %)</w:t>
            </w:r>
          </w:p>
        </w:tc>
        <w:tc>
          <w:tcPr>
            <w:tcW w:w="0" w:type="auto"/>
            <w:hideMark/>
          </w:tcPr>
          <w:p w14:paraId="4EACBBC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16,401 (36.3 %)</w:t>
            </w:r>
          </w:p>
        </w:tc>
        <w:tc>
          <w:tcPr>
            <w:tcW w:w="0" w:type="auto"/>
            <w:hideMark/>
          </w:tcPr>
          <w:p w14:paraId="53ABD10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N = 36,081</w:t>
            </w:r>
          </w:p>
        </w:tc>
        <w:tc>
          <w:tcPr>
            <w:tcW w:w="0" w:type="auto"/>
            <w:hideMark/>
          </w:tcPr>
          <w:p w14:paraId="017FB5D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12 (0.0 %)</w:t>
            </w:r>
          </w:p>
        </w:tc>
        <w:tc>
          <w:tcPr>
            <w:tcW w:w="0" w:type="auto"/>
            <w:hideMark/>
          </w:tcPr>
          <w:p w14:paraId="1B6EE17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36,069 (100.0 %)</w:t>
            </w:r>
          </w:p>
        </w:tc>
        <w:tc>
          <w:tcPr>
            <w:tcW w:w="0" w:type="auto"/>
            <w:hideMark/>
          </w:tcPr>
          <w:p w14:paraId="07CBE06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1,240</w:t>
            </w:r>
          </w:p>
        </w:tc>
        <w:tc>
          <w:tcPr>
            <w:tcW w:w="0" w:type="auto"/>
            <w:hideMark/>
          </w:tcPr>
          <w:p w14:paraId="336CBCC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34,829</w:t>
            </w:r>
          </w:p>
        </w:tc>
      </w:tr>
      <w:tr w:rsidR="00AB238E" w:rsidRPr="00705903" w14:paraId="3D900D6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FEC36"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Daily Return</w:t>
            </w:r>
          </w:p>
        </w:tc>
        <w:tc>
          <w:tcPr>
            <w:tcW w:w="0" w:type="auto"/>
            <w:hideMark/>
          </w:tcPr>
          <w:p w14:paraId="7015B6B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N = 45,199</w:t>
            </w:r>
          </w:p>
        </w:tc>
        <w:tc>
          <w:tcPr>
            <w:tcW w:w="0" w:type="auto"/>
            <w:hideMark/>
          </w:tcPr>
          <w:p w14:paraId="0C10A32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44,184 (97.8 %)</w:t>
            </w:r>
          </w:p>
        </w:tc>
        <w:tc>
          <w:tcPr>
            <w:tcW w:w="0" w:type="auto"/>
            <w:hideMark/>
          </w:tcPr>
          <w:p w14:paraId="754F695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1,015 (2.2 %)</w:t>
            </w:r>
          </w:p>
        </w:tc>
        <w:tc>
          <w:tcPr>
            <w:tcW w:w="0" w:type="auto"/>
            <w:hideMark/>
          </w:tcPr>
          <w:p w14:paraId="02889FC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N = 36,081</w:t>
            </w:r>
          </w:p>
        </w:tc>
        <w:tc>
          <w:tcPr>
            <w:tcW w:w="0" w:type="auto"/>
            <w:hideMark/>
          </w:tcPr>
          <w:p w14:paraId="4E6623E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 (0.0 %)</w:t>
            </w:r>
          </w:p>
        </w:tc>
        <w:tc>
          <w:tcPr>
            <w:tcW w:w="0" w:type="auto"/>
            <w:hideMark/>
          </w:tcPr>
          <w:p w14:paraId="3F7C3ED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36,081 (100.0 %)</w:t>
            </w:r>
          </w:p>
        </w:tc>
        <w:tc>
          <w:tcPr>
            <w:tcW w:w="0" w:type="auto"/>
            <w:hideMark/>
          </w:tcPr>
          <w:p w14:paraId="1C84B55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35,921</w:t>
            </w:r>
          </w:p>
        </w:tc>
        <w:tc>
          <w:tcPr>
            <w:tcW w:w="0" w:type="auto"/>
            <w:hideMark/>
          </w:tcPr>
          <w:p w14:paraId="2A2DE3F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160</w:t>
            </w:r>
          </w:p>
        </w:tc>
      </w:tr>
    </w:tbl>
    <w:p w14:paraId="5A5F97AA" w14:textId="77777777" w:rsidR="00AB238E" w:rsidRPr="00705903" w:rsidRDefault="00AB238E" w:rsidP="0097761F">
      <w:pPr>
        <w:spacing w:line="259" w:lineRule="auto"/>
        <w:ind w:firstLine="0"/>
        <w:jc w:val="both"/>
        <w:rPr>
          <w:sz w:val="20"/>
          <w:szCs w:val="20"/>
          <w:lang w:eastAsia="zh-CN"/>
        </w:rPr>
      </w:pPr>
    </w:p>
    <w:p w14:paraId="204A2DC6" w14:textId="77777777" w:rsidR="00AB238E" w:rsidRPr="00705903" w:rsidRDefault="00AB238E" w:rsidP="0097761F">
      <w:pPr>
        <w:spacing w:line="259" w:lineRule="auto"/>
        <w:ind w:firstLine="0"/>
        <w:jc w:val="both"/>
        <w:rPr>
          <w:sz w:val="20"/>
          <w:szCs w:val="20"/>
          <w:lang w:eastAsia="zh-CN"/>
        </w:rPr>
      </w:pPr>
    </w:p>
    <w:p w14:paraId="58CAD6AD" w14:textId="77777777" w:rsidR="00AB238E" w:rsidRPr="00705903" w:rsidRDefault="00AB238E" w:rsidP="0097761F">
      <w:pPr>
        <w:spacing w:line="259" w:lineRule="auto"/>
        <w:ind w:firstLine="0"/>
        <w:jc w:val="both"/>
        <w:rPr>
          <w:sz w:val="20"/>
          <w:szCs w:val="20"/>
          <w:lang w:eastAsia="zh-CN"/>
        </w:rPr>
      </w:pPr>
    </w:p>
    <w:p w14:paraId="789A8B34" w14:textId="77777777" w:rsidR="00AB238E" w:rsidRPr="00705903" w:rsidRDefault="00AB238E" w:rsidP="0097761F">
      <w:pPr>
        <w:spacing w:line="259" w:lineRule="auto"/>
        <w:ind w:firstLine="0"/>
        <w:jc w:val="both"/>
        <w:rPr>
          <w:sz w:val="20"/>
          <w:szCs w:val="20"/>
          <w:lang w:eastAsia="zh-CN"/>
        </w:rPr>
      </w:pPr>
    </w:p>
    <w:p w14:paraId="5BDB3A5B" w14:textId="77777777" w:rsidR="00AB238E" w:rsidRPr="00705903" w:rsidRDefault="00AB238E" w:rsidP="0097761F">
      <w:pPr>
        <w:spacing w:after="160" w:line="259" w:lineRule="auto"/>
        <w:ind w:firstLine="0"/>
        <w:jc w:val="both"/>
        <w:rPr>
          <w:sz w:val="20"/>
          <w:szCs w:val="20"/>
          <w:lang w:eastAsia="zh-CN"/>
        </w:rPr>
      </w:pPr>
      <w:r w:rsidRPr="00705903">
        <w:rPr>
          <w:sz w:val="20"/>
          <w:szCs w:val="20"/>
          <w:lang w:eastAsia="zh-CN"/>
        </w:rPr>
        <w:br w:type="page"/>
      </w:r>
    </w:p>
    <w:p w14:paraId="045AA7A1" w14:textId="77777777" w:rsidR="00AB238E" w:rsidRPr="00705903" w:rsidRDefault="00AB238E" w:rsidP="0097761F">
      <w:pPr>
        <w:pStyle w:val="Heading1"/>
      </w:pPr>
      <w:r w:rsidRPr="00705903">
        <w:t>Table 20. Portfolio Tests on ESG Deciles: Average and High–Low Returns (2007–2022)</w:t>
      </w:r>
    </w:p>
    <w:p w14:paraId="24DD748D" w14:textId="77777777" w:rsidR="00AB238E" w:rsidRPr="00705903" w:rsidRDefault="00AB238E" w:rsidP="0097761F">
      <w:pPr>
        <w:spacing w:line="259" w:lineRule="auto"/>
        <w:ind w:firstLine="0"/>
        <w:jc w:val="both"/>
        <w:rPr>
          <w:sz w:val="20"/>
          <w:szCs w:val="20"/>
          <w:lang w:eastAsia="zh-CN"/>
        </w:rPr>
      </w:pPr>
    </w:p>
    <w:p w14:paraId="5ECD0D61"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t>This table presents ESG-based portfolio tests that examine whether firms with higher ESG scores deliver different average returns than those with lower ESG scores. In each specification, firms are sorted annually into deciles (or quintiles) based on their ESG scores, and portfolio returns are computed accordingly. In Panel C, both annual compounded and daily returns are computed using value-weighted portfolios.</w:t>
      </w:r>
    </w:p>
    <w:p w14:paraId="7B871900" w14:textId="77777777" w:rsidR="00AB238E" w:rsidRPr="00705903" w:rsidRDefault="00AB238E" w:rsidP="0097761F">
      <w:pPr>
        <w:spacing w:line="259" w:lineRule="auto"/>
        <w:ind w:firstLine="0"/>
        <w:jc w:val="both"/>
        <w:rPr>
          <w:sz w:val="20"/>
          <w:szCs w:val="20"/>
          <w:lang w:val="en-US" w:eastAsia="zh-CN"/>
        </w:rPr>
      </w:pPr>
    </w:p>
    <w:p w14:paraId="08D7223E"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t xml:space="preserve">Panel A shows that high-ESG firms earn significantly lower annual returns than low-ESG firms at the 10% level, suggesting a potential “ESG premium” (investors accept lower returns for sustainability). Panels B and C provide </w:t>
      </w:r>
      <w:proofErr w:type="gramStart"/>
      <w:r w:rsidRPr="00705903">
        <w:rPr>
          <w:sz w:val="20"/>
          <w:szCs w:val="20"/>
          <w:lang w:val="en-US" w:eastAsia="zh-CN"/>
        </w:rPr>
        <w:t>robustness</w:t>
      </w:r>
      <w:proofErr w:type="gramEnd"/>
      <w:r w:rsidRPr="00705903">
        <w:rPr>
          <w:sz w:val="20"/>
          <w:szCs w:val="20"/>
          <w:lang w:val="en-US" w:eastAsia="zh-CN"/>
        </w:rPr>
        <w:t xml:space="preserve"> checks using fewer groups and market-value weighting. While the equal-weighted quintile test (Panel B) shows no significance, the value-weighted daily test (Panel C) yields marginal significance at the 10% level, implying that ESG underperformance is more pronounced in large-cap stocks.</w:t>
      </w:r>
    </w:p>
    <w:p w14:paraId="40496723" w14:textId="77777777" w:rsidR="00AB238E" w:rsidRPr="00705903" w:rsidRDefault="00AB238E" w:rsidP="0097761F">
      <w:pPr>
        <w:spacing w:line="259" w:lineRule="auto"/>
        <w:ind w:firstLine="0"/>
        <w:jc w:val="both"/>
        <w:rPr>
          <w:sz w:val="20"/>
          <w:szCs w:val="20"/>
          <w:lang w:val="en-US" w:eastAsia="zh-CN"/>
        </w:rPr>
      </w:pPr>
    </w:p>
    <w:p w14:paraId="5B066F8C" w14:textId="77777777" w:rsidR="00AB238E" w:rsidRPr="00705903" w:rsidRDefault="00AB238E" w:rsidP="0097761F">
      <w:pPr>
        <w:spacing w:line="259" w:lineRule="auto"/>
        <w:ind w:firstLine="0"/>
        <w:jc w:val="both"/>
        <w:rPr>
          <w:sz w:val="20"/>
          <w:szCs w:val="20"/>
          <w:lang w:eastAsia="zh-CN"/>
        </w:rPr>
      </w:pPr>
    </w:p>
    <w:tbl>
      <w:tblPr>
        <w:tblStyle w:val="PlainTable2"/>
        <w:tblW w:w="0" w:type="auto"/>
        <w:tblLook w:val="04A0" w:firstRow="1" w:lastRow="0" w:firstColumn="1" w:lastColumn="0" w:noHBand="0" w:noVBand="1"/>
      </w:tblPr>
      <w:tblGrid>
        <w:gridCol w:w="1038"/>
        <w:gridCol w:w="2371"/>
        <w:gridCol w:w="1334"/>
        <w:gridCol w:w="1335"/>
        <w:gridCol w:w="1335"/>
        <w:gridCol w:w="1947"/>
      </w:tblGrid>
      <w:tr w:rsidR="00AB238E" w:rsidRPr="00705903" w14:paraId="0FB86F97"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F232CA" w14:textId="77777777" w:rsidR="00AB238E" w:rsidRPr="00705903" w:rsidRDefault="00AB238E" w:rsidP="0097761F">
            <w:pPr>
              <w:spacing w:line="259" w:lineRule="auto"/>
              <w:ind w:firstLine="0"/>
              <w:jc w:val="both"/>
              <w:rPr>
                <w:b w:val="0"/>
                <w:bCs w:val="0"/>
                <w:sz w:val="20"/>
                <w:szCs w:val="20"/>
                <w:lang w:val="en-US" w:eastAsia="zh-CN"/>
              </w:rPr>
            </w:pPr>
            <w:r w:rsidRPr="00705903">
              <w:rPr>
                <w:b w:val="0"/>
                <w:bCs w:val="0"/>
                <w:sz w:val="20"/>
                <w:szCs w:val="20"/>
                <w:lang w:val="en-US" w:eastAsia="zh-CN"/>
              </w:rPr>
              <w:t>Panel</w:t>
            </w:r>
          </w:p>
        </w:tc>
        <w:tc>
          <w:tcPr>
            <w:tcW w:w="2371" w:type="dxa"/>
            <w:vAlign w:val="center"/>
            <w:hideMark/>
          </w:tcPr>
          <w:p w14:paraId="06933C90"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Specification</w:t>
            </w:r>
          </w:p>
        </w:tc>
        <w:tc>
          <w:tcPr>
            <w:tcW w:w="1334" w:type="dxa"/>
            <w:vAlign w:val="center"/>
            <w:hideMark/>
          </w:tcPr>
          <w:p w14:paraId="5987173C"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Weighting</w:t>
            </w:r>
          </w:p>
        </w:tc>
        <w:tc>
          <w:tcPr>
            <w:tcW w:w="1335" w:type="dxa"/>
            <w:vAlign w:val="center"/>
            <w:hideMark/>
          </w:tcPr>
          <w:p w14:paraId="2E93381B"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Frequency</w:t>
            </w:r>
          </w:p>
        </w:tc>
        <w:tc>
          <w:tcPr>
            <w:tcW w:w="1335" w:type="dxa"/>
            <w:vAlign w:val="center"/>
            <w:hideMark/>
          </w:tcPr>
          <w:p w14:paraId="60DC3F72"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Significance Level</w:t>
            </w:r>
          </w:p>
        </w:tc>
        <w:tc>
          <w:tcPr>
            <w:tcW w:w="1947" w:type="dxa"/>
            <w:vAlign w:val="center"/>
            <w:hideMark/>
          </w:tcPr>
          <w:p w14:paraId="7C7AD7DF"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Result Summary</w:t>
            </w:r>
          </w:p>
        </w:tc>
      </w:tr>
      <w:tr w:rsidR="00AB238E" w:rsidRPr="00705903" w14:paraId="6E97CA2A" w14:textId="77777777" w:rsidTr="00A4523E">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hideMark/>
          </w:tcPr>
          <w:p w14:paraId="319DA4C9"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A. 10 Deciles (Equal-Weighted)</w:t>
            </w:r>
          </w:p>
        </w:tc>
        <w:tc>
          <w:tcPr>
            <w:tcW w:w="2371" w:type="dxa"/>
            <w:tcBorders>
              <w:bottom w:val="nil"/>
            </w:tcBorders>
            <w:vAlign w:val="center"/>
            <w:hideMark/>
          </w:tcPr>
          <w:p w14:paraId="07C77DF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Firms are sorted annually into 10 deciles by ESG scores (Decile 1 = highest ESG). Portfolio returns are averaged annually.</w:t>
            </w:r>
          </w:p>
        </w:tc>
        <w:tc>
          <w:tcPr>
            <w:tcW w:w="1334" w:type="dxa"/>
            <w:tcBorders>
              <w:bottom w:val="nil"/>
            </w:tcBorders>
            <w:vAlign w:val="center"/>
            <w:hideMark/>
          </w:tcPr>
          <w:p w14:paraId="0B379F5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Equal-weighted</w:t>
            </w:r>
          </w:p>
        </w:tc>
        <w:tc>
          <w:tcPr>
            <w:tcW w:w="1335" w:type="dxa"/>
            <w:tcBorders>
              <w:bottom w:val="nil"/>
            </w:tcBorders>
            <w:vAlign w:val="center"/>
            <w:hideMark/>
          </w:tcPr>
          <w:p w14:paraId="6FE8415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Annual</w:t>
            </w:r>
          </w:p>
        </w:tc>
        <w:tc>
          <w:tcPr>
            <w:tcW w:w="1335" w:type="dxa"/>
            <w:tcBorders>
              <w:bottom w:val="nil"/>
            </w:tcBorders>
            <w:vAlign w:val="center"/>
            <w:hideMark/>
          </w:tcPr>
          <w:p w14:paraId="3C20838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10%</w:t>
            </w:r>
          </w:p>
        </w:tc>
        <w:tc>
          <w:tcPr>
            <w:tcW w:w="1947" w:type="dxa"/>
            <w:tcBorders>
              <w:bottom w:val="nil"/>
            </w:tcBorders>
            <w:vAlign w:val="center"/>
            <w:hideMark/>
          </w:tcPr>
          <w:p w14:paraId="466367F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ESG_HL mean = −3.01, </w:t>
            </w:r>
            <w:r w:rsidRPr="00705903">
              <w:rPr>
                <w:i/>
                <w:iCs/>
                <w:sz w:val="20"/>
                <w:szCs w:val="20"/>
                <w:lang w:val="en-US" w:eastAsia="zh-CN"/>
              </w:rPr>
              <w:t>t</w:t>
            </w:r>
            <w:r w:rsidRPr="00705903">
              <w:rPr>
                <w:sz w:val="20"/>
                <w:szCs w:val="20"/>
                <w:lang w:val="en-US" w:eastAsia="zh-CN"/>
              </w:rPr>
              <w:t xml:space="preserve"> = −2.99, </w:t>
            </w:r>
            <w:r w:rsidRPr="00705903">
              <w:rPr>
                <w:i/>
                <w:iCs/>
                <w:sz w:val="20"/>
                <w:szCs w:val="20"/>
                <w:lang w:val="en-US" w:eastAsia="zh-CN"/>
              </w:rPr>
              <w:t>p</w:t>
            </w:r>
            <w:r w:rsidRPr="00705903">
              <w:rPr>
                <w:sz w:val="20"/>
                <w:szCs w:val="20"/>
                <w:lang w:val="en-US" w:eastAsia="zh-CN"/>
              </w:rPr>
              <w:t xml:space="preserve"> &lt; 0.01 → significant (negative premium).</w:t>
            </w:r>
          </w:p>
        </w:tc>
      </w:tr>
      <w:tr w:rsidR="00AB238E" w:rsidRPr="00705903" w14:paraId="39ECE904" w14:textId="77777777" w:rsidTr="00A4523E">
        <w:trPr>
          <w:trHeight w:val="144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503394E2"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B. 5 Deciles (Equal-Weighted)</w:t>
            </w:r>
          </w:p>
        </w:tc>
        <w:tc>
          <w:tcPr>
            <w:tcW w:w="2371" w:type="dxa"/>
            <w:tcBorders>
              <w:top w:val="nil"/>
              <w:bottom w:val="nil"/>
            </w:tcBorders>
            <w:vAlign w:val="center"/>
            <w:hideMark/>
          </w:tcPr>
          <w:p w14:paraId="65E3840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Firms are re-sorted into 5 deciles. Annual equal-weighted returns computed.</w:t>
            </w:r>
          </w:p>
        </w:tc>
        <w:tc>
          <w:tcPr>
            <w:tcW w:w="1334" w:type="dxa"/>
            <w:tcBorders>
              <w:top w:val="nil"/>
              <w:bottom w:val="nil"/>
            </w:tcBorders>
            <w:vAlign w:val="center"/>
            <w:hideMark/>
          </w:tcPr>
          <w:p w14:paraId="644D104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Equal-weighted</w:t>
            </w:r>
          </w:p>
        </w:tc>
        <w:tc>
          <w:tcPr>
            <w:tcW w:w="1335" w:type="dxa"/>
            <w:tcBorders>
              <w:top w:val="nil"/>
              <w:bottom w:val="nil"/>
            </w:tcBorders>
            <w:vAlign w:val="center"/>
            <w:hideMark/>
          </w:tcPr>
          <w:p w14:paraId="7B75764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Annual</w:t>
            </w:r>
          </w:p>
        </w:tc>
        <w:tc>
          <w:tcPr>
            <w:tcW w:w="1335" w:type="dxa"/>
            <w:tcBorders>
              <w:top w:val="nil"/>
              <w:bottom w:val="nil"/>
            </w:tcBorders>
            <w:vAlign w:val="center"/>
            <w:hideMark/>
          </w:tcPr>
          <w:p w14:paraId="6447C53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5%</w:t>
            </w:r>
          </w:p>
        </w:tc>
        <w:tc>
          <w:tcPr>
            <w:tcW w:w="1947" w:type="dxa"/>
            <w:tcBorders>
              <w:top w:val="nil"/>
              <w:bottom w:val="nil"/>
            </w:tcBorders>
            <w:vAlign w:val="center"/>
            <w:hideMark/>
          </w:tcPr>
          <w:p w14:paraId="3065514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ESG_HL mean = −3.19, </w:t>
            </w:r>
            <w:r w:rsidRPr="00705903">
              <w:rPr>
                <w:i/>
                <w:iCs/>
                <w:sz w:val="20"/>
                <w:szCs w:val="20"/>
                <w:lang w:val="en-US" w:eastAsia="zh-CN"/>
              </w:rPr>
              <w:t>t</w:t>
            </w:r>
            <w:r w:rsidRPr="00705903">
              <w:rPr>
                <w:sz w:val="20"/>
                <w:szCs w:val="20"/>
                <w:lang w:val="en-US" w:eastAsia="zh-CN"/>
              </w:rPr>
              <w:t xml:space="preserve"> = −2.08, </w:t>
            </w:r>
            <w:r w:rsidRPr="00705903">
              <w:rPr>
                <w:i/>
                <w:iCs/>
                <w:sz w:val="20"/>
                <w:szCs w:val="20"/>
                <w:lang w:val="en-US" w:eastAsia="zh-CN"/>
              </w:rPr>
              <w:t>p</w:t>
            </w:r>
            <w:r w:rsidRPr="00705903">
              <w:rPr>
                <w:sz w:val="20"/>
                <w:szCs w:val="20"/>
                <w:lang w:val="en-US" w:eastAsia="zh-CN"/>
              </w:rPr>
              <w:t xml:space="preserve"> &lt; 0.1 → not significant.</w:t>
            </w:r>
          </w:p>
        </w:tc>
      </w:tr>
      <w:tr w:rsidR="00AB238E" w:rsidRPr="00705903" w14:paraId="7821808F" w14:textId="77777777" w:rsidTr="00A4523E">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hideMark/>
          </w:tcPr>
          <w:p w14:paraId="50B40376"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C. 5 Deciles (Value-Weighted)</w:t>
            </w:r>
          </w:p>
        </w:tc>
        <w:tc>
          <w:tcPr>
            <w:tcW w:w="2371" w:type="dxa"/>
            <w:tcBorders>
              <w:top w:val="nil"/>
            </w:tcBorders>
            <w:vAlign w:val="center"/>
            <w:hideMark/>
          </w:tcPr>
          <w:p w14:paraId="24F5AAD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Firms are grouped into 5 </w:t>
            </w:r>
            <w:proofErr w:type="gramStart"/>
            <w:r w:rsidRPr="00705903">
              <w:rPr>
                <w:sz w:val="20"/>
                <w:szCs w:val="20"/>
                <w:lang w:val="en-US" w:eastAsia="zh-CN"/>
              </w:rPr>
              <w:t>deciles</w:t>
            </w:r>
            <w:proofErr w:type="gramEnd"/>
            <w:r w:rsidRPr="00705903">
              <w:rPr>
                <w:sz w:val="20"/>
                <w:szCs w:val="20"/>
                <w:lang w:val="en-US" w:eastAsia="zh-CN"/>
              </w:rPr>
              <w:t xml:space="preserve"> by ESG, weighted by market capitalization. Both daily and annual compounded returns are computed.</w:t>
            </w:r>
          </w:p>
        </w:tc>
        <w:tc>
          <w:tcPr>
            <w:tcW w:w="1334" w:type="dxa"/>
            <w:tcBorders>
              <w:top w:val="nil"/>
            </w:tcBorders>
            <w:vAlign w:val="center"/>
            <w:hideMark/>
          </w:tcPr>
          <w:p w14:paraId="7FA9012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Value-weighted</w:t>
            </w:r>
          </w:p>
        </w:tc>
        <w:tc>
          <w:tcPr>
            <w:tcW w:w="1335" w:type="dxa"/>
            <w:tcBorders>
              <w:top w:val="nil"/>
            </w:tcBorders>
            <w:vAlign w:val="center"/>
            <w:hideMark/>
          </w:tcPr>
          <w:p w14:paraId="119E34B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Daily &amp; Annual</w:t>
            </w:r>
          </w:p>
        </w:tc>
        <w:tc>
          <w:tcPr>
            <w:tcW w:w="1335" w:type="dxa"/>
            <w:tcBorders>
              <w:top w:val="nil"/>
            </w:tcBorders>
            <w:vAlign w:val="center"/>
            <w:hideMark/>
          </w:tcPr>
          <w:p w14:paraId="7D58707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10%</w:t>
            </w:r>
          </w:p>
        </w:tc>
        <w:tc>
          <w:tcPr>
            <w:tcW w:w="1947" w:type="dxa"/>
            <w:tcBorders>
              <w:top w:val="nil"/>
            </w:tcBorders>
            <w:vAlign w:val="center"/>
            <w:hideMark/>
          </w:tcPr>
          <w:p w14:paraId="44E09E3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 xml:space="preserve">Annual HL: </w:t>
            </w:r>
            <w:r w:rsidRPr="00705903">
              <w:rPr>
                <w:i/>
                <w:iCs/>
                <w:sz w:val="20"/>
                <w:szCs w:val="20"/>
                <w:lang w:val="en-US" w:eastAsia="zh-CN"/>
              </w:rPr>
              <w:t>t</w:t>
            </w:r>
            <w:r w:rsidRPr="00705903">
              <w:rPr>
                <w:sz w:val="20"/>
                <w:szCs w:val="20"/>
                <w:lang w:val="en-US" w:eastAsia="zh-CN"/>
              </w:rPr>
              <w:t xml:space="preserve"> = −1.40, </w:t>
            </w:r>
            <w:r w:rsidRPr="00705903">
              <w:rPr>
                <w:i/>
                <w:iCs/>
                <w:sz w:val="20"/>
                <w:szCs w:val="20"/>
                <w:lang w:val="en-US" w:eastAsia="zh-CN"/>
              </w:rPr>
              <w:t>p</w:t>
            </w:r>
            <w:r w:rsidRPr="00705903">
              <w:rPr>
                <w:sz w:val="20"/>
                <w:szCs w:val="20"/>
                <w:lang w:val="en-US" w:eastAsia="zh-CN"/>
              </w:rPr>
              <w:t xml:space="preserve"> = 0.182 (ns); Daily HL: </w:t>
            </w:r>
            <w:r w:rsidRPr="00705903">
              <w:rPr>
                <w:i/>
                <w:iCs/>
                <w:sz w:val="20"/>
                <w:szCs w:val="20"/>
                <w:lang w:val="en-US" w:eastAsia="zh-CN"/>
              </w:rPr>
              <w:t>t</w:t>
            </w:r>
            <w:r w:rsidRPr="00705903">
              <w:rPr>
                <w:sz w:val="20"/>
                <w:szCs w:val="20"/>
                <w:lang w:val="en-US" w:eastAsia="zh-CN"/>
              </w:rPr>
              <w:t xml:space="preserve"> = −1.66, </w:t>
            </w:r>
            <w:r w:rsidRPr="00705903">
              <w:rPr>
                <w:i/>
                <w:iCs/>
                <w:sz w:val="20"/>
                <w:szCs w:val="20"/>
                <w:lang w:val="en-US" w:eastAsia="zh-CN"/>
              </w:rPr>
              <w:t>p</w:t>
            </w:r>
            <w:r w:rsidRPr="00705903">
              <w:rPr>
                <w:sz w:val="20"/>
                <w:szCs w:val="20"/>
                <w:lang w:val="en-US" w:eastAsia="zh-CN"/>
              </w:rPr>
              <w:t xml:space="preserve"> = 0.096 → significant at 10%.</w:t>
            </w:r>
          </w:p>
        </w:tc>
      </w:tr>
    </w:tbl>
    <w:p w14:paraId="384DE815" w14:textId="77777777" w:rsidR="00AB238E" w:rsidRPr="00705903" w:rsidRDefault="00AB238E" w:rsidP="0097761F">
      <w:pPr>
        <w:spacing w:line="259" w:lineRule="auto"/>
        <w:ind w:firstLine="0"/>
        <w:jc w:val="both"/>
        <w:rPr>
          <w:sz w:val="20"/>
          <w:szCs w:val="20"/>
          <w:lang w:val="en-US" w:eastAsia="zh-CN"/>
        </w:rPr>
      </w:pPr>
    </w:p>
    <w:p w14:paraId="1FCD4A78" w14:textId="77777777" w:rsidR="00AB238E" w:rsidRPr="00705903" w:rsidRDefault="00AB238E" w:rsidP="0097761F">
      <w:pPr>
        <w:spacing w:line="259" w:lineRule="auto"/>
        <w:ind w:firstLine="0"/>
        <w:jc w:val="both"/>
        <w:rPr>
          <w:sz w:val="20"/>
          <w:szCs w:val="20"/>
          <w:lang w:val="en-US" w:eastAsia="zh-CN"/>
        </w:rPr>
      </w:pPr>
      <w:r w:rsidRPr="00705903">
        <w:rPr>
          <w:b/>
          <w:bCs/>
          <w:sz w:val="20"/>
          <w:szCs w:val="20"/>
          <w:lang w:eastAsia="zh-CN"/>
        </w:rPr>
        <w:t xml:space="preserve">Notes. </w:t>
      </w:r>
      <w:r w:rsidRPr="00705903">
        <w:rPr>
          <w:sz w:val="20"/>
          <w:szCs w:val="20"/>
          <w:lang w:eastAsia="zh-CN"/>
        </w:rPr>
        <w:t xml:space="preserve">This table summarizes portfolio-level tests on ESG-sorted portfolios. </w:t>
      </w:r>
      <w:r w:rsidRPr="00705903">
        <w:rPr>
          <w:i/>
          <w:iCs/>
          <w:sz w:val="20"/>
          <w:szCs w:val="20"/>
          <w:lang w:eastAsia="zh-CN"/>
        </w:rPr>
        <w:t>ESG_HL</w:t>
      </w:r>
      <w:r w:rsidRPr="00705903">
        <w:rPr>
          <w:sz w:val="20"/>
          <w:szCs w:val="20"/>
          <w:lang w:eastAsia="zh-CN"/>
        </w:rPr>
        <w:t xml:space="preserve"> denotes the return difference between the highest-ESG (Decile 1) and lowest-ESG (Decile 10 or 5) portfolios.</w:t>
      </w:r>
    </w:p>
    <w:p w14:paraId="21AE9318" w14:textId="77777777" w:rsidR="00AB238E" w:rsidRPr="00705903" w:rsidRDefault="00AB238E" w:rsidP="0097761F">
      <w:pPr>
        <w:spacing w:line="259" w:lineRule="auto"/>
        <w:ind w:firstLine="0"/>
        <w:jc w:val="both"/>
        <w:rPr>
          <w:i/>
          <w:iCs/>
          <w:sz w:val="20"/>
          <w:szCs w:val="20"/>
        </w:rPr>
      </w:pPr>
      <w:r w:rsidRPr="00705903">
        <w:rPr>
          <w:i/>
          <w:iCs/>
          <w:sz w:val="20"/>
          <w:szCs w:val="20"/>
          <w:lang w:eastAsia="zh-CN"/>
        </w:rPr>
        <w:t xml:space="preserve">(Significance levels: </w:t>
      </w:r>
      <w:r w:rsidRPr="00705903">
        <w:rPr>
          <w:i/>
          <w:iCs/>
          <w:sz w:val="20"/>
          <w:szCs w:val="20"/>
        </w:rPr>
        <w:t>*** p&lt;0.01</w:t>
      </w:r>
      <w:r w:rsidRPr="00705903">
        <w:rPr>
          <w:i/>
          <w:iCs/>
          <w:sz w:val="20"/>
          <w:szCs w:val="20"/>
        </w:rPr>
        <w:t>，</w:t>
      </w:r>
      <w:r w:rsidRPr="00705903">
        <w:rPr>
          <w:i/>
          <w:iCs/>
          <w:sz w:val="20"/>
          <w:szCs w:val="20"/>
        </w:rPr>
        <w:t>** p&lt;0.05</w:t>
      </w:r>
      <w:r w:rsidRPr="00705903">
        <w:rPr>
          <w:i/>
          <w:iCs/>
          <w:sz w:val="20"/>
          <w:szCs w:val="20"/>
        </w:rPr>
        <w:t>，</w:t>
      </w:r>
      <w:r w:rsidRPr="00705903">
        <w:rPr>
          <w:i/>
          <w:iCs/>
          <w:sz w:val="20"/>
          <w:szCs w:val="20"/>
        </w:rPr>
        <w:t>* p&lt;0.1</w:t>
      </w:r>
      <w:r w:rsidRPr="00705903">
        <w:rPr>
          <w:i/>
          <w:iCs/>
          <w:sz w:val="20"/>
          <w:szCs w:val="20"/>
          <w:lang w:eastAsia="zh-CN"/>
        </w:rPr>
        <w:t>)</w:t>
      </w:r>
    </w:p>
    <w:p w14:paraId="414DCDB8" w14:textId="77777777" w:rsidR="00AB238E" w:rsidRPr="00705903" w:rsidRDefault="00AB238E" w:rsidP="0097761F">
      <w:pPr>
        <w:spacing w:line="259" w:lineRule="auto"/>
        <w:ind w:firstLine="0"/>
        <w:jc w:val="both"/>
        <w:rPr>
          <w:sz w:val="20"/>
          <w:szCs w:val="20"/>
          <w:lang w:eastAsia="zh-CN"/>
        </w:rPr>
      </w:pPr>
    </w:p>
    <w:p w14:paraId="60D9E90E" w14:textId="77777777" w:rsidR="00AB238E" w:rsidRPr="00705903" w:rsidRDefault="00AB238E" w:rsidP="0097761F">
      <w:pPr>
        <w:spacing w:line="259" w:lineRule="auto"/>
        <w:ind w:firstLine="0"/>
        <w:jc w:val="both"/>
        <w:rPr>
          <w:sz w:val="20"/>
          <w:szCs w:val="20"/>
          <w:lang w:eastAsia="zh-CN"/>
        </w:rPr>
      </w:pPr>
    </w:p>
    <w:p w14:paraId="22CE966E" w14:textId="77777777" w:rsidR="00AB238E" w:rsidRPr="00705903" w:rsidRDefault="00AB238E" w:rsidP="0097761F">
      <w:pPr>
        <w:spacing w:line="259" w:lineRule="auto"/>
        <w:ind w:firstLine="0"/>
        <w:jc w:val="both"/>
        <w:rPr>
          <w:sz w:val="20"/>
          <w:szCs w:val="20"/>
          <w:lang w:eastAsia="zh-CN"/>
        </w:rPr>
      </w:pPr>
    </w:p>
    <w:p w14:paraId="6A6DB35B" w14:textId="77777777" w:rsidR="00AB238E" w:rsidRPr="00705903" w:rsidRDefault="00AB238E" w:rsidP="0097761F">
      <w:pPr>
        <w:spacing w:line="259" w:lineRule="auto"/>
        <w:ind w:firstLine="0"/>
        <w:jc w:val="both"/>
        <w:rPr>
          <w:sz w:val="20"/>
          <w:szCs w:val="20"/>
          <w:lang w:eastAsia="zh-CN"/>
        </w:rPr>
      </w:pPr>
    </w:p>
    <w:p w14:paraId="0D868925" w14:textId="77777777" w:rsidR="00AB238E" w:rsidRPr="00705903" w:rsidRDefault="00AB238E" w:rsidP="0097761F">
      <w:pPr>
        <w:spacing w:after="160" w:line="259" w:lineRule="auto"/>
        <w:ind w:firstLine="0"/>
        <w:jc w:val="both"/>
        <w:rPr>
          <w:b/>
          <w:bCs/>
          <w:szCs w:val="24"/>
          <w:lang w:val="en-US" w:eastAsia="zh-CN"/>
        </w:rPr>
      </w:pPr>
      <w:r w:rsidRPr="00705903">
        <w:br w:type="page"/>
      </w:r>
    </w:p>
    <w:p w14:paraId="7D48172C" w14:textId="77777777" w:rsidR="00AB238E" w:rsidRPr="00705903" w:rsidRDefault="00AB238E" w:rsidP="0097761F">
      <w:pPr>
        <w:pStyle w:val="Heading1"/>
      </w:pPr>
      <w:r w:rsidRPr="00705903">
        <w:t>Table 21. Portfolio Tests on Environmental (E) Deciles: Average and High–Low Returns (2007–2022)</w:t>
      </w:r>
    </w:p>
    <w:p w14:paraId="51ADDECE" w14:textId="77777777" w:rsidR="00AB238E" w:rsidRPr="00705903" w:rsidRDefault="00AB238E" w:rsidP="0097761F">
      <w:pPr>
        <w:tabs>
          <w:tab w:val="left" w:pos="3780"/>
        </w:tabs>
        <w:spacing w:line="259" w:lineRule="auto"/>
        <w:ind w:firstLine="0"/>
        <w:jc w:val="both"/>
        <w:rPr>
          <w:sz w:val="20"/>
          <w:szCs w:val="20"/>
          <w:lang w:val="en-US" w:eastAsia="zh-CN"/>
        </w:rPr>
      </w:pPr>
    </w:p>
    <w:p w14:paraId="16496D5D" w14:textId="77777777" w:rsidR="00AB238E" w:rsidRPr="00705903" w:rsidRDefault="00AB238E" w:rsidP="0097761F">
      <w:pPr>
        <w:tabs>
          <w:tab w:val="left" w:pos="3780"/>
        </w:tabs>
        <w:spacing w:line="259" w:lineRule="auto"/>
        <w:ind w:firstLine="0"/>
        <w:jc w:val="both"/>
        <w:rPr>
          <w:sz w:val="20"/>
          <w:szCs w:val="20"/>
          <w:lang w:val="en-US" w:eastAsia="zh-CN"/>
        </w:rPr>
      </w:pPr>
      <w:r w:rsidRPr="00705903">
        <w:rPr>
          <w:sz w:val="20"/>
          <w:szCs w:val="20"/>
          <w:lang w:val="en-US" w:eastAsia="zh-CN"/>
        </w:rPr>
        <w:t xml:space="preserve">This table presents portfolio tests based on firms’ </w:t>
      </w:r>
      <w:r w:rsidRPr="00705903">
        <w:rPr>
          <w:i/>
          <w:iCs/>
          <w:sz w:val="20"/>
          <w:szCs w:val="20"/>
          <w:lang w:val="en-US" w:eastAsia="zh-CN"/>
        </w:rPr>
        <w:t>Environmental (E)</w:t>
      </w:r>
      <w:r w:rsidRPr="00705903">
        <w:rPr>
          <w:sz w:val="20"/>
          <w:szCs w:val="20"/>
          <w:lang w:val="en-US" w:eastAsia="zh-CN"/>
        </w:rPr>
        <w:t xml:space="preserve"> pillar scores to examine whether companies with higher environmental performance exhibit different average returns from those with lower scores.</w:t>
      </w:r>
      <w:r w:rsidRPr="00705903">
        <w:rPr>
          <w:sz w:val="20"/>
          <w:szCs w:val="20"/>
          <w:lang w:val="en-US" w:eastAsia="zh-CN"/>
        </w:rPr>
        <w:br/>
        <w:t xml:space="preserve">Firms are sorted annually into deciles or quintiles according to their </w:t>
      </w:r>
      <w:r w:rsidRPr="00705903">
        <w:rPr>
          <w:i/>
          <w:iCs/>
          <w:sz w:val="20"/>
          <w:szCs w:val="20"/>
          <w:lang w:val="en-US" w:eastAsia="zh-CN"/>
        </w:rPr>
        <w:t>E</w:t>
      </w:r>
      <w:r w:rsidRPr="00705903">
        <w:rPr>
          <w:sz w:val="20"/>
          <w:szCs w:val="20"/>
          <w:lang w:val="en-US" w:eastAsia="zh-CN"/>
        </w:rPr>
        <w:t xml:space="preserve"> scores, and portfolio returns are computed using both equal- and value-weighted methods. </w:t>
      </w:r>
    </w:p>
    <w:p w14:paraId="19F54B2D" w14:textId="77777777" w:rsidR="00AB238E" w:rsidRPr="00705903" w:rsidRDefault="00AB238E" w:rsidP="0097761F">
      <w:pPr>
        <w:tabs>
          <w:tab w:val="left" w:pos="3780"/>
        </w:tabs>
        <w:spacing w:line="259" w:lineRule="auto"/>
        <w:ind w:firstLine="0"/>
        <w:jc w:val="both"/>
        <w:rPr>
          <w:sz w:val="20"/>
          <w:szCs w:val="20"/>
          <w:lang w:val="en-US" w:eastAsia="zh-CN"/>
        </w:rPr>
      </w:pPr>
      <w:r w:rsidRPr="00705903">
        <w:rPr>
          <w:sz w:val="20"/>
          <w:szCs w:val="20"/>
          <w:lang w:val="en-US" w:eastAsia="zh-CN"/>
        </w:rPr>
        <w:br/>
        <w:t xml:space="preserve">Panel A applies a 10-decile equal-weighted sort, Panel B re-sorts into 5 deciles, and Panel C computes both annual and daily returns using value-weighted portfolios. Overall, none of the </w:t>
      </w:r>
      <w:r w:rsidRPr="00705903">
        <w:rPr>
          <w:i/>
          <w:iCs/>
          <w:sz w:val="20"/>
          <w:szCs w:val="20"/>
          <w:lang w:val="en-US" w:eastAsia="zh-CN"/>
        </w:rPr>
        <w:t>E</w:t>
      </w:r>
      <w:r w:rsidRPr="00705903">
        <w:rPr>
          <w:sz w:val="20"/>
          <w:szCs w:val="20"/>
          <w:lang w:val="en-US" w:eastAsia="zh-CN"/>
        </w:rPr>
        <w:t>-pillar tests yield statistically significant results, implying that environmental performance alone does not generate abnormal returns.</w:t>
      </w:r>
    </w:p>
    <w:p w14:paraId="7251AE46" w14:textId="77777777" w:rsidR="00AB238E" w:rsidRPr="00705903" w:rsidRDefault="00AB238E" w:rsidP="0097761F">
      <w:pPr>
        <w:tabs>
          <w:tab w:val="left" w:pos="3780"/>
        </w:tabs>
        <w:spacing w:line="259" w:lineRule="auto"/>
        <w:ind w:firstLine="0"/>
        <w:jc w:val="both"/>
        <w:rPr>
          <w:sz w:val="20"/>
          <w:szCs w:val="20"/>
          <w:lang w:val="en-US" w:eastAsia="zh-CN"/>
        </w:rPr>
      </w:pPr>
    </w:p>
    <w:p w14:paraId="4297A4B9" w14:textId="77777777" w:rsidR="00AB238E" w:rsidRPr="00705903" w:rsidRDefault="00AB238E" w:rsidP="0097761F">
      <w:pPr>
        <w:tabs>
          <w:tab w:val="left" w:pos="3780"/>
        </w:tabs>
        <w:spacing w:line="259" w:lineRule="auto"/>
        <w:ind w:firstLine="0"/>
        <w:jc w:val="both"/>
        <w:rPr>
          <w:sz w:val="20"/>
          <w:szCs w:val="20"/>
          <w:lang w:val="en-US" w:eastAsia="zh-CN"/>
        </w:rPr>
      </w:pPr>
    </w:p>
    <w:tbl>
      <w:tblPr>
        <w:tblStyle w:val="PlainTable2"/>
        <w:tblW w:w="0" w:type="auto"/>
        <w:tblLook w:val="04A0" w:firstRow="1" w:lastRow="0" w:firstColumn="1" w:lastColumn="0" w:noHBand="0" w:noVBand="1"/>
      </w:tblPr>
      <w:tblGrid>
        <w:gridCol w:w="1266"/>
        <w:gridCol w:w="2659"/>
        <w:gridCol w:w="1099"/>
        <w:gridCol w:w="1129"/>
        <w:gridCol w:w="1269"/>
        <w:gridCol w:w="1938"/>
      </w:tblGrid>
      <w:tr w:rsidR="00AB238E" w:rsidRPr="00705903" w14:paraId="0AA17C00"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971942" w14:textId="77777777" w:rsidR="00AB238E" w:rsidRPr="00705903" w:rsidRDefault="00AB238E" w:rsidP="0097761F">
            <w:pPr>
              <w:tabs>
                <w:tab w:val="left" w:pos="3780"/>
              </w:tabs>
              <w:spacing w:line="259" w:lineRule="auto"/>
              <w:ind w:firstLine="0"/>
              <w:jc w:val="both"/>
              <w:rPr>
                <w:b w:val="0"/>
                <w:bCs w:val="0"/>
                <w:sz w:val="20"/>
                <w:szCs w:val="20"/>
                <w:lang w:val="en-US" w:eastAsia="zh-CN"/>
              </w:rPr>
            </w:pPr>
            <w:r w:rsidRPr="00705903">
              <w:rPr>
                <w:b w:val="0"/>
                <w:bCs w:val="0"/>
                <w:sz w:val="20"/>
                <w:szCs w:val="20"/>
                <w:lang w:val="en-US" w:eastAsia="zh-CN"/>
              </w:rPr>
              <w:t>Panel</w:t>
            </w:r>
          </w:p>
        </w:tc>
        <w:tc>
          <w:tcPr>
            <w:tcW w:w="0" w:type="auto"/>
            <w:vAlign w:val="center"/>
            <w:hideMark/>
          </w:tcPr>
          <w:p w14:paraId="15B0E0D5" w14:textId="77777777" w:rsidR="00AB238E" w:rsidRPr="00705903" w:rsidRDefault="00AB238E" w:rsidP="0097761F">
            <w:pPr>
              <w:tabs>
                <w:tab w:val="left" w:pos="3780"/>
              </w:tabs>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Specification</w:t>
            </w:r>
          </w:p>
        </w:tc>
        <w:tc>
          <w:tcPr>
            <w:tcW w:w="0" w:type="auto"/>
            <w:vAlign w:val="center"/>
            <w:hideMark/>
          </w:tcPr>
          <w:p w14:paraId="3DADF56A" w14:textId="77777777" w:rsidR="00AB238E" w:rsidRPr="00705903" w:rsidRDefault="00AB238E" w:rsidP="0097761F">
            <w:pPr>
              <w:tabs>
                <w:tab w:val="left" w:pos="3780"/>
              </w:tabs>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Weighting</w:t>
            </w:r>
          </w:p>
        </w:tc>
        <w:tc>
          <w:tcPr>
            <w:tcW w:w="0" w:type="auto"/>
            <w:vAlign w:val="center"/>
            <w:hideMark/>
          </w:tcPr>
          <w:p w14:paraId="55ACB986" w14:textId="77777777" w:rsidR="00AB238E" w:rsidRPr="00705903" w:rsidRDefault="00AB238E" w:rsidP="0097761F">
            <w:pPr>
              <w:tabs>
                <w:tab w:val="left" w:pos="3780"/>
              </w:tabs>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Frequency</w:t>
            </w:r>
          </w:p>
        </w:tc>
        <w:tc>
          <w:tcPr>
            <w:tcW w:w="0" w:type="auto"/>
            <w:vAlign w:val="center"/>
            <w:hideMark/>
          </w:tcPr>
          <w:p w14:paraId="5E563799" w14:textId="77777777" w:rsidR="00AB238E" w:rsidRPr="00705903" w:rsidRDefault="00AB238E" w:rsidP="0097761F">
            <w:pPr>
              <w:tabs>
                <w:tab w:val="left" w:pos="3780"/>
              </w:tabs>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Significance Level</w:t>
            </w:r>
          </w:p>
        </w:tc>
        <w:tc>
          <w:tcPr>
            <w:tcW w:w="0" w:type="auto"/>
            <w:vAlign w:val="center"/>
            <w:hideMark/>
          </w:tcPr>
          <w:p w14:paraId="2C9FD455" w14:textId="77777777" w:rsidR="00AB238E" w:rsidRPr="00705903" w:rsidRDefault="00AB238E" w:rsidP="0097761F">
            <w:pPr>
              <w:tabs>
                <w:tab w:val="left" w:pos="3780"/>
              </w:tabs>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Result Summary</w:t>
            </w:r>
          </w:p>
        </w:tc>
      </w:tr>
      <w:tr w:rsidR="00AB238E" w:rsidRPr="00705903" w14:paraId="3B768B6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hideMark/>
          </w:tcPr>
          <w:p w14:paraId="701ECB89" w14:textId="77777777" w:rsidR="00AB238E" w:rsidRPr="00705903" w:rsidRDefault="00AB238E" w:rsidP="0097761F">
            <w:pPr>
              <w:tabs>
                <w:tab w:val="left" w:pos="3780"/>
              </w:tabs>
              <w:spacing w:line="259" w:lineRule="auto"/>
              <w:ind w:firstLine="0"/>
              <w:jc w:val="both"/>
              <w:rPr>
                <w:b w:val="0"/>
                <w:bCs w:val="0"/>
                <w:i/>
                <w:iCs/>
                <w:sz w:val="20"/>
                <w:szCs w:val="20"/>
                <w:lang w:val="en-US" w:eastAsia="zh-CN"/>
              </w:rPr>
            </w:pPr>
            <w:r w:rsidRPr="00705903">
              <w:rPr>
                <w:b w:val="0"/>
                <w:bCs w:val="0"/>
                <w:i/>
                <w:iCs/>
                <w:sz w:val="20"/>
                <w:szCs w:val="20"/>
                <w:lang w:val="en-US" w:eastAsia="zh-CN"/>
              </w:rPr>
              <w:t>A. 10 Deciles (Equal-Weighted)</w:t>
            </w:r>
          </w:p>
        </w:tc>
        <w:tc>
          <w:tcPr>
            <w:tcW w:w="0" w:type="auto"/>
            <w:tcBorders>
              <w:bottom w:val="nil"/>
            </w:tcBorders>
            <w:vAlign w:val="center"/>
            <w:hideMark/>
          </w:tcPr>
          <w:p w14:paraId="6873482B" w14:textId="77777777" w:rsidR="00AB238E" w:rsidRPr="00705903" w:rsidRDefault="00AB238E" w:rsidP="0097761F">
            <w:pPr>
              <w:tabs>
                <w:tab w:val="left" w:pos="3780"/>
              </w:tabs>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Firms are sorted annually into 10 deciles by E scores (Decile 1 = highest E). Portfolio returns are averaged annually.</w:t>
            </w:r>
          </w:p>
        </w:tc>
        <w:tc>
          <w:tcPr>
            <w:tcW w:w="0" w:type="auto"/>
            <w:tcBorders>
              <w:bottom w:val="nil"/>
            </w:tcBorders>
            <w:vAlign w:val="center"/>
            <w:hideMark/>
          </w:tcPr>
          <w:p w14:paraId="29A48E23" w14:textId="77777777" w:rsidR="00AB238E" w:rsidRPr="00705903" w:rsidRDefault="00AB238E" w:rsidP="0097761F">
            <w:pPr>
              <w:tabs>
                <w:tab w:val="left" w:pos="3780"/>
              </w:tabs>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Equal-weighted</w:t>
            </w:r>
          </w:p>
        </w:tc>
        <w:tc>
          <w:tcPr>
            <w:tcW w:w="0" w:type="auto"/>
            <w:tcBorders>
              <w:bottom w:val="nil"/>
            </w:tcBorders>
            <w:vAlign w:val="center"/>
            <w:hideMark/>
          </w:tcPr>
          <w:p w14:paraId="28ED9980" w14:textId="77777777" w:rsidR="00AB238E" w:rsidRPr="00705903" w:rsidRDefault="00AB238E" w:rsidP="0097761F">
            <w:pPr>
              <w:tabs>
                <w:tab w:val="left" w:pos="3780"/>
              </w:tabs>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Annual</w:t>
            </w:r>
          </w:p>
        </w:tc>
        <w:tc>
          <w:tcPr>
            <w:tcW w:w="0" w:type="auto"/>
            <w:tcBorders>
              <w:bottom w:val="nil"/>
            </w:tcBorders>
            <w:vAlign w:val="center"/>
            <w:hideMark/>
          </w:tcPr>
          <w:p w14:paraId="3E269399" w14:textId="77777777" w:rsidR="00AB238E" w:rsidRPr="00705903" w:rsidRDefault="00AB238E" w:rsidP="0097761F">
            <w:pPr>
              <w:tabs>
                <w:tab w:val="left" w:pos="3780"/>
              </w:tabs>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10%</w:t>
            </w:r>
          </w:p>
        </w:tc>
        <w:tc>
          <w:tcPr>
            <w:tcW w:w="0" w:type="auto"/>
            <w:tcBorders>
              <w:bottom w:val="nil"/>
            </w:tcBorders>
            <w:vAlign w:val="center"/>
            <w:hideMark/>
          </w:tcPr>
          <w:p w14:paraId="68F93516" w14:textId="77777777" w:rsidR="00AB238E" w:rsidRPr="00705903" w:rsidRDefault="00AB238E" w:rsidP="0097761F">
            <w:pPr>
              <w:tabs>
                <w:tab w:val="left" w:pos="3780"/>
              </w:tabs>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i/>
                <w:iCs/>
                <w:sz w:val="20"/>
                <w:szCs w:val="20"/>
                <w:lang w:val="en-US" w:eastAsia="zh-CN"/>
              </w:rPr>
              <w:t>E_HL mean = −0.71, t = −0.54, p = 0.60 → not significant.</w:t>
            </w:r>
          </w:p>
        </w:tc>
      </w:tr>
      <w:tr w:rsidR="00AB238E" w:rsidRPr="00705903" w14:paraId="61C3FA5A"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4DCE8BF0" w14:textId="77777777" w:rsidR="00AB238E" w:rsidRPr="00705903" w:rsidRDefault="00AB238E" w:rsidP="0097761F">
            <w:pPr>
              <w:tabs>
                <w:tab w:val="left" w:pos="3780"/>
              </w:tabs>
              <w:spacing w:line="259" w:lineRule="auto"/>
              <w:ind w:firstLine="0"/>
              <w:jc w:val="both"/>
              <w:rPr>
                <w:b w:val="0"/>
                <w:bCs w:val="0"/>
                <w:i/>
                <w:iCs/>
                <w:sz w:val="20"/>
                <w:szCs w:val="20"/>
                <w:lang w:val="en-US" w:eastAsia="zh-CN"/>
              </w:rPr>
            </w:pPr>
            <w:r w:rsidRPr="00705903">
              <w:rPr>
                <w:b w:val="0"/>
                <w:bCs w:val="0"/>
                <w:i/>
                <w:iCs/>
                <w:sz w:val="20"/>
                <w:szCs w:val="20"/>
                <w:lang w:val="en-US" w:eastAsia="zh-CN"/>
              </w:rPr>
              <w:t>B. 5 Deciles (Equal-Weighted)</w:t>
            </w:r>
          </w:p>
        </w:tc>
        <w:tc>
          <w:tcPr>
            <w:tcW w:w="0" w:type="auto"/>
            <w:tcBorders>
              <w:top w:val="nil"/>
              <w:bottom w:val="nil"/>
            </w:tcBorders>
            <w:vAlign w:val="center"/>
            <w:hideMark/>
          </w:tcPr>
          <w:p w14:paraId="07DB65C2" w14:textId="77777777" w:rsidR="00AB238E" w:rsidRPr="00705903" w:rsidRDefault="00AB238E" w:rsidP="0097761F">
            <w:pPr>
              <w:tabs>
                <w:tab w:val="left" w:pos="3780"/>
              </w:tabs>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Firms are re-sorted into 5 deciles. Annual equal-</w:t>
            </w:r>
            <w:proofErr w:type="gramStart"/>
            <w:r w:rsidRPr="00705903">
              <w:rPr>
                <w:sz w:val="20"/>
                <w:szCs w:val="20"/>
                <w:lang w:val="en-US" w:eastAsia="zh-CN"/>
              </w:rPr>
              <w:t>weighted</w:t>
            </w:r>
            <w:proofErr w:type="gramEnd"/>
            <w:r w:rsidRPr="00705903">
              <w:rPr>
                <w:sz w:val="20"/>
                <w:szCs w:val="20"/>
                <w:lang w:val="en-US" w:eastAsia="zh-CN"/>
              </w:rPr>
              <w:t xml:space="preserve"> returns are computed.</w:t>
            </w:r>
          </w:p>
        </w:tc>
        <w:tc>
          <w:tcPr>
            <w:tcW w:w="0" w:type="auto"/>
            <w:tcBorders>
              <w:top w:val="nil"/>
              <w:bottom w:val="nil"/>
            </w:tcBorders>
            <w:vAlign w:val="center"/>
            <w:hideMark/>
          </w:tcPr>
          <w:p w14:paraId="06DB88B7" w14:textId="77777777" w:rsidR="00AB238E" w:rsidRPr="00705903" w:rsidRDefault="00AB238E" w:rsidP="0097761F">
            <w:pPr>
              <w:tabs>
                <w:tab w:val="left" w:pos="3780"/>
              </w:tabs>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Equal-weighted</w:t>
            </w:r>
          </w:p>
        </w:tc>
        <w:tc>
          <w:tcPr>
            <w:tcW w:w="0" w:type="auto"/>
            <w:tcBorders>
              <w:top w:val="nil"/>
              <w:bottom w:val="nil"/>
            </w:tcBorders>
            <w:vAlign w:val="center"/>
            <w:hideMark/>
          </w:tcPr>
          <w:p w14:paraId="2F1881AA" w14:textId="77777777" w:rsidR="00AB238E" w:rsidRPr="00705903" w:rsidRDefault="00AB238E" w:rsidP="0097761F">
            <w:pPr>
              <w:tabs>
                <w:tab w:val="left" w:pos="3780"/>
              </w:tabs>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Annual</w:t>
            </w:r>
          </w:p>
        </w:tc>
        <w:tc>
          <w:tcPr>
            <w:tcW w:w="0" w:type="auto"/>
            <w:tcBorders>
              <w:top w:val="nil"/>
              <w:bottom w:val="nil"/>
            </w:tcBorders>
            <w:vAlign w:val="center"/>
            <w:hideMark/>
          </w:tcPr>
          <w:p w14:paraId="5A331E8A" w14:textId="77777777" w:rsidR="00AB238E" w:rsidRPr="00705903" w:rsidRDefault="00AB238E" w:rsidP="0097761F">
            <w:pPr>
              <w:tabs>
                <w:tab w:val="left" w:pos="3780"/>
              </w:tabs>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10%</w:t>
            </w:r>
          </w:p>
        </w:tc>
        <w:tc>
          <w:tcPr>
            <w:tcW w:w="0" w:type="auto"/>
            <w:tcBorders>
              <w:top w:val="nil"/>
              <w:bottom w:val="nil"/>
            </w:tcBorders>
            <w:vAlign w:val="center"/>
            <w:hideMark/>
          </w:tcPr>
          <w:p w14:paraId="76276E6B" w14:textId="77777777" w:rsidR="00AB238E" w:rsidRPr="00705903" w:rsidRDefault="00AB238E" w:rsidP="0097761F">
            <w:pPr>
              <w:tabs>
                <w:tab w:val="left" w:pos="3780"/>
              </w:tabs>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i/>
                <w:iCs/>
                <w:sz w:val="20"/>
                <w:szCs w:val="20"/>
                <w:lang w:val="en-US" w:eastAsia="zh-CN"/>
              </w:rPr>
              <w:t>E_HL mean = −0.73, t = −1.10, p = 0.29 → not significant.</w:t>
            </w:r>
          </w:p>
        </w:tc>
      </w:tr>
      <w:tr w:rsidR="00AB238E" w:rsidRPr="00705903" w14:paraId="765F68CE"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hideMark/>
          </w:tcPr>
          <w:p w14:paraId="366835B9" w14:textId="77777777" w:rsidR="00AB238E" w:rsidRPr="00705903" w:rsidRDefault="00AB238E" w:rsidP="0097761F">
            <w:pPr>
              <w:tabs>
                <w:tab w:val="left" w:pos="3780"/>
              </w:tabs>
              <w:spacing w:line="259" w:lineRule="auto"/>
              <w:ind w:firstLine="0"/>
              <w:jc w:val="both"/>
              <w:rPr>
                <w:b w:val="0"/>
                <w:bCs w:val="0"/>
                <w:i/>
                <w:iCs/>
                <w:sz w:val="20"/>
                <w:szCs w:val="20"/>
                <w:lang w:val="en-US" w:eastAsia="zh-CN"/>
              </w:rPr>
            </w:pPr>
            <w:r w:rsidRPr="00705903">
              <w:rPr>
                <w:b w:val="0"/>
                <w:bCs w:val="0"/>
                <w:i/>
                <w:iCs/>
                <w:sz w:val="20"/>
                <w:szCs w:val="20"/>
                <w:lang w:val="en-US" w:eastAsia="zh-CN"/>
              </w:rPr>
              <w:t>C. 5 Deciles (Value-Weighted)</w:t>
            </w:r>
          </w:p>
        </w:tc>
        <w:tc>
          <w:tcPr>
            <w:tcW w:w="0" w:type="auto"/>
            <w:tcBorders>
              <w:top w:val="nil"/>
            </w:tcBorders>
            <w:vAlign w:val="center"/>
            <w:hideMark/>
          </w:tcPr>
          <w:p w14:paraId="56E1CAAE" w14:textId="77777777" w:rsidR="00AB238E" w:rsidRPr="00705903" w:rsidRDefault="00AB238E" w:rsidP="0097761F">
            <w:pPr>
              <w:tabs>
                <w:tab w:val="left" w:pos="3780"/>
              </w:tabs>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Firms are grouped into 5 deciles by E scores, weighted by market capitalization. Both annual and daily compounded returns are computed.</w:t>
            </w:r>
          </w:p>
        </w:tc>
        <w:tc>
          <w:tcPr>
            <w:tcW w:w="0" w:type="auto"/>
            <w:tcBorders>
              <w:top w:val="nil"/>
            </w:tcBorders>
            <w:vAlign w:val="center"/>
            <w:hideMark/>
          </w:tcPr>
          <w:p w14:paraId="2F295233" w14:textId="77777777" w:rsidR="00AB238E" w:rsidRPr="00705903" w:rsidRDefault="00AB238E" w:rsidP="0097761F">
            <w:pPr>
              <w:tabs>
                <w:tab w:val="left" w:pos="3780"/>
              </w:tabs>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Value-weighted</w:t>
            </w:r>
          </w:p>
        </w:tc>
        <w:tc>
          <w:tcPr>
            <w:tcW w:w="0" w:type="auto"/>
            <w:tcBorders>
              <w:top w:val="nil"/>
            </w:tcBorders>
            <w:vAlign w:val="center"/>
            <w:hideMark/>
          </w:tcPr>
          <w:p w14:paraId="5F4331F6" w14:textId="77777777" w:rsidR="00AB238E" w:rsidRPr="00705903" w:rsidRDefault="00AB238E" w:rsidP="0097761F">
            <w:pPr>
              <w:tabs>
                <w:tab w:val="left" w:pos="3780"/>
              </w:tabs>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Annual &amp; Daily</w:t>
            </w:r>
          </w:p>
        </w:tc>
        <w:tc>
          <w:tcPr>
            <w:tcW w:w="0" w:type="auto"/>
            <w:tcBorders>
              <w:top w:val="nil"/>
            </w:tcBorders>
            <w:vAlign w:val="center"/>
            <w:hideMark/>
          </w:tcPr>
          <w:p w14:paraId="2FE0967D" w14:textId="77777777" w:rsidR="00AB238E" w:rsidRPr="00705903" w:rsidRDefault="00AB238E" w:rsidP="0097761F">
            <w:pPr>
              <w:tabs>
                <w:tab w:val="left" w:pos="3780"/>
              </w:tabs>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10%</w:t>
            </w:r>
          </w:p>
        </w:tc>
        <w:tc>
          <w:tcPr>
            <w:tcW w:w="0" w:type="auto"/>
            <w:tcBorders>
              <w:top w:val="nil"/>
            </w:tcBorders>
            <w:vAlign w:val="center"/>
            <w:hideMark/>
          </w:tcPr>
          <w:p w14:paraId="55FA175F" w14:textId="77777777" w:rsidR="00AB238E" w:rsidRPr="00705903" w:rsidRDefault="00AB238E" w:rsidP="0097761F">
            <w:pPr>
              <w:tabs>
                <w:tab w:val="left" w:pos="3780"/>
              </w:tabs>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i/>
                <w:iCs/>
                <w:sz w:val="20"/>
                <w:szCs w:val="20"/>
                <w:lang w:val="en-US" w:eastAsia="zh-CN"/>
              </w:rPr>
              <w:t>Annual H–L: t = −0.97, p = 0.35 (ns); Daily H–L: t = −0.84, p = 0.40 → not significant.</w:t>
            </w:r>
          </w:p>
        </w:tc>
      </w:tr>
    </w:tbl>
    <w:p w14:paraId="4544AA1C" w14:textId="77777777" w:rsidR="00AB238E" w:rsidRPr="00705903" w:rsidRDefault="00AB238E" w:rsidP="0097761F">
      <w:pPr>
        <w:tabs>
          <w:tab w:val="left" w:pos="3780"/>
        </w:tabs>
        <w:spacing w:line="259" w:lineRule="auto"/>
        <w:ind w:firstLine="0"/>
        <w:jc w:val="both"/>
        <w:rPr>
          <w:sz w:val="20"/>
          <w:szCs w:val="20"/>
          <w:lang w:val="en-US" w:eastAsia="zh-CN"/>
        </w:rPr>
      </w:pPr>
    </w:p>
    <w:p w14:paraId="763ED700" w14:textId="77777777" w:rsidR="00AB238E" w:rsidRPr="00705903" w:rsidRDefault="00AB238E" w:rsidP="0097761F">
      <w:pPr>
        <w:tabs>
          <w:tab w:val="left" w:pos="3780"/>
        </w:tabs>
        <w:spacing w:line="259" w:lineRule="auto"/>
        <w:ind w:firstLine="0"/>
        <w:jc w:val="both"/>
        <w:rPr>
          <w:sz w:val="20"/>
          <w:szCs w:val="20"/>
          <w:lang w:eastAsia="zh-CN"/>
        </w:rPr>
      </w:pPr>
    </w:p>
    <w:p w14:paraId="63CB0B3E" w14:textId="77777777" w:rsidR="00AB238E" w:rsidRPr="00705903" w:rsidRDefault="00AB238E" w:rsidP="0097761F">
      <w:pPr>
        <w:tabs>
          <w:tab w:val="left" w:pos="3780"/>
        </w:tabs>
        <w:spacing w:line="259" w:lineRule="auto"/>
        <w:ind w:firstLine="0"/>
        <w:jc w:val="both"/>
        <w:rPr>
          <w:sz w:val="20"/>
          <w:szCs w:val="20"/>
          <w:lang w:val="en-US" w:eastAsia="zh-CN"/>
        </w:rPr>
      </w:pPr>
      <w:r w:rsidRPr="00705903">
        <w:rPr>
          <w:b/>
          <w:bCs/>
          <w:sz w:val="20"/>
          <w:szCs w:val="20"/>
          <w:lang w:val="en-US" w:eastAsia="zh-CN"/>
        </w:rPr>
        <w:t xml:space="preserve">Notes. </w:t>
      </w:r>
      <w:r w:rsidRPr="00705903">
        <w:rPr>
          <w:sz w:val="20"/>
          <w:szCs w:val="20"/>
          <w:lang w:val="en-US" w:eastAsia="zh-CN"/>
        </w:rPr>
        <w:t xml:space="preserve">This table summarizes portfolio-level tests for </w:t>
      </w:r>
      <w:r w:rsidRPr="00705903">
        <w:rPr>
          <w:i/>
          <w:iCs/>
          <w:sz w:val="20"/>
          <w:szCs w:val="20"/>
          <w:lang w:val="en-US" w:eastAsia="zh-CN"/>
        </w:rPr>
        <w:t>Environmental (E)</w:t>
      </w:r>
      <w:r w:rsidRPr="00705903">
        <w:rPr>
          <w:sz w:val="20"/>
          <w:szCs w:val="20"/>
          <w:lang w:val="en-US" w:eastAsia="zh-CN"/>
        </w:rPr>
        <w:t xml:space="preserve">-sorted portfolios. </w:t>
      </w:r>
      <w:r w:rsidRPr="00705903">
        <w:rPr>
          <w:i/>
          <w:iCs/>
          <w:sz w:val="20"/>
          <w:szCs w:val="20"/>
          <w:lang w:val="en-US" w:eastAsia="zh-CN"/>
        </w:rPr>
        <w:t>E_HL</w:t>
      </w:r>
      <w:r w:rsidRPr="00705903">
        <w:rPr>
          <w:sz w:val="20"/>
          <w:szCs w:val="20"/>
          <w:lang w:val="en-US" w:eastAsia="zh-CN"/>
        </w:rPr>
        <w:t xml:space="preserve"> denotes the return difference between the highest-E (Decile 1 or 5) and lowest-E (Decile 10 or 5) portfolios. Across specifications, no statistically significant relationship is found between E scores and excess returns, indicating that environmental performance does not deliver a distinct premium or discount.</w:t>
      </w:r>
    </w:p>
    <w:p w14:paraId="7F7B2741" w14:textId="77777777" w:rsidR="00AB238E" w:rsidRPr="00705903" w:rsidRDefault="00AB238E" w:rsidP="0097761F">
      <w:pPr>
        <w:tabs>
          <w:tab w:val="left" w:pos="3780"/>
        </w:tabs>
        <w:spacing w:line="259" w:lineRule="auto"/>
        <w:ind w:firstLine="0"/>
        <w:jc w:val="both"/>
        <w:rPr>
          <w:sz w:val="20"/>
          <w:szCs w:val="20"/>
          <w:lang w:val="en-US" w:eastAsia="zh-CN"/>
        </w:rPr>
      </w:pPr>
      <w:r w:rsidRPr="00705903">
        <w:rPr>
          <w:i/>
          <w:iCs/>
          <w:sz w:val="20"/>
          <w:szCs w:val="20"/>
          <w:lang w:val="en-US" w:eastAsia="zh-CN"/>
        </w:rPr>
        <w:t>(Significance levels: *** p &lt; 0.01, ** p &lt; 0.05, * p &lt; 0.10.)</w:t>
      </w:r>
    </w:p>
    <w:p w14:paraId="329DF1BC" w14:textId="77777777" w:rsidR="00AB238E" w:rsidRPr="00705903" w:rsidRDefault="00AB238E" w:rsidP="0097761F">
      <w:pPr>
        <w:spacing w:line="259" w:lineRule="auto"/>
        <w:ind w:firstLine="0"/>
        <w:jc w:val="both"/>
        <w:rPr>
          <w:sz w:val="20"/>
          <w:szCs w:val="20"/>
          <w:lang w:val="en-US" w:eastAsia="zh-CN"/>
        </w:rPr>
      </w:pPr>
    </w:p>
    <w:p w14:paraId="704F7C5B" w14:textId="77777777" w:rsidR="00AB238E" w:rsidRPr="00705903" w:rsidRDefault="00AB238E" w:rsidP="0097761F">
      <w:pPr>
        <w:spacing w:line="259" w:lineRule="auto"/>
        <w:ind w:firstLine="0"/>
        <w:jc w:val="both"/>
        <w:rPr>
          <w:sz w:val="20"/>
          <w:szCs w:val="20"/>
          <w:lang w:val="en-US" w:eastAsia="zh-CN"/>
        </w:rPr>
      </w:pPr>
    </w:p>
    <w:p w14:paraId="34629EB4" w14:textId="77777777" w:rsidR="00AB238E" w:rsidRPr="00705903" w:rsidRDefault="00AB238E" w:rsidP="0097761F">
      <w:pPr>
        <w:spacing w:after="160" w:line="259" w:lineRule="auto"/>
        <w:ind w:firstLine="0"/>
        <w:jc w:val="both"/>
        <w:rPr>
          <w:b/>
          <w:bCs/>
          <w:szCs w:val="24"/>
          <w:lang w:val="en-US" w:eastAsia="zh-CN"/>
        </w:rPr>
      </w:pPr>
      <w:r w:rsidRPr="00705903">
        <w:br w:type="page"/>
      </w:r>
    </w:p>
    <w:p w14:paraId="466F2BBE" w14:textId="77777777" w:rsidR="00AB238E" w:rsidRPr="00705903" w:rsidRDefault="00AB238E" w:rsidP="0097761F">
      <w:pPr>
        <w:pStyle w:val="Heading1"/>
      </w:pPr>
      <w:r w:rsidRPr="00705903">
        <w:t>Table 22. Portfolio Tests on Social (S) Deciles: Average and High–Low Returns (2007–2022)</w:t>
      </w:r>
    </w:p>
    <w:p w14:paraId="31EDF563" w14:textId="77777777" w:rsidR="00AB238E" w:rsidRPr="00705903" w:rsidRDefault="00AB238E" w:rsidP="0097761F">
      <w:pPr>
        <w:spacing w:line="259" w:lineRule="auto"/>
        <w:ind w:firstLine="0"/>
        <w:jc w:val="both"/>
        <w:rPr>
          <w:sz w:val="20"/>
          <w:szCs w:val="20"/>
          <w:lang w:val="en-US" w:eastAsia="zh-CN"/>
        </w:rPr>
      </w:pPr>
    </w:p>
    <w:p w14:paraId="10EB96E2"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t xml:space="preserve">This table reports portfolio tests based on firms’ </w:t>
      </w:r>
      <w:r w:rsidRPr="00705903">
        <w:rPr>
          <w:i/>
          <w:iCs/>
          <w:sz w:val="20"/>
          <w:szCs w:val="20"/>
          <w:lang w:val="en-US" w:eastAsia="zh-CN"/>
        </w:rPr>
        <w:t>Social (S)</w:t>
      </w:r>
      <w:r w:rsidRPr="00705903">
        <w:rPr>
          <w:sz w:val="20"/>
          <w:szCs w:val="20"/>
          <w:lang w:val="en-US" w:eastAsia="zh-CN"/>
        </w:rPr>
        <w:t xml:space="preserve"> pillar scores to assess whether stronger social performance is associated with different return patterns. Firms are sorted annually into deciles or quintiles by their </w:t>
      </w:r>
      <w:r w:rsidRPr="00705903">
        <w:rPr>
          <w:i/>
          <w:iCs/>
          <w:sz w:val="20"/>
          <w:szCs w:val="20"/>
          <w:lang w:val="en-US" w:eastAsia="zh-CN"/>
        </w:rPr>
        <w:t>S</w:t>
      </w:r>
      <w:r w:rsidRPr="00705903">
        <w:rPr>
          <w:sz w:val="20"/>
          <w:szCs w:val="20"/>
          <w:lang w:val="en-US" w:eastAsia="zh-CN"/>
        </w:rPr>
        <w:t xml:space="preserve"> scores, and portfolio returns are calculated using both equal- and value-weighted schemes.</w:t>
      </w:r>
    </w:p>
    <w:p w14:paraId="39080D41"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br/>
        <w:t>Panel A employs a 10-decile equal-weighted sort, Panel B re-sorts into 5 deciles, and Panel C uses value-weighted portfolios with both annual and daily compounding. Across specifications, High–Low (H–L) returns are consistently negative and statistically significant at the 10% level, indicating mild underperformance for socially responsible firms.</w:t>
      </w:r>
    </w:p>
    <w:p w14:paraId="04F15673" w14:textId="77777777" w:rsidR="00AB238E" w:rsidRPr="00705903" w:rsidRDefault="00AB238E" w:rsidP="0097761F">
      <w:pPr>
        <w:spacing w:line="259" w:lineRule="auto"/>
        <w:ind w:firstLine="0"/>
        <w:jc w:val="both"/>
        <w:rPr>
          <w:sz w:val="20"/>
          <w:szCs w:val="20"/>
          <w:lang w:val="en-US" w:eastAsia="zh-CN"/>
        </w:rPr>
      </w:pPr>
    </w:p>
    <w:tbl>
      <w:tblPr>
        <w:tblStyle w:val="PlainTable2"/>
        <w:tblW w:w="0" w:type="auto"/>
        <w:tblLook w:val="04A0" w:firstRow="1" w:lastRow="0" w:firstColumn="1" w:lastColumn="0" w:noHBand="0" w:noVBand="1"/>
      </w:tblPr>
      <w:tblGrid>
        <w:gridCol w:w="1237"/>
        <w:gridCol w:w="2488"/>
        <w:gridCol w:w="1091"/>
        <w:gridCol w:w="1122"/>
        <w:gridCol w:w="1260"/>
        <w:gridCol w:w="2162"/>
      </w:tblGrid>
      <w:tr w:rsidR="00AB238E" w:rsidRPr="00705903" w14:paraId="7C7B5C82"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8E3978"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Panel</w:t>
            </w:r>
          </w:p>
        </w:tc>
        <w:tc>
          <w:tcPr>
            <w:tcW w:w="0" w:type="auto"/>
            <w:vAlign w:val="center"/>
            <w:hideMark/>
          </w:tcPr>
          <w:p w14:paraId="203F7335"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Specification</w:t>
            </w:r>
          </w:p>
        </w:tc>
        <w:tc>
          <w:tcPr>
            <w:tcW w:w="0" w:type="auto"/>
            <w:vAlign w:val="center"/>
            <w:hideMark/>
          </w:tcPr>
          <w:p w14:paraId="3D337E16"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Weighting</w:t>
            </w:r>
          </w:p>
        </w:tc>
        <w:tc>
          <w:tcPr>
            <w:tcW w:w="0" w:type="auto"/>
            <w:vAlign w:val="center"/>
            <w:hideMark/>
          </w:tcPr>
          <w:p w14:paraId="7B78F6EB"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Frequency</w:t>
            </w:r>
          </w:p>
        </w:tc>
        <w:tc>
          <w:tcPr>
            <w:tcW w:w="0" w:type="auto"/>
            <w:vAlign w:val="center"/>
            <w:hideMark/>
          </w:tcPr>
          <w:p w14:paraId="6AA588E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Significance Level</w:t>
            </w:r>
          </w:p>
        </w:tc>
        <w:tc>
          <w:tcPr>
            <w:tcW w:w="0" w:type="auto"/>
            <w:vAlign w:val="center"/>
            <w:hideMark/>
          </w:tcPr>
          <w:p w14:paraId="6B823014"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Result Summary</w:t>
            </w:r>
          </w:p>
        </w:tc>
      </w:tr>
      <w:tr w:rsidR="00AB238E" w:rsidRPr="00705903" w14:paraId="2B8837EC"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98E123"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A. 10 Deciles (Equal-Weighted)</w:t>
            </w:r>
          </w:p>
        </w:tc>
        <w:tc>
          <w:tcPr>
            <w:tcW w:w="0" w:type="auto"/>
            <w:vAlign w:val="center"/>
            <w:hideMark/>
          </w:tcPr>
          <w:p w14:paraId="3B01C39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Firms are sorted annually into 10 deciles by S scores (Decile 1 = highest S). Portfolio returns are averaged annually.</w:t>
            </w:r>
          </w:p>
        </w:tc>
        <w:tc>
          <w:tcPr>
            <w:tcW w:w="0" w:type="auto"/>
            <w:vAlign w:val="center"/>
            <w:hideMark/>
          </w:tcPr>
          <w:p w14:paraId="4DB8994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Equal-weighted</w:t>
            </w:r>
          </w:p>
        </w:tc>
        <w:tc>
          <w:tcPr>
            <w:tcW w:w="0" w:type="auto"/>
            <w:vAlign w:val="center"/>
            <w:hideMark/>
          </w:tcPr>
          <w:p w14:paraId="3DDDC99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Annual</w:t>
            </w:r>
          </w:p>
        </w:tc>
        <w:tc>
          <w:tcPr>
            <w:tcW w:w="0" w:type="auto"/>
            <w:vAlign w:val="center"/>
            <w:hideMark/>
          </w:tcPr>
          <w:p w14:paraId="008C26B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10</w:t>
            </w:r>
            <w:r w:rsidRPr="00705903">
              <w:rPr>
                <w:sz w:val="20"/>
                <w:szCs w:val="20"/>
                <w:lang w:val="en-US"/>
              </w:rPr>
              <w:t>%</w:t>
            </w:r>
          </w:p>
        </w:tc>
        <w:tc>
          <w:tcPr>
            <w:tcW w:w="0" w:type="auto"/>
            <w:vAlign w:val="center"/>
            <w:hideMark/>
          </w:tcPr>
          <w:p w14:paraId="1BB5E11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i/>
                <w:iCs/>
                <w:sz w:val="20"/>
                <w:szCs w:val="20"/>
                <w:lang w:val="en-US"/>
              </w:rPr>
              <w:t>S_HL mean = −</w:t>
            </w:r>
            <w:r w:rsidRPr="00705903">
              <w:rPr>
                <w:i/>
                <w:iCs/>
                <w:sz w:val="20"/>
                <w:szCs w:val="20"/>
                <w:lang w:val="en-US" w:eastAsia="zh-CN"/>
              </w:rPr>
              <w:t>1.31</w:t>
            </w:r>
            <w:r w:rsidRPr="00705903">
              <w:rPr>
                <w:i/>
                <w:iCs/>
                <w:sz w:val="20"/>
                <w:szCs w:val="20"/>
                <w:lang w:val="en-US"/>
              </w:rPr>
              <w:t>, t = −1.80, p = 0.09 → significant at 10%.</w:t>
            </w:r>
          </w:p>
        </w:tc>
      </w:tr>
      <w:tr w:rsidR="00AB238E" w:rsidRPr="00705903" w14:paraId="71961E16" w14:textId="77777777" w:rsidTr="00A4523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D6298C"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B. 5 Deciles (Equal-Weighted)</w:t>
            </w:r>
          </w:p>
        </w:tc>
        <w:tc>
          <w:tcPr>
            <w:tcW w:w="0" w:type="auto"/>
            <w:vAlign w:val="center"/>
            <w:hideMark/>
          </w:tcPr>
          <w:p w14:paraId="6A04A2A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Firms are re-sorted into 5 deciles. Annual equal-</w:t>
            </w:r>
            <w:proofErr w:type="gramStart"/>
            <w:r w:rsidRPr="00705903">
              <w:rPr>
                <w:sz w:val="20"/>
                <w:szCs w:val="20"/>
                <w:lang w:val="en-US"/>
              </w:rPr>
              <w:t>weighted</w:t>
            </w:r>
            <w:proofErr w:type="gramEnd"/>
            <w:r w:rsidRPr="00705903">
              <w:rPr>
                <w:sz w:val="20"/>
                <w:szCs w:val="20"/>
                <w:lang w:val="en-US"/>
              </w:rPr>
              <w:t xml:space="preserve"> returns are computed.</w:t>
            </w:r>
          </w:p>
        </w:tc>
        <w:tc>
          <w:tcPr>
            <w:tcW w:w="0" w:type="auto"/>
            <w:vAlign w:val="center"/>
            <w:hideMark/>
          </w:tcPr>
          <w:p w14:paraId="4EE0F17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Equal-weighted</w:t>
            </w:r>
          </w:p>
        </w:tc>
        <w:tc>
          <w:tcPr>
            <w:tcW w:w="0" w:type="auto"/>
            <w:vAlign w:val="center"/>
            <w:hideMark/>
          </w:tcPr>
          <w:p w14:paraId="269C501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Annual</w:t>
            </w:r>
          </w:p>
        </w:tc>
        <w:tc>
          <w:tcPr>
            <w:tcW w:w="0" w:type="auto"/>
            <w:vAlign w:val="center"/>
            <w:hideMark/>
          </w:tcPr>
          <w:p w14:paraId="55B8CDA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eastAsia="zh-CN"/>
              </w:rPr>
              <w:t>10</w:t>
            </w:r>
            <w:r w:rsidRPr="00705903">
              <w:rPr>
                <w:sz w:val="20"/>
                <w:szCs w:val="20"/>
                <w:lang w:val="en-US"/>
              </w:rPr>
              <w:t>%</w:t>
            </w:r>
          </w:p>
        </w:tc>
        <w:tc>
          <w:tcPr>
            <w:tcW w:w="0" w:type="auto"/>
            <w:vAlign w:val="center"/>
            <w:hideMark/>
          </w:tcPr>
          <w:p w14:paraId="2DB771D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i/>
                <w:iCs/>
                <w:sz w:val="20"/>
                <w:szCs w:val="20"/>
                <w:lang w:val="en-US"/>
              </w:rPr>
              <w:t>S_HL mean = −</w:t>
            </w:r>
            <w:r w:rsidRPr="00705903">
              <w:rPr>
                <w:i/>
                <w:iCs/>
                <w:sz w:val="20"/>
                <w:szCs w:val="20"/>
                <w:lang w:val="en-US" w:eastAsia="zh-CN"/>
              </w:rPr>
              <w:t>1.</w:t>
            </w:r>
            <w:r w:rsidRPr="00705903">
              <w:rPr>
                <w:i/>
                <w:iCs/>
                <w:sz w:val="20"/>
                <w:szCs w:val="20"/>
                <w:lang w:val="en-US"/>
              </w:rPr>
              <w:t>24, t = −1.8</w:t>
            </w:r>
            <w:r w:rsidRPr="00705903">
              <w:rPr>
                <w:i/>
                <w:iCs/>
                <w:sz w:val="20"/>
                <w:szCs w:val="20"/>
                <w:lang w:val="en-US" w:eastAsia="zh-CN"/>
              </w:rPr>
              <w:t>2</w:t>
            </w:r>
            <w:r w:rsidRPr="00705903">
              <w:rPr>
                <w:i/>
                <w:iCs/>
                <w:sz w:val="20"/>
                <w:szCs w:val="20"/>
                <w:lang w:val="en-US"/>
              </w:rPr>
              <w:t>, p = 0.09 → significant at 10%.</w:t>
            </w:r>
          </w:p>
        </w:tc>
      </w:tr>
      <w:tr w:rsidR="00AB238E" w:rsidRPr="00705903" w14:paraId="7BC75EA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0D36EB"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C. 5 Deciles (Value-Weighted)</w:t>
            </w:r>
          </w:p>
        </w:tc>
        <w:tc>
          <w:tcPr>
            <w:tcW w:w="0" w:type="auto"/>
            <w:vAlign w:val="center"/>
            <w:hideMark/>
          </w:tcPr>
          <w:p w14:paraId="410091D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Firms are grouped into 5 deciles by S scores, weighted by market capitalization. Both annual and daily compounded returns are computed.</w:t>
            </w:r>
          </w:p>
        </w:tc>
        <w:tc>
          <w:tcPr>
            <w:tcW w:w="0" w:type="auto"/>
            <w:vAlign w:val="center"/>
            <w:hideMark/>
          </w:tcPr>
          <w:p w14:paraId="4DE7AEF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Value-weighted</w:t>
            </w:r>
          </w:p>
        </w:tc>
        <w:tc>
          <w:tcPr>
            <w:tcW w:w="0" w:type="auto"/>
            <w:vAlign w:val="center"/>
            <w:hideMark/>
          </w:tcPr>
          <w:p w14:paraId="4C30D72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Annual &amp; Daily</w:t>
            </w:r>
          </w:p>
        </w:tc>
        <w:tc>
          <w:tcPr>
            <w:tcW w:w="0" w:type="auto"/>
            <w:vAlign w:val="center"/>
            <w:hideMark/>
          </w:tcPr>
          <w:p w14:paraId="08BA082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10</w:t>
            </w:r>
            <w:r w:rsidRPr="00705903">
              <w:rPr>
                <w:sz w:val="20"/>
                <w:szCs w:val="20"/>
                <w:lang w:val="en-US"/>
              </w:rPr>
              <w:t>%</w:t>
            </w:r>
          </w:p>
        </w:tc>
        <w:tc>
          <w:tcPr>
            <w:tcW w:w="0" w:type="auto"/>
            <w:vAlign w:val="center"/>
            <w:hideMark/>
          </w:tcPr>
          <w:p w14:paraId="63D84B2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i/>
                <w:iCs/>
                <w:sz w:val="20"/>
                <w:szCs w:val="20"/>
                <w:lang w:val="en-US"/>
              </w:rPr>
              <w:t>Annual H–L: mean = −0.072, t = −1.78, p = 0.095 → significant at 10%; Daily H–L: t = −1.85, p = 0.065 → significant at 10%.</w:t>
            </w:r>
          </w:p>
        </w:tc>
      </w:tr>
    </w:tbl>
    <w:p w14:paraId="2A87C7F9" w14:textId="77777777" w:rsidR="00AB238E" w:rsidRPr="00705903" w:rsidRDefault="00AB238E" w:rsidP="0097761F">
      <w:pPr>
        <w:spacing w:line="259" w:lineRule="auto"/>
        <w:ind w:firstLine="0"/>
        <w:jc w:val="both"/>
        <w:rPr>
          <w:sz w:val="20"/>
          <w:szCs w:val="20"/>
        </w:rPr>
      </w:pPr>
    </w:p>
    <w:p w14:paraId="360F6D0E" w14:textId="77777777" w:rsidR="00AB238E" w:rsidRPr="00705903" w:rsidRDefault="00AB238E" w:rsidP="0097761F">
      <w:pPr>
        <w:spacing w:line="259" w:lineRule="auto"/>
        <w:ind w:firstLine="0"/>
        <w:jc w:val="both"/>
        <w:rPr>
          <w:sz w:val="20"/>
          <w:szCs w:val="20"/>
          <w:lang w:val="en-US"/>
        </w:rPr>
      </w:pPr>
      <w:r w:rsidRPr="00705903">
        <w:rPr>
          <w:b/>
          <w:bCs/>
          <w:sz w:val="20"/>
          <w:szCs w:val="20"/>
          <w:lang w:val="en-US"/>
        </w:rPr>
        <w:t>Notes</w:t>
      </w:r>
      <w:r w:rsidRPr="00705903">
        <w:rPr>
          <w:b/>
          <w:bCs/>
          <w:sz w:val="20"/>
          <w:szCs w:val="20"/>
          <w:lang w:val="en-US" w:eastAsia="zh-CN"/>
        </w:rPr>
        <w:t xml:space="preserve">. </w:t>
      </w:r>
      <w:r w:rsidRPr="00705903">
        <w:rPr>
          <w:sz w:val="20"/>
          <w:szCs w:val="20"/>
          <w:lang w:val="en-US"/>
        </w:rPr>
        <w:t xml:space="preserve">This table summarizes portfolio-level tests for </w:t>
      </w:r>
      <w:r w:rsidRPr="00705903">
        <w:rPr>
          <w:i/>
          <w:iCs/>
          <w:sz w:val="20"/>
          <w:szCs w:val="20"/>
          <w:lang w:val="en-US"/>
        </w:rPr>
        <w:t>Social (S)</w:t>
      </w:r>
      <w:r w:rsidRPr="00705903">
        <w:rPr>
          <w:sz w:val="20"/>
          <w:szCs w:val="20"/>
          <w:lang w:val="en-US"/>
        </w:rPr>
        <w:t>-sorted portfolios.</w:t>
      </w:r>
      <w:r w:rsidRPr="00705903">
        <w:rPr>
          <w:sz w:val="20"/>
          <w:szCs w:val="20"/>
          <w:lang w:val="en-US"/>
        </w:rPr>
        <w:br/>
      </w:r>
      <w:r w:rsidRPr="00705903">
        <w:rPr>
          <w:i/>
          <w:iCs/>
          <w:sz w:val="20"/>
          <w:szCs w:val="20"/>
          <w:lang w:val="en-US"/>
        </w:rPr>
        <w:t>S_HL</w:t>
      </w:r>
      <w:r w:rsidRPr="00705903">
        <w:rPr>
          <w:sz w:val="20"/>
          <w:szCs w:val="20"/>
          <w:lang w:val="en-US"/>
        </w:rPr>
        <w:t xml:space="preserve"> denotes the return differential between the highest-S (Decile 1 or 5) and </w:t>
      </w:r>
      <w:proofErr w:type="gramStart"/>
      <w:r w:rsidRPr="00705903">
        <w:rPr>
          <w:sz w:val="20"/>
          <w:szCs w:val="20"/>
          <w:lang w:val="en-US"/>
        </w:rPr>
        <w:t>lowest-</w:t>
      </w:r>
      <w:proofErr w:type="gramEnd"/>
      <w:r w:rsidRPr="00705903">
        <w:rPr>
          <w:sz w:val="20"/>
          <w:szCs w:val="20"/>
          <w:lang w:val="en-US"/>
        </w:rPr>
        <w:t>S (Decile 10 or 5) portfolios.</w:t>
      </w:r>
      <w:r w:rsidRPr="00705903">
        <w:rPr>
          <w:sz w:val="20"/>
          <w:szCs w:val="20"/>
          <w:lang w:val="en-US" w:eastAsia="zh-CN"/>
        </w:rPr>
        <w:t xml:space="preserve"> </w:t>
      </w:r>
      <w:r w:rsidRPr="00705903">
        <w:rPr>
          <w:sz w:val="20"/>
          <w:szCs w:val="20"/>
          <w:lang w:val="en-US"/>
        </w:rPr>
        <w:t>Negative and marginally significant coefficients suggest that firms with stronger social responsibility tend to underperform slightly in subsequent periods, indicating a potential “social cost premium.”</w:t>
      </w:r>
    </w:p>
    <w:p w14:paraId="08D78483" w14:textId="77777777" w:rsidR="00AB238E" w:rsidRPr="00705903" w:rsidRDefault="00AB238E" w:rsidP="0097761F">
      <w:pPr>
        <w:spacing w:line="259" w:lineRule="auto"/>
        <w:ind w:firstLine="0"/>
        <w:jc w:val="both"/>
        <w:rPr>
          <w:sz w:val="20"/>
          <w:szCs w:val="20"/>
          <w:lang w:val="en-US"/>
        </w:rPr>
      </w:pPr>
      <w:r w:rsidRPr="00705903">
        <w:rPr>
          <w:i/>
          <w:iCs/>
          <w:sz w:val="20"/>
          <w:szCs w:val="20"/>
          <w:lang w:val="en-US"/>
        </w:rPr>
        <w:t>(Significance levels: *** p &lt; 0.01, ** p &lt; 0.05, * p &lt; 0.10.)</w:t>
      </w:r>
    </w:p>
    <w:p w14:paraId="4F034192" w14:textId="77777777" w:rsidR="00AB238E" w:rsidRPr="00705903" w:rsidRDefault="00AB238E" w:rsidP="0097761F">
      <w:pPr>
        <w:spacing w:line="259" w:lineRule="auto"/>
        <w:ind w:firstLine="0"/>
        <w:jc w:val="both"/>
        <w:rPr>
          <w:lang w:val="en-US"/>
        </w:rPr>
      </w:pPr>
    </w:p>
    <w:p w14:paraId="4AF76FC8" w14:textId="77777777" w:rsidR="00AB238E" w:rsidRPr="00705903" w:rsidRDefault="00AB238E" w:rsidP="0097761F">
      <w:pPr>
        <w:spacing w:line="259" w:lineRule="auto"/>
        <w:ind w:firstLine="0"/>
        <w:jc w:val="both"/>
        <w:rPr>
          <w:lang w:val="en-US"/>
        </w:rPr>
      </w:pPr>
    </w:p>
    <w:p w14:paraId="11881B29" w14:textId="77777777" w:rsidR="00AB238E" w:rsidRPr="00705903" w:rsidRDefault="00AB238E" w:rsidP="0097761F">
      <w:pPr>
        <w:spacing w:after="160" w:line="259" w:lineRule="auto"/>
        <w:ind w:firstLine="0"/>
        <w:jc w:val="both"/>
        <w:rPr>
          <w:lang w:val="en-US"/>
        </w:rPr>
      </w:pPr>
      <w:r w:rsidRPr="00705903">
        <w:rPr>
          <w:lang w:val="en-US"/>
        </w:rPr>
        <w:br w:type="page"/>
      </w:r>
    </w:p>
    <w:p w14:paraId="2D869CA8" w14:textId="77777777" w:rsidR="00AB238E" w:rsidRPr="00705903" w:rsidRDefault="00AB238E" w:rsidP="0097761F">
      <w:pPr>
        <w:pStyle w:val="Heading1"/>
      </w:pPr>
      <w:r w:rsidRPr="00705903">
        <w:t>Table 23. Portfolio Tests on Governance (G) Deciles: Average and High–Low Returns (2007–2022)</w:t>
      </w:r>
    </w:p>
    <w:p w14:paraId="2034ABAE" w14:textId="77777777" w:rsidR="00AB238E" w:rsidRPr="00705903" w:rsidRDefault="00AB238E" w:rsidP="0097761F">
      <w:pPr>
        <w:spacing w:line="259" w:lineRule="auto"/>
        <w:ind w:firstLine="0"/>
        <w:jc w:val="both"/>
        <w:rPr>
          <w:lang w:val="en-US"/>
        </w:rPr>
      </w:pPr>
    </w:p>
    <w:p w14:paraId="1FAAF31A"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This table presents portfolio tests based on firms’ Governance (G) pillar scores to examine whether better corporate governance is associated with different return outcomes.</w:t>
      </w:r>
      <w:r w:rsidRPr="00705903">
        <w:rPr>
          <w:sz w:val="20"/>
          <w:szCs w:val="20"/>
          <w:lang w:val="en-US" w:eastAsia="zh-CN"/>
        </w:rPr>
        <w:t xml:space="preserve"> </w:t>
      </w:r>
      <w:r w:rsidRPr="00705903">
        <w:rPr>
          <w:sz w:val="20"/>
          <w:szCs w:val="20"/>
          <w:lang w:val="en-US"/>
        </w:rPr>
        <w:t>Firms are sorted annually into deciles or quintiles according to their G scores, and portfolio returns are calculated under both equal- and value-weighted schemes.</w:t>
      </w:r>
    </w:p>
    <w:p w14:paraId="7C3CEB75" w14:textId="77777777" w:rsidR="00AB238E" w:rsidRPr="00705903" w:rsidRDefault="00AB238E" w:rsidP="0097761F">
      <w:pPr>
        <w:spacing w:line="259" w:lineRule="auto"/>
        <w:ind w:firstLine="0"/>
        <w:jc w:val="both"/>
        <w:rPr>
          <w:sz w:val="20"/>
          <w:szCs w:val="20"/>
          <w:lang w:val="en-US"/>
        </w:rPr>
      </w:pPr>
    </w:p>
    <w:p w14:paraId="4821DE7D"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Panel A applies a 10-decile equal-weighted sort, Panel B re-sorts into 5 deciles, and Panel C uses value-weighted portfolios with both annual and daily compounding.</w:t>
      </w:r>
      <w:r w:rsidRPr="00705903">
        <w:rPr>
          <w:sz w:val="20"/>
          <w:szCs w:val="20"/>
          <w:lang w:val="en-US" w:eastAsia="zh-CN"/>
        </w:rPr>
        <w:t xml:space="preserve"> </w:t>
      </w:r>
      <w:r w:rsidRPr="00705903">
        <w:rPr>
          <w:sz w:val="20"/>
          <w:szCs w:val="20"/>
          <w:lang w:val="en-US"/>
        </w:rPr>
        <w:t>The results show that governance-based High–Low (H–L) returns are negative and statistically significant in most specifications, suggesting that firms with stronger governance structures tend to underperform, consistent with a “governance premium” interpretation.</w:t>
      </w:r>
    </w:p>
    <w:p w14:paraId="56614C55" w14:textId="77777777" w:rsidR="00AB238E" w:rsidRPr="00705903" w:rsidRDefault="00AB238E" w:rsidP="0097761F">
      <w:pPr>
        <w:spacing w:line="259" w:lineRule="auto"/>
        <w:ind w:firstLine="0"/>
        <w:jc w:val="both"/>
        <w:rPr>
          <w:sz w:val="20"/>
          <w:szCs w:val="20"/>
          <w:lang w:val="en-US"/>
        </w:rPr>
      </w:pPr>
    </w:p>
    <w:tbl>
      <w:tblPr>
        <w:tblStyle w:val="PlainTable2"/>
        <w:tblW w:w="0" w:type="auto"/>
        <w:tblLook w:val="04A0" w:firstRow="1" w:lastRow="0" w:firstColumn="1" w:lastColumn="0" w:noHBand="0" w:noVBand="1"/>
      </w:tblPr>
      <w:tblGrid>
        <w:gridCol w:w="1235"/>
        <w:gridCol w:w="2465"/>
        <w:gridCol w:w="1090"/>
        <w:gridCol w:w="1121"/>
        <w:gridCol w:w="1259"/>
        <w:gridCol w:w="2190"/>
      </w:tblGrid>
      <w:tr w:rsidR="00AB238E" w:rsidRPr="00705903" w14:paraId="31C9A37E"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BA3A6F"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Panel</w:t>
            </w:r>
          </w:p>
        </w:tc>
        <w:tc>
          <w:tcPr>
            <w:tcW w:w="0" w:type="auto"/>
            <w:vAlign w:val="center"/>
            <w:hideMark/>
          </w:tcPr>
          <w:p w14:paraId="1C60A133"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Specification</w:t>
            </w:r>
          </w:p>
        </w:tc>
        <w:tc>
          <w:tcPr>
            <w:tcW w:w="0" w:type="auto"/>
            <w:vAlign w:val="center"/>
            <w:hideMark/>
          </w:tcPr>
          <w:p w14:paraId="4214D228"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Weighting</w:t>
            </w:r>
          </w:p>
        </w:tc>
        <w:tc>
          <w:tcPr>
            <w:tcW w:w="0" w:type="auto"/>
            <w:vAlign w:val="center"/>
            <w:hideMark/>
          </w:tcPr>
          <w:p w14:paraId="33CF1DF3"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Frequency</w:t>
            </w:r>
          </w:p>
        </w:tc>
        <w:tc>
          <w:tcPr>
            <w:tcW w:w="0" w:type="auto"/>
            <w:vAlign w:val="center"/>
            <w:hideMark/>
          </w:tcPr>
          <w:p w14:paraId="2BBCCFD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Significance Level</w:t>
            </w:r>
          </w:p>
        </w:tc>
        <w:tc>
          <w:tcPr>
            <w:tcW w:w="0" w:type="auto"/>
            <w:vAlign w:val="center"/>
            <w:hideMark/>
          </w:tcPr>
          <w:p w14:paraId="057D44EB"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Result Summary</w:t>
            </w:r>
          </w:p>
        </w:tc>
      </w:tr>
      <w:tr w:rsidR="00AB238E" w:rsidRPr="00705903" w14:paraId="02CB0D7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91F47D"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 xml:space="preserve">A. 10 Deciles </w:t>
            </w:r>
            <w:r w:rsidRPr="00705903">
              <w:rPr>
                <w:b w:val="0"/>
                <w:bCs w:val="0"/>
                <w:i/>
                <w:iCs/>
                <w:sz w:val="20"/>
                <w:szCs w:val="20"/>
                <w:lang w:val="en-US"/>
              </w:rPr>
              <w:t>(Equal-Weighted)</w:t>
            </w:r>
          </w:p>
        </w:tc>
        <w:tc>
          <w:tcPr>
            <w:tcW w:w="0" w:type="auto"/>
            <w:vAlign w:val="center"/>
            <w:hideMark/>
          </w:tcPr>
          <w:p w14:paraId="3D5D1F7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Firms are sorted annually into 10 deciles by G scores (Decile 1 = highest G). Portfolio returns are averaged annually.</w:t>
            </w:r>
          </w:p>
        </w:tc>
        <w:tc>
          <w:tcPr>
            <w:tcW w:w="0" w:type="auto"/>
            <w:vAlign w:val="center"/>
            <w:hideMark/>
          </w:tcPr>
          <w:p w14:paraId="388D4A6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Equal-weighted</w:t>
            </w:r>
          </w:p>
        </w:tc>
        <w:tc>
          <w:tcPr>
            <w:tcW w:w="0" w:type="auto"/>
            <w:vAlign w:val="center"/>
            <w:hideMark/>
          </w:tcPr>
          <w:p w14:paraId="1F6C75B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Annual</w:t>
            </w:r>
          </w:p>
        </w:tc>
        <w:tc>
          <w:tcPr>
            <w:tcW w:w="0" w:type="auto"/>
            <w:vAlign w:val="center"/>
            <w:hideMark/>
          </w:tcPr>
          <w:p w14:paraId="1EED941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5</w:t>
            </w:r>
            <w:r w:rsidRPr="00705903">
              <w:rPr>
                <w:sz w:val="20"/>
                <w:szCs w:val="20"/>
                <w:lang w:val="en-US"/>
              </w:rPr>
              <w:t>%</w:t>
            </w:r>
          </w:p>
        </w:tc>
        <w:tc>
          <w:tcPr>
            <w:tcW w:w="0" w:type="auto"/>
            <w:vAlign w:val="center"/>
            <w:hideMark/>
          </w:tcPr>
          <w:p w14:paraId="1B57650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i/>
                <w:iCs/>
                <w:sz w:val="20"/>
                <w:szCs w:val="20"/>
                <w:lang w:val="en-US"/>
              </w:rPr>
              <w:t>G_HL mean = −9.06, t = −2.73, p = 0.015 → significant at 5%.</w:t>
            </w:r>
          </w:p>
        </w:tc>
      </w:tr>
      <w:tr w:rsidR="00AB238E" w:rsidRPr="00705903" w14:paraId="72828D4A" w14:textId="77777777" w:rsidTr="00A4523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CF6A5D"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 xml:space="preserve">B. 5 Deciles </w:t>
            </w:r>
            <w:r w:rsidRPr="00705903">
              <w:rPr>
                <w:b w:val="0"/>
                <w:bCs w:val="0"/>
                <w:i/>
                <w:iCs/>
                <w:sz w:val="20"/>
                <w:szCs w:val="20"/>
                <w:lang w:val="en-US"/>
              </w:rPr>
              <w:t>(Equal-Weighted)</w:t>
            </w:r>
          </w:p>
        </w:tc>
        <w:tc>
          <w:tcPr>
            <w:tcW w:w="0" w:type="auto"/>
            <w:vAlign w:val="center"/>
            <w:hideMark/>
          </w:tcPr>
          <w:p w14:paraId="2A30421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Firms are re-sorted into 5 deciles. Annual equal-</w:t>
            </w:r>
            <w:proofErr w:type="gramStart"/>
            <w:r w:rsidRPr="00705903">
              <w:rPr>
                <w:sz w:val="20"/>
                <w:szCs w:val="20"/>
                <w:lang w:val="en-US"/>
              </w:rPr>
              <w:t>weighted</w:t>
            </w:r>
            <w:proofErr w:type="gramEnd"/>
            <w:r w:rsidRPr="00705903">
              <w:rPr>
                <w:sz w:val="20"/>
                <w:szCs w:val="20"/>
                <w:lang w:val="en-US"/>
              </w:rPr>
              <w:t xml:space="preserve"> returns are computed.</w:t>
            </w:r>
          </w:p>
        </w:tc>
        <w:tc>
          <w:tcPr>
            <w:tcW w:w="0" w:type="auto"/>
            <w:vAlign w:val="center"/>
            <w:hideMark/>
          </w:tcPr>
          <w:p w14:paraId="1865123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Equal-weighted</w:t>
            </w:r>
          </w:p>
        </w:tc>
        <w:tc>
          <w:tcPr>
            <w:tcW w:w="0" w:type="auto"/>
            <w:vAlign w:val="center"/>
            <w:hideMark/>
          </w:tcPr>
          <w:p w14:paraId="7878FDA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Annual</w:t>
            </w:r>
          </w:p>
        </w:tc>
        <w:tc>
          <w:tcPr>
            <w:tcW w:w="0" w:type="auto"/>
            <w:vAlign w:val="center"/>
            <w:hideMark/>
          </w:tcPr>
          <w:p w14:paraId="54A8E86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w:t>
            </w:r>
          </w:p>
        </w:tc>
        <w:tc>
          <w:tcPr>
            <w:tcW w:w="0" w:type="auto"/>
            <w:vAlign w:val="center"/>
            <w:hideMark/>
          </w:tcPr>
          <w:p w14:paraId="6EE8C2B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i/>
                <w:iCs/>
                <w:sz w:val="20"/>
                <w:szCs w:val="20"/>
                <w:lang w:val="en-US"/>
              </w:rPr>
              <w:t>G_HL mean = −7.77, t = −3.26, p = 0.005 → significant at 1%.</w:t>
            </w:r>
          </w:p>
        </w:tc>
      </w:tr>
      <w:tr w:rsidR="00AB238E" w:rsidRPr="00705903" w14:paraId="74E004B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7353AF"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 xml:space="preserve">C. 5 Deciles </w:t>
            </w:r>
            <w:r w:rsidRPr="00705903">
              <w:rPr>
                <w:b w:val="0"/>
                <w:bCs w:val="0"/>
                <w:i/>
                <w:iCs/>
                <w:sz w:val="20"/>
                <w:szCs w:val="20"/>
                <w:lang w:val="en-US"/>
              </w:rPr>
              <w:t>(Value-Weighted)</w:t>
            </w:r>
          </w:p>
        </w:tc>
        <w:tc>
          <w:tcPr>
            <w:tcW w:w="0" w:type="auto"/>
            <w:vAlign w:val="center"/>
            <w:hideMark/>
          </w:tcPr>
          <w:p w14:paraId="045E278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 xml:space="preserve">Firms are grouped into 5 </w:t>
            </w:r>
            <w:proofErr w:type="gramStart"/>
            <w:r w:rsidRPr="00705903">
              <w:rPr>
                <w:sz w:val="20"/>
                <w:szCs w:val="20"/>
                <w:lang w:val="en-US"/>
              </w:rPr>
              <w:t>deciles</w:t>
            </w:r>
            <w:proofErr w:type="gramEnd"/>
            <w:r w:rsidRPr="00705903">
              <w:rPr>
                <w:sz w:val="20"/>
                <w:szCs w:val="20"/>
                <w:lang w:val="en-US"/>
              </w:rPr>
              <w:t xml:space="preserve"> by G scores, weighted by market capitalization. Both annual and daily compounded returns are computed.</w:t>
            </w:r>
          </w:p>
        </w:tc>
        <w:tc>
          <w:tcPr>
            <w:tcW w:w="0" w:type="auto"/>
            <w:vAlign w:val="center"/>
            <w:hideMark/>
          </w:tcPr>
          <w:p w14:paraId="2B1F66C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Value-weighted</w:t>
            </w:r>
          </w:p>
        </w:tc>
        <w:tc>
          <w:tcPr>
            <w:tcW w:w="0" w:type="auto"/>
            <w:vAlign w:val="center"/>
            <w:hideMark/>
          </w:tcPr>
          <w:p w14:paraId="6EB66FA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Annual &amp; Daily</w:t>
            </w:r>
          </w:p>
        </w:tc>
        <w:tc>
          <w:tcPr>
            <w:tcW w:w="0" w:type="auto"/>
            <w:vAlign w:val="center"/>
            <w:hideMark/>
          </w:tcPr>
          <w:p w14:paraId="67E63C9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1</w:t>
            </w:r>
            <w:r w:rsidRPr="00705903">
              <w:rPr>
                <w:sz w:val="20"/>
                <w:szCs w:val="20"/>
                <w:lang w:val="en-US"/>
              </w:rPr>
              <w:t>%</w:t>
            </w:r>
          </w:p>
        </w:tc>
        <w:tc>
          <w:tcPr>
            <w:tcW w:w="0" w:type="auto"/>
            <w:vAlign w:val="center"/>
            <w:hideMark/>
          </w:tcPr>
          <w:p w14:paraId="06AEA44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i/>
                <w:iCs/>
                <w:sz w:val="20"/>
                <w:szCs w:val="20"/>
                <w:lang w:val="en-US"/>
              </w:rPr>
              <w:t xml:space="preserve">Annual H–L: mean = −0.158, t = −0.55, p = 0.60 (ns) → </w:t>
            </w:r>
            <w:r w:rsidRPr="00705903">
              <w:rPr>
                <w:i/>
                <w:iCs/>
                <w:sz w:val="20"/>
                <w:szCs w:val="20"/>
                <w:lang w:val="en-US" w:eastAsia="zh-CN"/>
              </w:rPr>
              <w:t xml:space="preserve">not </w:t>
            </w:r>
            <w:r w:rsidRPr="00705903">
              <w:rPr>
                <w:i/>
                <w:iCs/>
                <w:sz w:val="20"/>
                <w:szCs w:val="20"/>
                <w:lang w:val="en-US"/>
              </w:rPr>
              <w:t>significant at 10%; Daily H–L: t = −3.12, p = 0.002 → significant at 1%.</w:t>
            </w:r>
          </w:p>
        </w:tc>
      </w:tr>
    </w:tbl>
    <w:p w14:paraId="5121B5AC" w14:textId="77777777" w:rsidR="00AB238E" w:rsidRPr="00705903" w:rsidRDefault="00AB238E" w:rsidP="0097761F">
      <w:pPr>
        <w:spacing w:line="259" w:lineRule="auto"/>
        <w:ind w:firstLine="0"/>
        <w:jc w:val="both"/>
        <w:rPr>
          <w:sz w:val="20"/>
          <w:szCs w:val="20"/>
          <w:lang w:val="en-US"/>
        </w:rPr>
      </w:pPr>
    </w:p>
    <w:p w14:paraId="1543758F" w14:textId="77777777" w:rsidR="00AB238E" w:rsidRPr="00705903" w:rsidRDefault="00AB238E" w:rsidP="0097761F">
      <w:pPr>
        <w:spacing w:line="259" w:lineRule="auto"/>
        <w:ind w:firstLine="0"/>
        <w:jc w:val="both"/>
        <w:rPr>
          <w:sz w:val="20"/>
          <w:szCs w:val="20"/>
          <w:lang w:val="en-US"/>
        </w:rPr>
      </w:pPr>
      <w:r w:rsidRPr="00705903">
        <w:rPr>
          <w:b/>
          <w:bCs/>
          <w:sz w:val="20"/>
          <w:szCs w:val="20"/>
          <w:lang w:val="en-US"/>
        </w:rPr>
        <w:t>Notes</w:t>
      </w:r>
      <w:r w:rsidRPr="00705903">
        <w:rPr>
          <w:b/>
          <w:bCs/>
          <w:sz w:val="20"/>
          <w:szCs w:val="20"/>
          <w:lang w:val="en-US" w:eastAsia="zh-CN"/>
        </w:rPr>
        <w:t xml:space="preserve">. </w:t>
      </w:r>
      <w:r w:rsidRPr="00705903">
        <w:rPr>
          <w:sz w:val="20"/>
          <w:szCs w:val="20"/>
          <w:lang w:val="en-US"/>
        </w:rPr>
        <w:t xml:space="preserve">This table summarizes portfolio-level tests for </w:t>
      </w:r>
      <w:r w:rsidRPr="00705903">
        <w:rPr>
          <w:i/>
          <w:iCs/>
          <w:sz w:val="20"/>
          <w:szCs w:val="20"/>
          <w:lang w:val="en-US"/>
        </w:rPr>
        <w:t>Governance (G)</w:t>
      </w:r>
      <w:r w:rsidRPr="00705903">
        <w:rPr>
          <w:sz w:val="20"/>
          <w:szCs w:val="20"/>
          <w:lang w:val="en-US"/>
        </w:rPr>
        <w:t>-sorted portfolios.</w:t>
      </w:r>
      <w:r w:rsidRPr="00705903">
        <w:rPr>
          <w:sz w:val="20"/>
          <w:szCs w:val="20"/>
          <w:lang w:val="en-US"/>
        </w:rPr>
        <w:br/>
      </w:r>
      <w:r w:rsidRPr="00705903">
        <w:rPr>
          <w:i/>
          <w:iCs/>
          <w:sz w:val="20"/>
          <w:szCs w:val="20"/>
          <w:lang w:val="en-US"/>
        </w:rPr>
        <w:t>G_HL</w:t>
      </w:r>
      <w:r w:rsidRPr="00705903">
        <w:rPr>
          <w:sz w:val="20"/>
          <w:szCs w:val="20"/>
          <w:lang w:val="en-US"/>
        </w:rPr>
        <w:t xml:space="preserve"> denotes the return differential between the highest-G (Decile 1 or 5) and lowest-G (Decile 10 or 5) portfolios.</w:t>
      </w:r>
      <w:r w:rsidRPr="00705903">
        <w:rPr>
          <w:sz w:val="20"/>
          <w:szCs w:val="20"/>
          <w:lang w:val="en-US" w:eastAsia="zh-CN"/>
        </w:rPr>
        <w:t xml:space="preserve"> </w:t>
      </w:r>
      <w:r w:rsidRPr="00705903">
        <w:rPr>
          <w:sz w:val="20"/>
          <w:szCs w:val="20"/>
          <w:lang w:val="en-US"/>
        </w:rPr>
        <w:t>Governance exhibits the strongest and most consistent negative relation with returns among the three ESG pillars.</w:t>
      </w:r>
      <w:r w:rsidRPr="00705903">
        <w:rPr>
          <w:sz w:val="20"/>
          <w:szCs w:val="20"/>
          <w:lang w:val="en-US" w:eastAsia="zh-CN"/>
        </w:rPr>
        <w:t xml:space="preserve"> </w:t>
      </w:r>
      <w:r w:rsidRPr="00705903">
        <w:rPr>
          <w:sz w:val="20"/>
          <w:szCs w:val="20"/>
          <w:lang w:val="en-US"/>
        </w:rPr>
        <w:t>The results suggest that highly governed firms are priced at a premium, leading to lower subsequent realized returns.</w:t>
      </w:r>
    </w:p>
    <w:p w14:paraId="58019BE8" w14:textId="77777777" w:rsidR="00AB238E" w:rsidRPr="00705903" w:rsidRDefault="00AB238E" w:rsidP="0097761F">
      <w:pPr>
        <w:spacing w:line="259" w:lineRule="auto"/>
        <w:ind w:firstLine="0"/>
        <w:jc w:val="both"/>
        <w:rPr>
          <w:sz w:val="20"/>
          <w:szCs w:val="20"/>
          <w:lang w:val="en-US"/>
        </w:rPr>
      </w:pPr>
      <w:r w:rsidRPr="00705903">
        <w:rPr>
          <w:i/>
          <w:iCs/>
          <w:sz w:val="20"/>
          <w:szCs w:val="20"/>
          <w:lang w:val="en-US"/>
        </w:rPr>
        <w:t>(Significance levels: *** p &lt; 0.01, ** p &lt; 0.05, * p &lt; 0.10.)</w:t>
      </w:r>
    </w:p>
    <w:p w14:paraId="50C6EC85" w14:textId="77777777" w:rsidR="00AB238E" w:rsidRPr="00705903" w:rsidRDefault="00AB238E" w:rsidP="0097761F">
      <w:pPr>
        <w:spacing w:line="259" w:lineRule="auto"/>
        <w:ind w:firstLine="0"/>
        <w:jc w:val="both"/>
        <w:rPr>
          <w:sz w:val="20"/>
          <w:szCs w:val="20"/>
          <w:lang w:val="en-US"/>
        </w:rPr>
      </w:pPr>
    </w:p>
    <w:p w14:paraId="7A6C90F7" w14:textId="77777777" w:rsidR="00AB238E" w:rsidRPr="00705903" w:rsidRDefault="00AB238E" w:rsidP="0097761F">
      <w:pPr>
        <w:spacing w:after="160" w:line="259" w:lineRule="auto"/>
        <w:ind w:firstLine="0"/>
        <w:jc w:val="both"/>
        <w:rPr>
          <w:b/>
          <w:bCs/>
          <w:szCs w:val="24"/>
          <w:lang w:val="en-US" w:eastAsia="zh-CN"/>
        </w:rPr>
      </w:pPr>
      <w:r w:rsidRPr="00705903">
        <w:br w:type="page"/>
      </w:r>
    </w:p>
    <w:p w14:paraId="32024E17" w14:textId="77777777" w:rsidR="00AB238E" w:rsidRPr="00705903" w:rsidRDefault="00AB238E" w:rsidP="0097761F">
      <w:pPr>
        <w:pStyle w:val="Heading1"/>
      </w:pPr>
      <w:r w:rsidRPr="00705903">
        <w:t>Table 24. Annualized and Cumulative Returns of the ESG High–Low Portfolio (2007–2022)</w:t>
      </w:r>
    </w:p>
    <w:p w14:paraId="1D7A93A9" w14:textId="77777777" w:rsidR="00AB238E" w:rsidRPr="00705903" w:rsidRDefault="00AB238E" w:rsidP="0097761F">
      <w:pPr>
        <w:spacing w:line="259" w:lineRule="auto"/>
        <w:ind w:firstLine="0"/>
        <w:jc w:val="both"/>
        <w:rPr>
          <w:sz w:val="20"/>
          <w:szCs w:val="20"/>
          <w:lang w:eastAsia="zh-CN"/>
        </w:rPr>
      </w:pPr>
    </w:p>
    <w:p w14:paraId="027F82EE"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The table reports the annualized and cumulative High–Low (H–L) portfolio returns by ESG pillar over 2007–2022.</w:t>
      </w:r>
      <w:r w:rsidRPr="00705903">
        <w:rPr>
          <w:sz w:val="20"/>
          <w:szCs w:val="20"/>
          <w:lang w:eastAsia="zh-CN"/>
        </w:rPr>
        <w:br/>
        <w:t>Negative mean returns across all dimensions indicate that firms with higher ESG (or E/S/G) ratings underperform their lower-rated counterparts on average.</w:t>
      </w:r>
      <w:r w:rsidRPr="00705903">
        <w:rPr>
          <w:sz w:val="20"/>
          <w:szCs w:val="20"/>
          <w:lang w:eastAsia="zh-CN"/>
        </w:rPr>
        <w:br/>
        <w:t>Governance (G) portfolios exhibit the largest volatility and cumulative loss (−102%), suggesting that governance scores may be more market-sensitive and prone to sentiment-driven reversals. Overall, ESG-related premiums appear episodic rather than persistent, aligning with prior findings in emerging ESG markets.</w:t>
      </w:r>
    </w:p>
    <w:p w14:paraId="70CE9157" w14:textId="77777777" w:rsidR="00AB238E" w:rsidRPr="00705903" w:rsidRDefault="00AB238E" w:rsidP="0097761F">
      <w:pPr>
        <w:spacing w:line="259" w:lineRule="auto"/>
        <w:ind w:firstLine="0"/>
        <w:jc w:val="both"/>
        <w:rPr>
          <w:sz w:val="20"/>
          <w:szCs w:val="20"/>
          <w:lang w:eastAsia="zh-CN"/>
        </w:rPr>
      </w:pPr>
    </w:p>
    <w:p w14:paraId="3FAAAF3E" w14:textId="77777777" w:rsidR="00AB238E" w:rsidRPr="00705903" w:rsidRDefault="00AB238E" w:rsidP="0097761F">
      <w:pPr>
        <w:spacing w:line="259" w:lineRule="auto"/>
        <w:ind w:firstLine="0"/>
        <w:jc w:val="both"/>
        <w:rPr>
          <w:sz w:val="20"/>
          <w:szCs w:val="20"/>
          <w:lang w:eastAsia="zh-CN"/>
        </w:rPr>
      </w:pPr>
    </w:p>
    <w:tbl>
      <w:tblPr>
        <w:tblStyle w:val="PlainTable2"/>
        <w:tblW w:w="0" w:type="auto"/>
        <w:tblLook w:val="04A0" w:firstRow="1" w:lastRow="0" w:firstColumn="1" w:lastColumn="0" w:noHBand="0" w:noVBand="1"/>
      </w:tblPr>
      <w:tblGrid>
        <w:gridCol w:w="1980"/>
        <w:gridCol w:w="1230"/>
        <w:gridCol w:w="1230"/>
        <w:gridCol w:w="1230"/>
        <w:gridCol w:w="1230"/>
        <w:gridCol w:w="1230"/>
        <w:gridCol w:w="1230"/>
      </w:tblGrid>
      <w:tr w:rsidR="00AB238E" w:rsidRPr="00705903" w14:paraId="53D2C758"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1211B904" w14:textId="77777777" w:rsidR="00AB238E" w:rsidRPr="00705903" w:rsidRDefault="00AB238E" w:rsidP="0097761F">
            <w:pPr>
              <w:spacing w:line="259" w:lineRule="auto"/>
              <w:ind w:firstLine="0"/>
              <w:jc w:val="both"/>
              <w:rPr>
                <w:b w:val="0"/>
                <w:bCs w:val="0"/>
                <w:sz w:val="20"/>
                <w:szCs w:val="20"/>
                <w:lang w:val="en-US" w:eastAsia="zh-CN"/>
              </w:rPr>
            </w:pPr>
            <w:r w:rsidRPr="00705903">
              <w:rPr>
                <w:b w:val="0"/>
                <w:bCs w:val="0"/>
                <w:sz w:val="20"/>
                <w:szCs w:val="20"/>
                <w:lang w:val="en-US" w:eastAsia="zh-CN"/>
              </w:rPr>
              <w:t>Pillar</w:t>
            </w:r>
          </w:p>
        </w:tc>
        <w:tc>
          <w:tcPr>
            <w:tcW w:w="1230" w:type="dxa"/>
            <w:vAlign w:val="center"/>
            <w:hideMark/>
          </w:tcPr>
          <w:p w14:paraId="4CF3799D"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Mean Annual H–L Return (%)</w:t>
            </w:r>
          </w:p>
        </w:tc>
        <w:tc>
          <w:tcPr>
            <w:tcW w:w="1230" w:type="dxa"/>
            <w:vAlign w:val="center"/>
            <w:hideMark/>
          </w:tcPr>
          <w:p w14:paraId="338D477D"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Std. Dev.</w:t>
            </w:r>
          </w:p>
        </w:tc>
        <w:tc>
          <w:tcPr>
            <w:tcW w:w="1230" w:type="dxa"/>
            <w:vAlign w:val="center"/>
            <w:hideMark/>
          </w:tcPr>
          <w:p w14:paraId="4DFC5CE0"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Cumulative Return (%)</w:t>
            </w:r>
          </w:p>
        </w:tc>
        <w:tc>
          <w:tcPr>
            <w:tcW w:w="1230" w:type="dxa"/>
            <w:vAlign w:val="center"/>
            <w:hideMark/>
          </w:tcPr>
          <w:p w14:paraId="6583EEBD"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 of Positive Years</w:t>
            </w:r>
          </w:p>
        </w:tc>
        <w:tc>
          <w:tcPr>
            <w:tcW w:w="1230" w:type="dxa"/>
            <w:vAlign w:val="center"/>
            <w:hideMark/>
          </w:tcPr>
          <w:p w14:paraId="116AC20C"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t-stat</w:t>
            </w:r>
          </w:p>
        </w:tc>
        <w:tc>
          <w:tcPr>
            <w:tcW w:w="1230" w:type="dxa"/>
            <w:vAlign w:val="center"/>
            <w:hideMark/>
          </w:tcPr>
          <w:p w14:paraId="47A303BA"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Significance</w:t>
            </w:r>
          </w:p>
        </w:tc>
      </w:tr>
      <w:tr w:rsidR="00AB238E" w:rsidRPr="00705903" w14:paraId="2D10D0EC"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bottom w:val="nil"/>
            </w:tcBorders>
            <w:hideMark/>
          </w:tcPr>
          <w:p w14:paraId="58364D77"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E (Environmental)</w:t>
            </w:r>
          </w:p>
        </w:tc>
        <w:tc>
          <w:tcPr>
            <w:tcW w:w="1230" w:type="dxa"/>
            <w:tcBorders>
              <w:bottom w:val="nil"/>
            </w:tcBorders>
            <w:vAlign w:val="center"/>
            <w:hideMark/>
          </w:tcPr>
          <w:p w14:paraId="3646A78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−4.1</w:t>
            </w:r>
          </w:p>
        </w:tc>
        <w:tc>
          <w:tcPr>
            <w:tcW w:w="1230" w:type="dxa"/>
            <w:tcBorders>
              <w:bottom w:val="nil"/>
            </w:tcBorders>
            <w:vAlign w:val="center"/>
            <w:hideMark/>
          </w:tcPr>
          <w:p w14:paraId="4F966D1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15.3</w:t>
            </w:r>
          </w:p>
        </w:tc>
        <w:tc>
          <w:tcPr>
            <w:tcW w:w="1230" w:type="dxa"/>
            <w:tcBorders>
              <w:bottom w:val="nil"/>
            </w:tcBorders>
            <w:vAlign w:val="center"/>
            <w:hideMark/>
          </w:tcPr>
          <w:p w14:paraId="58E4E7C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−59.1</w:t>
            </w:r>
          </w:p>
        </w:tc>
        <w:tc>
          <w:tcPr>
            <w:tcW w:w="1230" w:type="dxa"/>
            <w:tcBorders>
              <w:bottom w:val="nil"/>
            </w:tcBorders>
            <w:vAlign w:val="center"/>
            <w:hideMark/>
          </w:tcPr>
          <w:p w14:paraId="609C628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6 / 16</w:t>
            </w:r>
          </w:p>
        </w:tc>
        <w:tc>
          <w:tcPr>
            <w:tcW w:w="1230" w:type="dxa"/>
            <w:tcBorders>
              <w:bottom w:val="nil"/>
            </w:tcBorders>
            <w:vAlign w:val="center"/>
            <w:hideMark/>
          </w:tcPr>
          <w:p w14:paraId="6A7CDFC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−1.87</w:t>
            </w:r>
          </w:p>
        </w:tc>
        <w:tc>
          <w:tcPr>
            <w:tcW w:w="1230" w:type="dxa"/>
            <w:tcBorders>
              <w:bottom w:val="nil"/>
            </w:tcBorders>
            <w:vAlign w:val="center"/>
            <w:hideMark/>
          </w:tcPr>
          <w:p w14:paraId="53A2F15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w:t>
            </w:r>
          </w:p>
        </w:tc>
      </w:tr>
      <w:tr w:rsidR="00AB238E" w:rsidRPr="00705903" w14:paraId="4C8A34F3" w14:textId="77777777" w:rsidTr="00A4523E">
        <w:tc>
          <w:tcPr>
            <w:cnfStyle w:val="001000000000" w:firstRow="0" w:lastRow="0" w:firstColumn="1" w:lastColumn="0" w:oddVBand="0" w:evenVBand="0" w:oddHBand="0" w:evenHBand="0" w:firstRowFirstColumn="0" w:firstRowLastColumn="0" w:lastRowFirstColumn="0" w:lastRowLastColumn="0"/>
            <w:tcW w:w="1980" w:type="dxa"/>
            <w:tcBorders>
              <w:top w:val="nil"/>
              <w:bottom w:val="nil"/>
            </w:tcBorders>
            <w:hideMark/>
          </w:tcPr>
          <w:p w14:paraId="792BCA6B"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S (Social)</w:t>
            </w:r>
          </w:p>
        </w:tc>
        <w:tc>
          <w:tcPr>
            <w:tcW w:w="1230" w:type="dxa"/>
            <w:tcBorders>
              <w:top w:val="nil"/>
              <w:bottom w:val="nil"/>
            </w:tcBorders>
            <w:vAlign w:val="center"/>
            <w:hideMark/>
          </w:tcPr>
          <w:p w14:paraId="20015F2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−4.8</w:t>
            </w:r>
          </w:p>
        </w:tc>
        <w:tc>
          <w:tcPr>
            <w:tcW w:w="1230" w:type="dxa"/>
            <w:tcBorders>
              <w:top w:val="nil"/>
              <w:bottom w:val="nil"/>
            </w:tcBorders>
            <w:vAlign w:val="center"/>
            <w:hideMark/>
          </w:tcPr>
          <w:p w14:paraId="6FAC7E2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16.1</w:t>
            </w:r>
          </w:p>
        </w:tc>
        <w:tc>
          <w:tcPr>
            <w:tcW w:w="1230" w:type="dxa"/>
            <w:tcBorders>
              <w:top w:val="nil"/>
              <w:bottom w:val="nil"/>
            </w:tcBorders>
            <w:vAlign w:val="center"/>
            <w:hideMark/>
          </w:tcPr>
          <w:p w14:paraId="476FE12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−76.5</w:t>
            </w:r>
          </w:p>
        </w:tc>
        <w:tc>
          <w:tcPr>
            <w:tcW w:w="1230" w:type="dxa"/>
            <w:tcBorders>
              <w:top w:val="nil"/>
              <w:bottom w:val="nil"/>
            </w:tcBorders>
            <w:vAlign w:val="center"/>
            <w:hideMark/>
          </w:tcPr>
          <w:p w14:paraId="2A1E5AE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5 / 16</w:t>
            </w:r>
          </w:p>
        </w:tc>
        <w:tc>
          <w:tcPr>
            <w:tcW w:w="1230" w:type="dxa"/>
            <w:tcBorders>
              <w:top w:val="nil"/>
              <w:bottom w:val="nil"/>
            </w:tcBorders>
            <w:vAlign w:val="center"/>
            <w:hideMark/>
          </w:tcPr>
          <w:p w14:paraId="69915A4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−1.92</w:t>
            </w:r>
          </w:p>
        </w:tc>
        <w:tc>
          <w:tcPr>
            <w:tcW w:w="1230" w:type="dxa"/>
            <w:tcBorders>
              <w:top w:val="nil"/>
              <w:bottom w:val="nil"/>
            </w:tcBorders>
            <w:vAlign w:val="center"/>
            <w:hideMark/>
          </w:tcPr>
          <w:p w14:paraId="08414F4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w:t>
            </w:r>
          </w:p>
        </w:tc>
      </w:tr>
      <w:tr w:rsidR="00AB238E" w:rsidRPr="00705903" w14:paraId="7568FD9E"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il"/>
              <w:bottom w:val="nil"/>
            </w:tcBorders>
            <w:hideMark/>
          </w:tcPr>
          <w:p w14:paraId="6D1E1AED"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G (Governance)</w:t>
            </w:r>
          </w:p>
        </w:tc>
        <w:tc>
          <w:tcPr>
            <w:tcW w:w="1230" w:type="dxa"/>
            <w:tcBorders>
              <w:top w:val="nil"/>
              <w:bottom w:val="nil"/>
            </w:tcBorders>
            <w:vAlign w:val="center"/>
            <w:hideMark/>
          </w:tcPr>
          <w:p w14:paraId="36FBEF5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−6.7</w:t>
            </w:r>
          </w:p>
        </w:tc>
        <w:tc>
          <w:tcPr>
            <w:tcW w:w="1230" w:type="dxa"/>
            <w:tcBorders>
              <w:top w:val="nil"/>
              <w:bottom w:val="nil"/>
            </w:tcBorders>
            <w:vAlign w:val="center"/>
            <w:hideMark/>
          </w:tcPr>
          <w:p w14:paraId="7A1965D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24.5</w:t>
            </w:r>
          </w:p>
        </w:tc>
        <w:tc>
          <w:tcPr>
            <w:tcW w:w="1230" w:type="dxa"/>
            <w:tcBorders>
              <w:top w:val="nil"/>
              <w:bottom w:val="nil"/>
            </w:tcBorders>
            <w:vAlign w:val="center"/>
            <w:hideMark/>
          </w:tcPr>
          <w:p w14:paraId="3B64103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−102.1</w:t>
            </w:r>
          </w:p>
        </w:tc>
        <w:tc>
          <w:tcPr>
            <w:tcW w:w="1230" w:type="dxa"/>
            <w:tcBorders>
              <w:top w:val="nil"/>
              <w:bottom w:val="nil"/>
            </w:tcBorders>
            <w:vAlign w:val="center"/>
            <w:hideMark/>
          </w:tcPr>
          <w:p w14:paraId="08CFE42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4 / 16</w:t>
            </w:r>
          </w:p>
        </w:tc>
        <w:tc>
          <w:tcPr>
            <w:tcW w:w="1230" w:type="dxa"/>
            <w:tcBorders>
              <w:top w:val="nil"/>
              <w:bottom w:val="nil"/>
            </w:tcBorders>
            <w:vAlign w:val="center"/>
            <w:hideMark/>
          </w:tcPr>
          <w:p w14:paraId="2A71816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−2.15</w:t>
            </w:r>
          </w:p>
        </w:tc>
        <w:tc>
          <w:tcPr>
            <w:tcW w:w="1230" w:type="dxa"/>
            <w:tcBorders>
              <w:top w:val="nil"/>
              <w:bottom w:val="nil"/>
            </w:tcBorders>
            <w:vAlign w:val="center"/>
            <w:hideMark/>
          </w:tcPr>
          <w:p w14:paraId="5F7DBA8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w:t>
            </w:r>
          </w:p>
        </w:tc>
      </w:tr>
      <w:tr w:rsidR="00AB238E" w:rsidRPr="00705903" w14:paraId="4C325F6B" w14:textId="77777777" w:rsidTr="00A4523E">
        <w:tc>
          <w:tcPr>
            <w:cnfStyle w:val="001000000000" w:firstRow="0" w:lastRow="0" w:firstColumn="1" w:lastColumn="0" w:oddVBand="0" w:evenVBand="0" w:oddHBand="0" w:evenHBand="0" w:firstRowFirstColumn="0" w:firstRowLastColumn="0" w:lastRowFirstColumn="0" w:lastRowLastColumn="0"/>
            <w:tcW w:w="1980" w:type="dxa"/>
            <w:tcBorders>
              <w:top w:val="nil"/>
            </w:tcBorders>
            <w:hideMark/>
          </w:tcPr>
          <w:p w14:paraId="57D681EB"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Overall ESG</w:t>
            </w:r>
          </w:p>
        </w:tc>
        <w:tc>
          <w:tcPr>
            <w:tcW w:w="1230" w:type="dxa"/>
            <w:tcBorders>
              <w:top w:val="nil"/>
            </w:tcBorders>
            <w:vAlign w:val="center"/>
            <w:hideMark/>
          </w:tcPr>
          <w:p w14:paraId="5B43076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−4.0</w:t>
            </w:r>
          </w:p>
        </w:tc>
        <w:tc>
          <w:tcPr>
            <w:tcW w:w="1230" w:type="dxa"/>
            <w:tcBorders>
              <w:top w:val="nil"/>
            </w:tcBorders>
            <w:vAlign w:val="center"/>
            <w:hideMark/>
          </w:tcPr>
          <w:p w14:paraId="357F33D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12.4</w:t>
            </w:r>
          </w:p>
        </w:tc>
        <w:tc>
          <w:tcPr>
            <w:tcW w:w="1230" w:type="dxa"/>
            <w:tcBorders>
              <w:top w:val="nil"/>
            </w:tcBorders>
            <w:vAlign w:val="center"/>
            <w:hideMark/>
          </w:tcPr>
          <w:p w14:paraId="6BF46E8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−63.6</w:t>
            </w:r>
          </w:p>
        </w:tc>
        <w:tc>
          <w:tcPr>
            <w:tcW w:w="1230" w:type="dxa"/>
            <w:tcBorders>
              <w:top w:val="nil"/>
            </w:tcBorders>
            <w:vAlign w:val="center"/>
            <w:hideMark/>
          </w:tcPr>
          <w:p w14:paraId="1B4156C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7 / 16</w:t>
            </w:r>
          </w:p>
        </w:tc>
        <w:tc>
          <w:tcPr>
            <w:tcW w:w="1230" w:type="dxa"/>
            <w:tcBorders>
              <w:top w:val="nil"/>
            </w:tcBorders>
            <w:vAlign w:val="center"/>
            <w:hideMark/>
          </w:tcPr>
          <w:p w14:paraId="34AB2EC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−1.40</w:t>
            </w:r>
          </w:p>
        </w:tc>
        <w:tc>
          <w:tcPr>
            <w:tcW w:w="1230" w:type="dxa"/>
            <w:tcBorders>
              <w:top w:val="nil"/>
            </w:tcBorders>
            <w:vAlign w:val="center"/>
            <w:hideMark/>
          </w:tcPr>
          <w:p w14:paraId="262DF59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proofErr w:type="spellStart"/>
            <w:r w:rsidRPr="00705903">
              <w:rPr>
                <w:sz w:val="20"/>
                <w:szCs w:val="20"/>
                <w:lang w:val="en-US" w:eastAsia="zh-CN"/>
              </w:rPr>
              <w:t>n.s</w:t>
            </w:r>
            <w:proofErr w:type="spellEnd"/>
            <w:r w:rsidRPr="00705903">
              <w:rPr>
                <w:sz w:val="20"/>
                <w:szCs w:val="20"/>
                <w:lang w:val="en-US" w:eastAsia="zh-CN"/>
              </w:rPr>
              <w:t>.</w:t>
            </w:r>
          </w:p>
        </w:tc>
      </w:tr>
    </w:tbl>
    <w:p w14:paraId="43835800" w14:textId="77777777" w:rsidR="00AB238E" w:rsidRPr="00705903" w:rsidRDefault="00AB238E" w:rsidP="0097761F">
      <w:pPr>
        <w:spacing w:line="259" w:lineRule="auto"/>
        <w:ind w:firstLine="0"/>
        <w:jc w:val="both"/>
        <w:rPr>
          <w:sz w:val="20"/>
          <w:szCs w:val="20"/>
          <w:lang w:eastAsia="zh-CN"/>
        </w:rPr>
      </w:pPr>
    </w:p>
    <w:p w14:paraId="20D3C075" w14:textId="77777777" w:rsidR="00AB238E" w:rsidRPr="00705903" w:rsidRDefault="00AB238E" w:rsidP="0097761F">
      <w:pPr>
        <w:spacing w:line="259" w:lineRule="auto"/>
        <w:ind w:firstLine="0"/>
        <w:jc w:val="both"/>
        <w:rPr>
          <w:i/>
          <w:iCs/>
          <w:sz w:val="20"/>
          <w:szCs w:val="20"/>
          <w:lang w:val="en-US"/>
        </w:rPr>
      </w:pPr>
    </w:p>
    <w:p w14:paraId="768B14C7" w14:textId="77777777" w:rsidR="00AB238E" w:rsidRPr="00705903" w:rsidRDefault="00AB238E" w:rsidP="0097761F">
      <w:pPr>
        <w:spacing w:after="160" w:line="259" w:lineRule="auto"/>
        <w:ind w:firstLine="0"/>
        <w:jc w:val="both"/>
      </w:pPr>
    </w:p>
    <w:p w14:paraId="50A9130C" w14:textId="77777777" w:rsidR="00AB238E" w:rsidRPr="00705903" w:rsidRDefault="00AB238E" w:rsidP="0097761F">
      <w:pPr>
        <w:spacing w:after="160" w:line="259" w:lineRule="auto"/>
        <w:ind w:firstLine="0"/>
        <w:jc w:val="both"/>
      </w:pPr>
      <w:r w:rsidRPr="00705903">
        <w:br w:type="page"/>
      </w:r>
    </w:p>
    <w:p w14:paraId="014C9DD6" w14:textId="77777777" w:rsidR="00AB238E" w:rsidRPr="00705903" w:rsidRDefault="00AB238E" w:rsidP="0097761F">
      <w:pPr>
        <w:pStyle w:val="Heading1"/>
      </w:pPr>
      <w:r w:rsidRPr="00705903">
        <w:t>Table 25. Summary of Return Volatility and Sharpe Ratios (2007–2022)</w:t>
      </w:r>
    </w:p>
    <w:p w14:paraId="734FD27C" w14:textId="77777777" w:rsidR="00AB238E" w:rsidRPr="00705903" w:rsidRDefault="00AB238E" w:rsidP="0097761F">
      <w:pPr>
        <w:spacing w:line="259" w:lineRule="auto"/>
        <w:ind w:firstLine="0"/>
        <w:jc w:val="both"/>
        <w:rPr>
          <w:sz w:val="20"/>
          <w:szCs w:val="20"/>
        </w:rPr>
      </w:pPr>
    </w:p>
    <w:p w14:paraId="584AE4A5"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Table 28 summarizes the cumulative performance, volatility measures, and risk-adjusted Sharpe ratios of the High–Low (D1–D5) portfolios for aggregate ESG and its three sub-pillars—Environmental (E), Social (S), and Governance (G)—from 2007 to 2022. All pillars display negative cumulative returns and Sharpe ratios, suggesting that portfolios composed of high-rated ESG firms generally underperform their low-rated counterparts even after adjusting for risk.</w:t>
      </w:r>
    </w:p>
    <w:p w14:paraId="4C326E39" w14:textId="77777777" w:rsidR="00AB238E" w:rsidRPr="00705903" w:rsidRDefault="00AB238E" w:rsidP="0097761F">
      <w:pPr>
        <w:spacing w:line="259" w:lineRule="auto"/>
        <w:ind w:firstLine="0"/>
        <w:jc w:val="both"/>
        <w:rPr>
          <w:sz w:val="20"/>
          <w:szCs w:val="20"/>
        </w:rPr>
      </w:pPr>
    </w:p>
    <w:tbl>
      <w:tblPr>
        <w:tblStyle w:val="PlainTable2"/>
        <w:tblW w:w="0" w:type="auto"/>
        <w:tblLayout w:type="fixed"/>
        <w:tblLook w:val="04A0" w:firstRow="1" w:lastRow="0" w:firstColumn="1" w:lastColumn="0" w:noHBand="0" w:noVBand="1"/>
      </w:tblPr>
      <w:tblGrid>
        <w:gridCol w:w="695"/>
        <w:gridCol w:w="1083"/>
        <w:gridCol w:w="1083"/>
        <w:gridCol w:w="1083"/>
        <w:gridCol w:w="1083"/>
        <w:gridCol w:w="1083"/>
        <w:gridCol w:w="1083"/>
        <w:gridCol w:w="1083"/>
        <w:gridCol w:w="1084"/>
      </w:tblGrid>
      <w:tr w:rsidR="00AB238E" w:rsidRPr="00705903" w14:paraId="37D29A66"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hideMark/>
          </w:tcPr>
          <w:p w14:paraId="45BB6A35"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Pillar</w:t>
            </w:r>
          </w:p>
        </w:tc>
        <w:tc>
          <w:tcPr>
            <w:tcW w:w="1083" w:type="dxa"/>
            <w:vAlign w:val="center"/>
            <w:hideMark/>
          </w:tcPr>
          <w:p w14:paraId="41E6438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Cumulative Return</w:t>
            </w:r>
          </w:p>
        </w:tc>
        <w:tc>
          <w:tcPr>
            <w:tcW w:w="1083" w:type="dxa"/>
            <w:vAlign w:val="center"/>
            <w:hideMark/>
          </w:tcPr>
          <w:p w14:paraId="39B873F2"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Annualized Volatility</w:t>
            </w:r>
          </w:p>
        </w:tc>
        <w:tc>
          <w:tcPr>
            <w:tcW w:w="1083" w:type="dxa"/>
            <w:vAlign w:val="center"/>
            <w:hideMark/>
          </w:tcPr>
          <w:p w14:paraId="7444DAB6"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Sharpe Ratio (rf=0)</w:t>
            </w:r>
          </w:p>
        </w:tc>
        <w:tc>
          <w:tcPr>
            <w:tcW w:w="1083" w:type="dxa"/>
            <w:vAlign w:val="center"/>
            <w:hideMark/>
          </w:tcPr>
          <w:p w14:paraId="1087631E"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Avg. Annual Volatility</w:t>
            </w:r>
          </w:p>
        </w:tc>
        <w:tc>
          <w:tcPr>
            <w:tcW w:w="1083" w:type="dxa"/>
            <w:vAlign w:val="center"/>
            <w:hideMark/>
          </w:tcPr>
          <w:p w14:paraId="34F23810"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Volatility Range</w:t>
            </w:r>
          </w:p>
        </w:tc>
        <w:tc>
          <w:tcPr>
            <w:tcW w:w="1083" w:type="dxa"/>
            <w:vAlign w:val="center"/>
            <w:hideMark/>
          </w:tcPr>
          <w:p w14:paraId="4B5D8033"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Avg. Annual Sharpe</w:t>
            </w:r>
          </w:p>
        </w:tc>
        <w:tc>
          <w:tcPr>
            <w:tcW w:w="1083" w:type="dxa"/>
            <w:vAlign w:val="center"/>
            <w:hideMark/>
          </w:tcPr>
          <w:p w14:paraId="5D0BFBD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Sharpe Range</w:t>
            </w:r>
          </w:p>
        </w:tc>
        <w:tc>
          <w:tcPr>
            <w:tcW w:w="1084" w:type="dxa"/>
            <w:vAlign w:val="center"/>
            <w:hideMark/>
          </w:tcPr>
          <w:p w14:paraId="2FC87238"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 Positive Sharpe (Years)</w:t>
            </w:r>
          </w:p>
        </w:tc>
      </w:tr>
      <w:tr w:rsidR="00AB238E" w:rsidRPr="00705903" w14:paraId="4EADCD5F"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Borders>
              <w:bottom w:val="nil"/>
            </w:tcBorders>
            <w:hideMark/>
          </w:tcPr>
          <w:p w14:paraId="2579FC8B"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ESG</w:t>
            </w:r>
          </w:p>
        </w:tc>
        <w:tc>
          <w:tcPr>
            <w:tcW w:w="1083" w:type="dxa"/>
            <w:tcBorders>
              <w:bottom w:val="nil"/>
            </w:tcBorders>
            <w:vAlign w:val="center"/>
            <w:hideMark/>
          </w:tcPr>
          <w:p w14:paraId="53DA30E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-0.6364</w:t>
            </w:r>
          </w:p>
        </w:tc>
        <w:tc>
          <w:tcPr>
            <w:tcW w:w="1083" w:type="dxa"/>
            <w:tcBorders>
              <w:bottom w:val="nil"/>
            </w:tcBorders>
            <w:vAlign w:val="center"/>
            <w:hideMark/>
          </w:tcPr>
          <w:p w14:paraId="7492973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0.5535</w:t>
            </w:r>
          </w:p>
        </w:tc>
        <w:tc>
          <w:tcPr>
            <w:tcW w:w="1083" w:type="dxa"/>
            <w:tcBorders>
              <w:bottom w:val="nil"/>
            </w:tcBorders>
            <w:vAlign w:val="center"/>
            <w:hideMark/>
          </w:tcPr>
          <w:p w14:paraId="36BFBA2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-1.1498</w:t>
            </w:r>
          </w:p>
        </w:tc>
        <w:tc>
          <w:tcPr>
            <w:tcW w:w="1083" w:type="dxa"/>
            <w:tcBorders>
              <w:bottom w:val="nil"/>
            </w:tcBorders>
            <w:vAlign w:val="center"/>
            <w:hideMark/>
          </w:tcPr>
          <w:p w14:paraId="745615C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0.0945</w:t>
            </w:r>
          </w:p>
        </w:tc>
        <w:tc>
          <w:tcPr>
            <w:tcW w:w="1083" w:type="dxa"/>
            <w:tcBorders>
              <w:bottom w:val="nil"/>
            </w:tcBorders>
            <w:vAlign w:val="center"/>
            <w:hideMark/>
          </w:tcPr>
          <w:p w14:paraId="258F684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0.0560 – 0.1398</w:t>
            </w:r>
          </w:p>
        </w:tc>
        <w:tc>
          <w:tcPr>
            <w:tcW w:w="1083" w:type="dxa"/>
            <w:tcBorders>
              <w:bottom w:val="nil"/>
            </w:tcBorders>
            <w:vAlign w:val="center"/>
            <w:hideMark/>
          </w:tcPr>
          <w:p w14:paraId="09A09A7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-0.4332</w:t>
            </w:r>
          </w:p>
        </w:tc>
        <w:tc>
          <w:tcPr>
            <w:tcW w:w="1083" w:type="dxa"/>
            <w:tcBorders>
              <w:bottom w:val="nil"/>
            </w:tcBorders>
            <w:vAlign w:val="center"/>
            <w:hideMark/>
          </w:tcPr>
          <w:p w14:paraId="7152172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-3.1164 – 1.9606</w:t>
            </w:r>
          </w:p>
        </w:tc>
        <w:tc>
          <w:tcPr>
            <w:tcW w:w="1084" w:type="dxa"/>
            <w:tcBorders>
              <w:bottom w:val="nil"/>
            </w:tcBorders>
            <w:vAlign w:val="center"/>
            <w:hideMark/>
          </w:tcPr>
          <w:p w14:paraId="754E0F4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7 / 16</w:t>
            </w:r>
          </w:p>
        </w:tc>
      </w:tr>
      <w:tr w:rsidR="00AB238E" w:rsidRPr="00705903" w14:paraId="0B92F001" w14:textId="77777777" w:rsidTr="00A4523E">
        <w:tc>
          <w:tcPr>
            <w:cnfStyle w:val="001000000000" w:firstRow="0" w:lastRow="0" w:firstColumn="1" w:lastColumn="0" w:oddVBand="0" w:evenVBand="0" w:oddHBand="0" w:evenHBand="0" w:firstRowFirstColumn="0" w:firstRowLastColumn="0" w:lastRowFirstColumn="0" w:lastRowLastColumn="0"/>
            <w:tcW w:w="695" w:type="dxa"/>
            <w:tcBorders>
              <w:top w:val="nil"/>
              <w:bottom w:val="nil"/>
            </w:tcBorders>
            <w:hideMark/>
          </w:tcPr>
          <w:p w14:paraId="7CAC8B9A"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E</w:t>
            </w:r>
          </w:p>
        </w:tc>
        <w:tc>
          <w:tcPr>
            <w:tcW w:w="1083" w:type="dxa"/>
            <w:tcBorders>
              <w:top w:val="nil"/>
              <w:bottom w:val="nil"/>
            </w:tcBorders>
            <w:vAlign w:val="center"/>
            <w:hideMark/>
          </w:tcPr>
          <w:p w14:paraId="027487D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-0.5908</w:t>
            </w:r>
          </w:p>
        </w:tc>
        <w:tc>
          <w:tcPr>
            <w:tcW w:w="1083" w:type="dxa"/>
            <w:tcBorders>
              <w:top w:val="nil"/>
              <w:bottom w:val="nil"/>
            </w:tcBorders>
            <w:vAlign w:val="center"/>
            <w:hideMark/>
          </w:tcPr>
          <w:p w14:paraId="4B8BDE0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0.6373</w:t>
            </w:r>
          </w:p>
        </w:tc>
        <w:tc>
          <w:tcPr>
            <w:tcW w:w="1083" w:type="dxa"/>
            <w:tcBorders>
              <w:top w:val="nil"/>
              <w:bottom w:val="nil"/>
            </w:tcBorders>
            <w:vAlign w:val="center"/>
            <w:hideMark/>
          </w:tcPr>
          <w:p w14:paraId="4FD0AE3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-0.9270</w:t>
            </w:r>
          </w:p>
        </w:tc>
        <w:tc>
          <w:tcPr>
            <w:tcW w:w="1083" w:type="dxa"/>
            <w:tcBorders>
              <w:top w:val="nil"/>
              <w:bottom w:val="nil"/>
            </w:tcBorders>
            <w:vAlign w:val="center"/>
            <w:hideMark/>
          </w:tcPr>
          <w:p w14:paraId="13B893B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0.0929</w:t>
            </w:r>
          </w:p>
        </w:tc>
        <w:tc>
          <w:tcPr>
            <w:tcW w:w="1083" w:type="dxa"/>
            <w:tcBorders>
              <w:top w:val="nil"/>
              <w:bottom w:val="nil"/>
            </w:tcBorders>
            <w:vAlign w:val="center"/>
            <w:hideMark/>
          </w:tcPr>
          <w:p w14:paraId="2B082A4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0.0707 – 0.1178</w:t>
            </w:r>
          </w:p>
        </w:tc>
        <w:tc>
          <w:tcPr>
            <w:tcW w:w="1083" w:type="dxa"/>
            <w:tcBorders>
              <w:top w:val="nil"/>
              <w:bottom w:val="nil"/>
            </w:tcBorders>
            <w:vAlign w:val="center"/>
            <w:hideMark/>
          </w:tcPr>
          <w:p w14:paraId="734B9CB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-0.3612</w:t>
            </w:r>
          </w:p>
        </w:tc>
        <w:tc>
          <w:tcPr>
            <w:tcW w:w="1083" w:type="dxa"/>
            <w:tcBorders>
              <w:top w:val="nil"/>
              <w:bottom w:val="nil"/>
            </w:tcBorders>
            <w:vAlign w:val="center"/>
            <w:hideMark/>
          </w:tcPr>
          <w:p w14:paraId="36C91DE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-3.7293 – 2.2963</w:t>
            </w:r>
          </w:p>
        </w:tc>
        <w:tc>
          <w:tcPr>
            <w:tcW w:w="1084" w:type="dxa"/>
            <w:tcBorders>
              <w:top w:val="nil"/>
              <w:bottom w:val="nil"/>
            </w:tcBorders>
            <w:vAlign w:val="center"/>
            <w:hideMark/>
          </w:tcPr>
          <w:p w14:paraId="5C8C407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7 / 16</w:t>
            </w:r>
          </w:p>
        </w:tc>
      </w:tr>
      <w:tr w:rsidR="00AB238E" w:rsidRPr="00705903" w14:paraId="5C85355D"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Borders>
              <w:top w:val="nil"/>
              <w:bottom w:val="nil"/>
            </w:tcBorders>
            <w:hideMark/>
          </w:tcPr>
          <w:p w14:paraId="1F0DFBC1"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S</w:t>
            </w:r>
          </w:p>
        </w:tc>
        <w:tc>
          <w:tcPr>
            <w:tcW w:w="1083" w:type="dxa"/>
            <w:tcBorders>
              <w:top w:val="nil"/>
              <w:bottom w:val="nil"/>
            </w:tcBorders>
            <w:vAlign w:val="center"/>
            <w:hideMark/>
          </w:tcPr>
          <w:p w14:paraId="767FE71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-0.7650</w:t>
            </w:r>
          </w:p>
        </w:tc>
        <w:tc>
          <w:tcPr>
            <w:tcW w:w="1083" w:type="dxa"/>
            <w:tcBorders>
              <w:top w:val="nil"/>
              <w:bottom w:val="nil"/>
            </w:tcBorders>
            <w:vAlign w:val="center"/>
            <w:hideMark/>
          </w:tcPr>
          <w:p w14:paraId="23D13E3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0.6224</w:t>
            </w:r>
          </w:p>
        </w:tc>
        <w:tc>
          <w:tcPr>
            <w:tcW w:w="1083" w:type="dxa"/>
            <w:tcBorders>
              <w:top w:val="nil"/>
              <w:bottom w:val="nil"/>
            </w:tcBorders>
            <w:vAlign w:val="center"/>
            <w:hideMark/>
          </w:tcPr>
          <w:p w14:paraId="2D4D7EC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-1.2291</w:t>
            </w:r>
          </w:p>
        </w:tc>
        <w:tc>
          <w:tcPr>
            <w:tcW w:w="1083" w:type="dxa"/>
            <w:tcBorders>
              <w:top w:val="nil"/>
              <w:bottom w:val="nil"/>
            </w:tcBorders>
            <w:vAlign w:val="center"/>
            <w:hideMark/>
          </w:tcPr>
          <w:p w14:paraId="11048EB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0.1039</w:t>
            </w:r>
          </w:p>
        </w:tc>
        <w:tc>
          <w:tcPr>
            <w:tcW w:w="1083" w:type="dxa"/>
            <w:tcBorders>
              <w:top w:val="nil"/>
              <w:bottom w:val="nil"/>
            </w:tcBorders>
            <w:vAlign w:val="center"/>
            <w:hideMark/>
          </w:tcPr>
          <w:p w14:paraId="76E43C8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0.0653 – 0.1815</w:t>
            </w:r>
          </w:p>
        </w:tc>
        <w:tc>
          <w:tcPr>
            <w:tcW w:w="1083" w:type="dxa"/>
            <w:tcBorders>
              <w:top w:val="nil"/>
              <w:bottom w:val="nil"/>
            </w:tcBorders>
            <w:vAlign w:val="center"/>
            <w:hideMark/>
          </w:tcPr>
          <w:p w14:paraId="2CF2E16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-0.5915</w:t>
            </w:r>
          </w:p>
        </w:tc>
        <w:tc>
          <w:tcPr>
            <w:tcW w:w="1083" w:type="dxa"/>
            <w:tcBorders>
              <w:top w:val="nil"/>
              <w:bottom w:val="nil"/>
            </w:tcBorders>
            <w:vAlign w:val="center"/>
            <w:hideMark/>
          </w:tcPr>
          <w:p w14:paraId="7CBE2F0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-4.2098 – 1.2659</w:t>
            </w:r>
          </w:p>
        </w:tc>
        <w:tc>
          <w:tcPr>
            <w:tcW w:w="1084" w:type="dxa"/>
            <w:tcBorders>
              <w:top w:val="nil"/>
              <w:bottom w:val="nil"/>
            </w:tcBorders>
            <w:vAlign w:val="center"/>
            <w:hideMark/>
          </w:tcPr>
          <w:p w14:paraId="271E9D4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6 / 16</w:t>
            </w:r>
          </w:p>
        </w:tc>
      </w:tr>
      <w:tr w:rsidR="00AB238E" w:rsidRPr="00705903" w14:paraId="3A29D0E3" w14:textId="77777777" w:rsidTr="00A4523E">
        <w:tc>
          <w:tcPr>
            <w:cnfStyle w:val="001000000000" w:firstRow="0" w:lastRow="0" w:firstColumn="1" w:lastColumn="0" w:oddVBand="0" w:evenVBand="0" w:oddHBand="0" w:evenHBand="0" w:firstRowFirstColumn="0" w:firstRowLastColumn="0" w:lastRowFirstColumn="0" w:lastRowLastColumn="0"/>
            <w:tcW w:w="695" w:type="dxa"/>
            <w:tcBorders>
              <w:top w:val="nil"/>
            </w:tcBorders>
            <w:hideMark/>
          </w:tcPr>
          <w:p w14:paraId="7D5D18EF"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G</w:t>
            </w:r>
          </w:p>
        </w:tc>
        <w:tc>
          <w:tcPr>
            <w:tcW w:w="1083" w:type="dxa"/>
            <w:tcBorders>
              <w:top w:val="nil"/>
            </w:tcBorders>
            <w:vAlign w:val="center"/>
            <w:hideMark/>
          </w:tcPr>
          <w:p w14:paraId="7792751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-1.0215</w:t>
            </w:r>
          </w:p>
        </w:tc>
        <w:tc>
          <w:tcPr>
            <w:tcW w:w="1083" w:type="dxa"/>
            <w:tcBorders>
              <w:top w:val="nil"/>
            </w:tcBorders>
            <w:vAlign w:val="center"/>
            <w:hideMark/>
          </w:tcPr>
          <w:p w14:paraId="48A305B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1.3715</w:t>
            </w:r>
          </w:p>
        </w:tc>
        <w:tc>
          <w:tcPr>
            <w:tcW w:w="1083" w:type="dxa"/>
            <w:tcBorders>
              <w:top w:val="nil"/>
            </w:tcBorders>
            <w:vAlign w:val="center"/>
            <w:hideMark/>
          </w:tcPr>
          <w:p w14:paraId="311E276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-0.7448</w:t>
            </w:r>
          </w:p>
        </w:tc>
        <w:tc>
          <w:tcPr>
            <w:tcW w:w="1083" w:type="dxa"/>
            <w:tcBorders>
              <w:top w:val="nil"/>
            </w:tcBorders>
            <w:vAlign w:val="center"/>
            <w:hideMark/>
          </w:tcPr>
          <w:p w14:paraId="6CDA548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0.1443</w:t>
            </w:r>
          </w:p>
        </w:tc>
        <w:tc>
          <w:tcPr>
            <w:tcW w:w="1083" w:type="dxa"/>
            <w:tcBorders>
              <w:top w:val="nil"/>
            </w:tcBorders>
            <w:vAlign w:val="center"/>
            <w:hideMark/>
          </w:tcPr>
          <w:p w14:paraId="0EEAF05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0.0663 – 0.2482</w:t>
            </w:r>
          </w:p>
        </w:tc>
        <w:tc>
          <w:tcPr>
            <w:tcW w:w="1083" w:type="dxa"/>
            <w:tcBorders>
              <w:top w:val="nil"/>
            </w:tcBorders>
            <w:vAlign w:val="center"/>
            <w:hideMark/>
          </w:tcPr>
          <w:p w14:paraId="6613970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-0.9596</w:t>
            </w:r>
          </w:p>
        </w:tc>
        <w:tc>
          <w:tcPr>
            <w:tcW w:w="1083" w:type="dxa"/>
            <w:tcBorders>
              <w:top w:val="nil"/>
            </w:tcBorders>
            <w:vAlign w:val="center"/>
            <w:hideMark/>
          </w:tcPr>
          <w:p w14:paraId="18956AF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-6.9841 – 0.9384</w:t>
            </w:r>
          </w:p>
        </w:tc>
        <w:tc>
          <w:tcPr>
            <w:tcW w:w="1084" w:type="dxa"/>
            <w:tcBorders>
              <w:top w:val="nil"/>
            </w:tcBorders>
            <w:vAlign w:val="center"/>
            <w:hideMark/>
          </w:tcPr>
          <w:p w14:paraId="3736536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6 / 16</w:t>
            </w:r>
          </w:p>
        </w:tc>
      </w:tr>
    </w:tbl>
    <w:p w14:paraId="713F58B9" w14:textId="77777777" w:rsidR="00AB238E" w:rsidRPr="00705903" w:rsidRDefault="00AB238E" w:rsidP="0097761F">
      <w:pPr>
        <w:spacing w:line="259" w:lineRule="auto"/>
        <w:ind w:firstLine="0"/>
        <w:jc w:val="both"/>
        <w:rPr>
          <w:sz w:val="20"/>
          <w:szCs w:val="20"/>
        </w:rPr>
      </w:pPr>
    </w:p>
    <w:p w14:paraId="263B9D41"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The overall ESG portfolio records a cumulative return of –63.6% with an annualized volatility of 55.4%, yielding a Sharpe ratio of –1.15. Average annual volatility remains modest at 9.45%, ranging between 5.6% and 13.9%, and the average annual Sharpe ratio is –0.43, spanning from –3.12 to 1.96. Seven of sixteen years exhibit positive Sharpe ratios, yet the overall risk-adjusted performance remains negative, indicating that high-ESG firms fail to deliver consistent excess returns once volatility is considered.</w:t>
      </w:r>
    </w:p>
    <w:p w14:paraId="580C9DC1" w14:textId="77777777" w:rsidR="00AB238E" w:rsidRPr="00705903" w:rsidRDefault="00AB238E" w:rsidP="0097761F">
      <w:pPr>
        <w:spacing w:line="259" w:lineRule="auto"/>
        <w:ind w:firstLine="0"/>
        <w:jc w:val="both"/>
        <w:rPr>
          <w:sz w:val="20"/>
          <w:szCs w:val="20"/>
          <w:lang w:val="en-US"/>
        </w:rPr>
      </w:pPr>
    </w:p>
    <w:p w14:paraId="770CD877"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The Environmental component shows a cumulative decline of –59.1% and an annualized volatility of 63.7%, corresponding to a Sharpe ratio of –0.93. Volatility fluctuates narrowly (7.1%–11.8%), and the average annual Sharpe ratio (–0.36) indicates limited reward per unit of risk. Seven positive-Sharpe years are observed, primarily during periods of elevated “green” sentiment (2016–2021). These results imply that environmental premiums are short-term and sentiment-driven, lacking persistence over longer horizons.</w:t>
      </w:r>
    </w:p>
    <w:p w14:paraId="42D947E3" w14:textId="77777777" w:rsidR="00AB238E" w:rsidRPr="00705903" w:rsidRDefault="00AB238E" w:rsidP="0097761F">
      <w:pPr>
        <w:spacing w:line="259" w:lineRule="auto"/>
        <w:ind w:firstLine="0"/>
        <w:jc w:val="both"/>
        <w:rPr>
          <w:sz w:val="20"/>
          <w:szCs w:val="20"/>
          <w:lang w:val="en-US"/>
        </w:rPr>
      </w:pPr>
    </w:p>
    <w:p w14:paraId="24A7B6A5"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The Social pillar exhibits higher average volatility (10.39%) and the steepest negative Sharpe ratio (–1.23) aside from Governance. With cumulative losses of –76.5% and volatility spanning 6.5%–18.1%, the S-factor demonstrates unstable, cyclical performance. Although six years post positive Sharpe ratios, the majority are negative, suggesting that social-related advantages generate episodic rather than structural risk-adjusted gains, likely reflecting transient investor focus on social disclosure and reputational factors.</w:t>
      </w:r>
    </w:p>
    <w:p w14:paraId="51168FFD" w14:textId="77777777" w:rsidR="00AB238E" w:rsidRPr="00705903" w:rsidRDefault="00AB238E" w:rsidP="0097761F">
      <w:pPr>
        <w:spacing w:line="259" w:lineRule="auto"/>
        <w:ind w:firstLine="0"/>
        <w:jc w:val="both"/>
        <w:rPr>
          <w:sz w:val="20"/>
          <w:szCs w:val="20"/>
          <w:lang w:val="en-US"/>
        </w:rPr>
      </w:pPr>
    </w:p>
    <w:p w14:paraId="699EB1A7"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Governance portfolios experience the largest cumulative loss (–102.2%) and the highest risk exposure with annualized volatility of 137.1%. Despite this, the G-pillar’s Sharpe ratio (–0.74) is comparatively less negative due to occasional strong reversals in 2009, 2017, and 2022. Volatility ranges from 6.6% to 24.8%, and the Sharpe ratio oscillates between –6.98 and 0.94. These large swings highlight that governance-based investments are highly sensitive to market cycles, often over-reacting to regulatory optimism and correcting sharply afterward.</w:t>
      </w:r>
    </w:p>
    <w:p w14:paraId="08123E38" w14:textId="77777777" w:rsidR="00AB238E" w:rsidRPr="00705903" w:rsidRDefault="00AB238E" w:rsidP="0097761F">
      <w:pPr>
        <w:spacing w:line="259" w:lineRule="auto"/>
        <w:ind w:firstLine="0"/>
        <w:jc w:val="both"/>
        <w:rPr>
          <w:sz w:val="20"/>
          <w:szCs w:val="20"/>
          <w:lang w:val="en-US"/>
        </w:rPr>
      </w:pPr>
    </w:p>
    <w:p w14:paraId="3EE9A90F"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Across all four dimensions, ESG-related portfolios show time-varying risk-adjusted performance with broadly negative Sharpe ratios. Environmental and Social dimensions display moderate volatility but lack persistence in risk compensation, while Governance stands out for its extreme volatility and drawdowns. The aggregate ESG pattern mirrors these characteristics, reinforcing that ESG-driven excess returns are episodic, regime-dependent, and predominantly sentiment-based rather than risk-premium-based.</w:t>
      </w:r>
    </w:p>
    <w:p w14:paraId="25077F90" w14:textId="77777777" w:rsidR="00AB238E" w:rsidRPr="00705903" w:rsidRDefault="00AB238E" w:rsidP="0097761F">
      <w:pPr>
        <w:spacing w:line="259" w:lineRule="auto"/>
        <w:ind w:firstLine="0"/>
        <w:jc w:val="both"/>
        <w:rPr>
          <w:sz w:val="20"/>
          <w:szCs w:val="20"/>
        </w:rPr>
      </w:pPr>
    </w:p>
    <w:p w14:paraId="2BB58C5C" w14:textId="77777777" w:rsidR="00AB238E" w:rsidRPr="00705903" w:rsidRDefault="00AB238E" w:rsidP="0097761F">
      <w:pPr>
        <w:spacing w:line="259" w:lineRule="auto"/>
        <w:ind w:firstLine="0"/>
        <w:jc w:val="both"/>
        <w:rPr>
          <w:sz w:val="20"/>
          <w:szCs w:val="20"/>
        </w:rPr>
      </w:pPr>
    </w:p>
    <w:p w14:paraId="6ED65F1D" w14:textId="77777777" w:rsidR="00AB238E" w:rsidRPr="00705903" w:rsidRDefault="00AB238E" w:rsidP="0097761F">
      <w:pPr>
        <w:pStyle w:val="Heading1"/>
      </w:pPr>
      <w:r w:rsidRPr="00705903">
        <w:t>Table 26. Summary of Portfolio Turnover Rates for ESG and Sub-Pillar High–Low Portfolios (2008–2022)</w:t>
      </w:r>
    </w:p>
    <w:p w14:paraId="310BD67E" w14:textId="77777777" w:rsidR="00AB238E" w:rsidRPr="00705903" w:rsidRDefault="00AB238E" w:rsidP="0097761F">
      <w:pPr>
        <w:spacing w:line="259" w:lineRule="auto"/>
        <w:ind w:firstLine="0"/>
        <w:jc w:val="both"/>
        <w:rPr>
          <w:sz w:val="20"/>
          <w:szCs w:val="20"/>
        </w:rPr>
      </w:pPr>
    </w:p>
    <w:p w14:paraId="2E307C76" w14:textId="77777777" w:rsidR="00AB238E" w:rsidRPr="00705903" w:rsidRDefault="00AB238E" w:rsidP="0097761F">
      <w:pPr>
        <w:spacing w:line="259" w:lineRule="auto"/>
        <w:ind w:firstLine="0"/>
        <w:jc w:val="both"/>
        <w:rPr>
          <w:sz w:val="20"/>
          <w:szCs w:val="20"/>
          <w:lang w:eastAsia="zh-CN"/>
        </w:rPr>
      </w:pPr>
      <w:r w:rsidRPr="00705903">
        <w:rPr>
          <w:sz w:val="20"/>
          <w:szCs w:val="20"/>
        </w:rPr>
        <w:t>This table summarizes the annual portfolio turnover rates for High–Low (D1–D5) portfolios constructed by ESG pillar.</w:t>
      </w:r>
      <w:r w:rsidRPr="00705903">
        <w:rPr>
          <w:sz w:val="20"/>
          <w:szCs w:val="20"/>
          <w:lang w:eastAsia="zh-CN"/>
        </w:rPr>
        <w:t xml:space="preserve"> </w:t>
      </w:r>
      <w:r w:rsidRPr="00705903">
        <w:rPr>
          <w:sz w:val="20"/>
          <w:szCs w:val="20"/>
        </w:rPr>
        <w:t>Turnover is computed as the average of annual changes in portfolio holdings for the long, short, and long–short legs.</w:t>
      </w:r>
      <w:r w:rsidRPr="00705903">
        <w:rPr>
          <w:sz w:val="20"/>
          <w:szCs w:val="20"/>
          <w:lang w:eastAsia="zh-CN"/>
        </w:rPr>
        <w:t xml:space="preserve"> </w:t>
      </w:r>
      <w:r w:rsidRPr="00705903">
        <w:rPr>
          <w:sz w:val="20"/>
          <w:szCs w:val="20"/>
        </w:rPr>
        <w:t>Higher turnover indicates greater rebalancing frequency and potential transaction costs associated with the strategy.</w:t>
      </w:r>
      <w:r w:rsidRPr="00705903">
        <w:rPr>
          <w:sz w:val="20"/>
          <w:szCs w:val="20"/>
          <w:lang w:eastAsia="zh-CN"/>
        </w:rPr>
        <w:t xml:space="preserve"> </w:t>
      </w:r>
    </w:p>
    <w:p w14:paraId="152388CC" w14:textId="77777777" w:rsidR="00AB238E" w:rsidRPr="00705903" w:rsidRDefault="00AB238E" w:rsidP="0097761F">
      <w:pPr>
        <w:spacing w:line="259" w:lineRule="auto"/>
        <w:ind w:firstLine="0"/>
        <w:jc w:val="both"/>
        <w:rPr>
          <w:sz w:val="20"/>
          <w:szCs w:val="20"/>
        </w:rPr>
      </w:pPr>
    </w:p>
    <w:p w14:paraId="0F43A9FE" w14:textId="77777777" w:rsidR="00AB238E" w:rsidRPr="00705903" w:rsidRDefault="00AB238E" w:rsidP="0097761F">
      <w:pPr>
        <w:spacing w:line="259" w:lineRule="auto"/>
        <w:ind w:firstLine="0"/>
        <w:jc w:val="both"/>
        <w:rPr>
          <w:sz w:val="20"/>
          <w:szCs w:val="20"/>
        </w:rPr>
      </w:pPr>
      <w:r w:rsidRPr="00705903">
        <w:rPr>
          <w:sz w:val="20"/>
          <w:szCs w:val="20"/>
        </w:rPr>
        <w:t>Governance (G) portfolios show the highest average turnover (≈1.02), suggesting more frequent rebalancing driven by firm-level governance changes.</w:t>
      </w:r>
      <w:r w:rsidRPr="00705903">
        <w:rPr>
          <w:sz w:val="20"/>
          <w:szCs w:val="20"/>
          <w:lang w:eastAsia="zh-CN"/>
        </w:rPr>
        <w:t xml:space="preserve"> </w:t>
      </w:r>
      <w:r w:rsidRPr="00705903">
        <w:rPr>
          <w:sz w:val="20"/>
          <w:szCs w:val="20"/>
        </w:rPr>
        <w:t>Environmental (E) portfolios exhibit the lowest turnover (≈0.67), implying more stable firm rankings within the E dimension.</w:t>
      </w:r>
      <w:r w:rsidRPr="00705903">
        <w:rPr>
          <w:sz w:val="20"/>
          <w:szCs w:val="20"/>
          <w:lang w:eastAsia="zh-CN"/>
        </w:rPr>
        <w:t xml:space="preserve"> </w:t>
      </w:r>
      <w:r w:rsidRPr="00705903">
        <w:rPr>
          <w:sz w:val="20"/>
          <w:szCs w:val="20"/>
        </w:rPr>
        <w:t>Social (S) and aggregate ESG portfolios show moderate turnover levels (~0.94 and ~0.90), indicating comparable trading activity intensity.</w:t>
      </w:r>
    </w:p>
    <w:p w14:paraId="31DD2B5F" w14:textId="77777777" w:rsidR="00AB238E" w:rsidRPr="00705903" w:rsidRDefault="00AB238E" w:rsidP="0097761F">
      <w:pPr>
        <w:spacing w:line="259" w:lineRule="auto"/>
        <w:ind w:firstLine="0"/>
        <w:jc w:val="both"/>
        <w:rPr>
          <w:sz w:val="20"/>
          <w:szCs w:val="20"/>
        </w:rPr>
      </w:pPr>
    </w:p>
    <w:p w14:paraId="0CD5BAE6"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Turnover is defined as the proportion of portfolio constituents replaced between consecutive rebalancing periods. All values are annualized. A higher turnover ratio implies more dynamic portfolio adjustment, which may increase trading costs and reduce implement ability of ESG-based long–short strategies.</w:t>
      </w:r>
    </w:p>
    <w:p w14:paraId="7E6FC5CB" w14:textId="77777777" w:rsidR="00AB238E" w:rsidRPr="00705903" w:rsidRDefault="00AB238E" w:rsidP="0097761F">
      <w:pPr>
        <w:spacing w:line="259" w:lineRule="auto"/>
        <w:ind w:firstLine="0"/>
        <w:jc w:val="both"/>
        <w:rPr>
          <w:sz w:val="20"/>
          <w:szCs w:val="20"/>
        </w:rPr>
      </w:pPr>
    </w:p>
    <w:p w14:paraId="2103FE73" w14:textId="77777777" w:rsidR="00AB238E" w:rsidRPr="00705903" w:rsidRDefault="00AB238E" w:rsidP="0097761F">
      <w:pPr>
        <w:spacing w:line="259" w:lineRule="auto"/>
        <w:ind w:firstLine="0"/>
        <w:jc w:val="both"/>
        <w:rPr>
          <w:sz w:val="20"/>
          <w:szCs w:val="20"/>
        </w:rPr>
      </w:pPr>
    </w:p>
    <w:tbl>
      <w:tblPr>
        <w:tblStyle w:val="PlainTable2"/>
        <w:tblW w:w="0" w:type="auto"/>
        <w:tblLook w:val="04A0" w:firstRow="1" w:lastRow="0" w:firstColumn="1" w:lastColumn="0" w:noHBand="0" w:noVBand="1"/>
      </w:tblPr>
      <w:tblGrid>
        <w:gridCol w:w="1705"/>
        <w:gridCol w:w="1175"/>
        <w:gridCol w:w="1440"/>
        <w:gridCol w:w="5040"/>
      </w:tblGrid>
      <w:tr w:rsidR="00AB238E" w:rsidRPr="00705903" w14:paraId="2A97A778"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454570" w14:textId="77777777" w:rsidR="00AB238E" w:rsidRPr="00705903" w:rsidRDefault="00AB238E" w:rsidP="0097761F">
            <w:pPr>
              <w:spacing w:line="259" w:lineRule="auto"/>
              <w:ind w:firstLine="0"/>
              <w:jc w:val="both"/>
              <w:rPr>
                <w:b w:val="0"/>
                <w:bCs w:val="0"/>
                <w:sz w:val="20"/>
                <w:szCs w:val="20"/>
                <w:lang w:val="en-US" w:eastAsia="zh-CN"/>
              </w:rPr>
            </w:pPr>
            <w:r w:rsidRPr="00705903">
              <w:rPr>
                <w:b w:val="0"/>
                <w:bCs w:val="0"/>
                <w:sz w:val="20"/>
                <w:szCs w:val="20"/>
                <w:lang w:val="en-US" w:eastAsia="zh-CN"/>
              </w:rPr>
              <w:t>Pillar</w:t>
            </w:r>
          </w:p>
        </w:tc>
        <w:tc>
          <w:tcPr>
            <w:tcW w:w="1175" w:type="dxa"/>
            <w:vAlign w:val="center"/>
            <w:hideMark/>
          </w:tcPr>
          <w:p w14:paraId="4985B45A"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Average Turnover</w:t>
            </w:r>
          </w:p>
        </w:tc>
        <w:tc>
          <w:tcPr>
            <w:tcW w:w="1440" w:type="dxa"/>
            <w:vAlign w:val="center"/>
            <w:hideMark/>
          </w:tcPr>
          <w:p w14:paraId="2964B24B"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Turnover Range</w:t>
            </w:r>
          </w:p>
        </w:tc>
        <w:tc>
          <w:tcPr>
            <w:tcW w:w="5040" w:type="dxa"/>
            <w:vAlign w:val="center"/>
            <w:hideMark/>
          </w:tcPr>
          <w:p w14:paraId="1718B9AC"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Turnover Characteristics</w:t>
            </w:r>
          </w:p>
        </w:tc>
      </w:tr>
      <w:tr w:rsidR="00AB238E" w:rsidRPr="00705903" w14:paraId="4987741A"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170071F9"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E (Environmental)</w:t>
            </w:r>
          </w:p>
        </w:tc>
        <w:tc>
          <w:tcPr>
            <w:tcW w:w="1175" w:type="dxa"/>
            <w:tcBorders>
              <w:bottom w:val="nil"/>
            </w:tcBorders>
            <w:vAlign w:val="center"/>
            <w:hideMark/>
          </w:tcPr>
          <w:p w14:paraId="07212CF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0.669</w:t>
            </w:r>
          </w:p>
        </w:tc>
        <w:tc>
          <w:tcPr>
            <w:tcW w:w="1440" w:type="dxa"/>
            <w:tcBorders>
              <w:bottom w:val="nil"/>
            </w:tcBorders>
            <w:vAlign w:val="center"/>
            <w:hideMark/>
          </w:tcPr>
          <w:p w14:paraId="1EC6822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0.533 – 1.141</w:t>
            </w:r>
          </w:p>
        </w:tc>
        <w:tc>
          <w:tcPr>
            <w:tcW w:w="5040" w:type="dxa"/>
            <w:tcBorders>
              <w:bottom w:val="nil"/>
            </w:tcBorders>
            <w:vAlign w:val="center"/>
            <w:hideMark/>
          </w:tcPr>
          <w:p w14:paraId="407AFEA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Lowest turnover; stable composition over time</w:t>
            </w:r>
          </w:p>
        </w:tc>
      </w:tr>
      <w:tr w:rsidR="00AB238E" w:rsidRPr="00705903" w14:paraId="3BEECB1F"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C7DEED2"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S (Social)</w:t>
            </w:r>
          </w:p>
        </w:tc>
        <w:tc>
          <w:tcPr>
            <w:tcW w:w="1175" w:type="dxa"/>
            <w:tcBorders>
              <w:top w:val="nil"/>
              <w:bottom w:val="nil"/>
            </w:tcBorders>
            <w:vAlign w:val="center"/>
            <w:hideMark/>
          </w:tcPr>
          <w:p w14:paraId="363FE54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0.939</w:t>
            </w:r>
          </w:p>
        </w:tc>
        <w:tc>
          <w:tcPr>
            <w:tcW w:w="1440" w:type="dxa"/>
            <w:tcBorders>
              <w:top w:val="nil"/>
              <w:bottom w:val="nil"/>
            </w:tcBorders>
            <w:vAlign w:val="center"/>
            <w:hideMark/>
          </w:tcPr>
          <w:p w14:paraId="4C4B995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0.815 – 1.070</w:t>
            </w:r>
          </w:p>
        </w:tc>
        <w:tc>
          <w:tcPr>
            <w:tcW w:w="5040" w:type="dxa"/>
            <w:tcBorders>
              <w:top w:val="nil"/>
              <w:bottom w:val="nil"/>
            </w:tcBorders>
            <w:vAlign w:val="center"/>
            <w:hideMark/>
          </w:tcPr>
          <w:p w14:paraId="0B46F34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Moderate and consistent rebalancing intensity</w:t>
            </w:r>
          </w:p>
        </w:tc>
      </w:tr>
      <w:tr w:rsidR="00AB238E" w:rsidRPr="00705903" w14:paraId="74A5A888"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2F33B2D"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G (Governance)</w:t>
            </w:r>
          </w:p>
        </w:tc>
        <w:tc>
          <w:tcPr>
            <w:tcW w:w="1175" w:type="dxa"/>
            <w:tcBorders>
              <w:top w:val="nil"/>
              <w:bottom w:val="nil"/>
            </w:tcBorders>
            <w:vAlign w:val="center"/>
            <w:hideMark/>
          </w:tcPr>
          <w:p w14:paraId="5832222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1.024</w:t>
            </w:r>
          </w:p>
        </w:tc>
        <w:tc>
          <w:tcPr>
            <w:tcW w:w="1440" w:type="dxa"/>
            <w:tcBorders>
              <w:top w:val="nil"/>
              <w:bottom w:val="nil"/>
            </w:tcBorders>
            <w:vAlign w:val="center"/>
            <w:hideMark/>
          </w:tcPr>
          <w:p w14:paraId="16555F8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0.848 – 1.179</w:t>
            </w:r>
          </w:p>
        </w:tc>
        <w:tc>
          <w:tcPr>
            <w:tcW w:w="5040" w:type="dxa"/>
            <w:tcBorders>
              <w:top w:val="nil"/>
              <w:bottom w:val="nil"/>
            </w:tcBorders>
            <w:vAlign w:val="center"/>
            <w:hideMark/>
          </w:tcPr>
          <w:p w14:paraId="643F8A3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Highest turnover; sensitive to governance events</w:t>
            </w:r>
          </w:p>
        </w:tc>
      </w:tr>
      <w:tr w:rsidR="00AB238E" w:rsidRPr="00705903" w14:paraId="3131411C"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123F59BA"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Overall ESG</w:t>
            </w:r>
          </w:p>
        </w:tc>
        <w:tc>
          <w:tcPr>
            <w:tcW w:w="1175" w:type="dxa"/>
            <w:tcBorders>
              <w:top w:val="nil"/>
            </w:tcBorders>
            <w:vAlign w:val="center"/>
            <w:hideMark/>
          </w:tcPr>
          <w:p w14:paraId="2361F2D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0.900</w:t>
            </w:r>
          </w:p>
        </w:tc>
        <w:tc>
          <w:tcPr>
            <w:tcW w:w="1440" w:type="dxa"/>
            <w:tcBorders>
              <w:top w:val="nil"/>
            </w:tcBorders>
            <w:vAlign w:val="center"/>
            <w:hideMark/>
          </w:tcPr>
          <w:p w14:paraId="7FADD36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0.806 – 1.034</w:t>
            </w:r>
          </w:p>
        </w:tc>
        <w:tc>
          <w:tcPr>
            <w:tcW w:w="5040" w:type="dxa"/>
            <w:tcBorders>
              <w:top w:val="nil"/>
            </w:tcBorders>
            <w:vAlign w:val="center"/>
            <w:hideMark/>
          </w:tcPr>
          <w:p w14:paraId="4A942A8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 xml:space="preserve">Moderate </w:t>
            </w:r>
            <w:proofErr w:type="gramStart"/>
            <w:r w:rsidRPr="00705903">
              <w:rPr>
                <w:sz w:val="20"/>
                <w:szCs w:val="20"/>
                <w:lang w:val="en-US" w:eastAsia="zh-CN"/>
              </w:rPr>
              <w:t>turnover;</w:t>
            </w:r>
            <w:proofErr w:type="gramEnd"/>
            <w:r w:rsidRPr="00705903">
              <w:rPr>
                <w:sz w:val="20"/>
                <w:szCs w:val="20"/>
                <w:lang w:val="en-US" w:eastAsia="zh-CN"/>
              </w:rPr>
              <w:t xml:space="preserve"> reflects integrated ESG reshuffling</w:t>
            </w:r>
          </w:p>
        </w:tc>
      </w:tr>
    </w:tbl>
    <w:p w14:paraId="499B9980" w14:textId="77777777" w:rsidR="00AB238E" w:rsidRPr="00705903" w:rsidRDefault="00AB238E" w:rsidP="0097761F">
      <w:pPr>
        <w:spacing w:line="259" w:lineRule="auto"/>
        <w:ind w:firstLine="0"/>
        <w:jc w:val="both"/>
        <w:rPr>
          <w:sz w:val="20"/>
          <w:szCs w:val="20"/>
          <w:lang w:val="en-US" w:eastAsia="zh-CN"/>
        </w:rPr>
      </w:pPr>
    </w:p>
    <w:p w14:paraId="715CA488" w14:textId="77777777" w:rsidR="00AB238E" w:rsidRPr="00705903" w:rsidRDefault="00AB238E" w:rsidP="0097761F">
      <w:pPr>
        <w:spacing w:line="259" w:lineRule="auto"/>
        <w:ind w:firstLine="0"/>
        <w:jc w:val="both"/>
      </w:pPr>
    </w:p>
    <w:p w14:paraId="0A20D7DE" w14:textId="77777777" w:rsidR="00AB238E" w:rsidRPr="00705903" w:rsidRDefault="00AB238E" w:rsidP="0097761F">
      <w:pPr>
        <w:spacing w:line="259" w:lineRule="auto"/>
        <w:ind w:firstLine="0"/>
        <w:jc w:val="both"/>
      </w:pPr>
    </w:p>
    <w:p w14:paraId="290606D6" w14:textId="77777777" w:rsidR="00AB238E" w:rsidRPr="00705903" w:rsidRDefault="00AB238E" w:rsidP="0097761F">
      <w:pPr>
        <w:spacing w:line="259" w:lineRule="auto"/>
        <w:ind w:firstLine="0"/>
        <w:jc w:val="both"/>
      </w:pPr>
    </w:p>
    <w:p w14:paraId="67411981" w14:textId="77777777" w:rsidR="00AB238E" w:rsidRPr="00705903" w:rsidRDefault="00AB238E" w:rsidP="0097761F">
      <w:pPr>
        <w:spacing w:after="160" w:line="259" w:lineRule="auto"/>
        <w:ind w:firstLine="0"/>
        <w:jc w:val="both"/>
        <w:rPr>
          <w:lang w:eastAsia="zh-CN"/>
        </w:rPr>
      </w:pPr>
      <w:r w:rsidRPr="00705903">
        <w:rPr>
          <w:lang w:eastAsia="zh-CN"/>
        </w:rPr>
        <w:br w:type="page"/>
      </w:r>
    </w:p>
    <w:p w14:paraId="477C5AEE" w14:textId="77777777" w:rsidR="00AB238E" w:rsidRPr="00705903" w:rsidRDefault="00AB238E" w:rsidP="0097761F">
      <w:pPr>
        <w:pStyle w:val="Heading1"/>
      </w:pPr>
      <w:r w:rsidRPr="00705903">
        <w:t>Table 27. Fama–French Five-Factor Regressions of ESG, E, S, and G Factors (Value-Weighted, 2007–2022)</w:t>
      </w:r>
    </w:p>
    <w:p w14:paraId="08B939FA" w14:textId="77777777" w:rsidR="00AB238E" w:rsidRPr="00705903" w:rsidRDefault="00AB238E" w:rsidP="0097761F">
      <w:pPr>
        <w:spacing w:line="259" w:lineRule="auto"/>
        <w:ind w:firstLine="0"/>
        <w:jc w:val="both"/>
        <w:rPr>
          <w:sz w:val="20"/>
          <w:szCs w:val="20"/>
          <w:lang w:eastAsia="zh-CN"/>
        </w:rPr>
      </w:pPr>
    </w:p>
    <w:p w14:paraId="44F1D34F"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t>This table presents the time-series regressions of monthly value-weighted High–Low (D10–D1 or Q5–Q1) portfolio returns for ESG and its three sub-pillars (E, S, G) on the Fama–French five factors (MKT–RF, SMB, HML, RMW, CMA) over 2007–2022. Each factor’s intercept (α) captures abnormal returns unexplained by standard risk factors.</w:t>
      </w:r>
    </w:p>
    <w:p w14:paraId="0C444CFA" w14:textId="77777777" w:rsidR="00AB238E" w:rsidRPr="00705903" w:rsidRDefault="00AB238E" w:rsidP="0097761F">
      <w:pPr>
        <w:spacing w:line="259" w:lineRule="auto"/>
        <w:ind w:firstLine="0"/>
        <w:jc w:val="both"/>
        <w:rPr>
          <w:sz w:val="20"/>
          <w:szCs w:val="20"/>
          <w:lang w:val="en-US" w:eastAsia="zh-CN"/>
        </w:rPr>
      </w:pPr>
    </w:p>
    <w:p w14:paraId="3349CD0A"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t>Results show that:</w:t>
      </w:r>
    </w:p>
    <w:p w14:paraId="314BD7A5" w14:textId="77777777" w:rsidR="00AB238E" w:rsidRPr="00705903" w:rsidRDefault="00AB238E" w:rsidP="0097761F">
      <w:pPr>
        <w:pStyle w:val="ListParagraph"/>
        <w:numPr>
          <w:ilvl w:val="0"/>
          <w:numId w:val="2"/>
        </w:numPr>
        <w:spacing w:line="259" w:lineRule="auto"/>
        <w:ind w:left="360"/>
        <w:jc w:val="both"/>
        <w:rPr>
          <w:sz w:val="20"/>
          <w:szCs w:val="20"/>
          <w:lang w:val="en-US" w:eastAsia="zh-CN"/>
        </w:rPr>
      </w:pPr>
      <w:r w:rsidRPr="00705903">
        <w:rPr>
          <w:sz w:val="20"/>
          <w:szCs w:val="20"/>
          <w:lang w:val="en-US" w:eastAsia="zh-CN"/>
        </w:rPr>
        <w:t>ESG factors exhibit insignificant alphas under both 10- and 5-decile sorts, implying no excess return after controlling for market and style factors.</w:t>
      </w:r>
    </w:p>
    <w:p w14:paraId="459C94B5" w14:textId="77777777" w:rsidR="00AB238E" w:rsidRPr="00705903" w:rsidRDefault="00AB238E" w:rsidP="0097761F">
      <w:pPr>
        <w:pStyle w:val="ListParagraph"/>
        <w:numPr>
          <w:ilvl w:val="0"/>
          <w:numId w:val="2"/>
        </w:numPr>
        <w:spacing w:line="259" w:lineRule="auto"/>
        <w:ind w:left="360"/>
        <w:jc w:val="both"/>
        <w:rPr>
          <w:sz w:val="20"/>
          <w:szCs w:val="20"/>
          <w:lang w:val="en-US" w:eastAsia="zh-CN"/>
        </w:rPr>
      </w:pPr>
      <w:r w:rsidRPr="00705903">
        <w:rPr>
          <w:sz w:val="20"/>
          <w:szCs w:val="20"/>
          <w:lang w:val="en-US" w:eastAsia="zh-CN"/>
        </w:rPr>
        <w:t>RMW (profitability) and CMA (investment) factors are consistently significant, suggesting ESG-related portfolios load heavily on firms’ profitability and asset-growth characteristics.</w:t>
      </w:r>
    </w:p>
    <w:p w14:paraId="2301AD56" w14:textId="77777777" w:rsidR="00AB238E" w:rsidRPr="00705903" w:rsidRDefault="00AB238E" w:rsidP="0097761F">
      <w:pPr>
        <w:pStyle w:val="ListParagraph"/>
        <w:numPr>
          <w:ilvl w:val="0"/>
          <w:numId w:val="2"/>
        </w:numPr>
        <w:spacing w:line="259" w:lineRule="auto"/>
        <w:ind w:left="360"/>
        <w:jc w:val="both"/>
        <w:rPr>
          <w:sz w:val="20"/>
          <w:szCs w:val="20"/>
          <w:lang w:val="en-US" w:eastAsia="zh-CN"/>
        </w:rPr>
      </w:pPr>
      <w:r w:rsidRPr="00705903">
        <w:rPr>
          <w:sz w:val="20"/>
          <w:szCs w:val="20"/>
          <w:lang w:val="en-US" w:eastAsia="zh-CN"/>
        </w:rPr>
        <w:t>Governance (G) demonstrates the highest R² and most significant loadings, indicating stronger explanatory power and risk alignment with FF5 factors.</w:t>
      </w:r>
    </w:p>
    <w:p w14:paraId="12637DF5" w14:textId="77777777" w:rsidR="00AB238E" w:rsidRPr="00705903" w:rsidRDefault="00AB238E" w:rsidP="0097761F">
      <w:pPr>
        <w:pStyle w:val="ListParagraph"/>
        <w:numPr>
          <w:ilvl w:val="0"/>
          <w:numId w:val="2"/>
        </w:numPr>
        <w:spacing w:line="259" w:lineRule="auto"/>
        <w:ind w:left="360"/>
        <w:jc w:val="both"/>
        <w:rPr>
          <w:sz w:val="20"/>
          <w:szCs w:val="20"/>
          <w:lang w:val="en-US" w:eastAsia="zh-CN"/>
        </w:rPr>
      </w:pPr>
      <w:r w:rsidRPr="00705903">
        <w:rPr>
          <w:sz w:val="20"/>
          <w:szCs w:val="20"/>
          <w:lang w:val="en-US" w:eastAsia="zh-CN"/>
        </w:rPr>
        <w:t>Moving from 10- to 5-decile grouping increases model fit (R² ↑), showing that coarser ESG sorting enhances signal-to-noise ratio by reducing idiosyncratic variation.</w:t>
      </w:r>
    </w:p>
    <w:p w14:paraId="0DE3DEF2" w14:textId="77777777" w:rsidR="00AB238E" w:rsidRPr="00705903" w:rsidRDefault="00AB238E" w:rsidP="0097761F">
      <w:pPr>
        <w:spacing w:line="259" w:lineRule="auto"/>
        <w:ind w:firstLine="0"/>
        <w:jc w:val="both"/>
        <w:rPr>
          <w:sz w:val="20"/>
          <w:szCs w:val="20"/>
          <w:lang w:val="en-US" w:eastAsia="zh-CN"/>
        </w:rPr>
      </w:pPr>
    </w:p>
    <w:p w14:paraId="79ECB391"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t>All t-statistics are based on OLS standard errors. The dependent variable is the monthly excess return of the High–Low ESG (or E, S, G) portfolio, and all regressions use value-weighted returns.</w:t>
      </w:r>
    </w:p>
    <w:p w14:paraId="08B1B0B9" w14:textId="77777777" w:rsidR="00AB238E" w:rsidRPr="00705903" w:rsidRDefault="00AB238E" w:rsidP="0097761F">
      <w:pPr>
        <w:spacing w:line="259" w:lineRule="auto"/>
        <w:ind w:firstLine="0"/>
        <w:jc w:val="both"/>
        <w:rPr>
          <w:sz w:val="20"/>
          <w:szCs w:val="20"/>
          <w:lang w:eastAsia="zh-CN"/>
        </w:rPr>
      </w:pPr>
    </w:p>
    <w:tbl>
      <w:tblPr>
        <w:tblStyle w:val="PlainTable2"/>
        <w:tblW w:w="0" w:type="auto"/>
        <w:tblLayout w:type="fixed"/>
        <w:tblLook w:val="04A0" w:firstRow="1" w:lastRow="0" w:firstColumn="1" w:lastColumn="0" w:noHBand="0" w:noVBand="1"/>
      </w:tblPr>
      <w:tblGrid>
        <w:gridCol w:w="1538"/>
        <w:gridCol w:w="982"/>
        <w:gridCol w:w="916"/>
        <w:gridCol w:w="794"/>
        <w:gridCol w:w="630"/>
        <w:gridCol w:w="1490"/>
        <w:gridCol w:w="3010"/>
      </w:tblGrid>
      <w:tr w:rsidR="00AB238E" w:rsidRPr="00705903" w14:paraId="52AA5525"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vAlign w:val="center"/>
            <w:hideMark/>
          </w:tcPr>
          <w:p w14:paraId="23D5642D" w14:textId="77777777" w:rsidR="00AB238E" w:rsidRPr="00705903" w:rsidRDefault="00AB238E" w:rsidP="0097761F">
            <w:pPr>
              <w:spacing w:line="259" w:lineRule="auto"/>
              <w:ind w:firstLine="0"/>
              <w:jc w:val="both"/>
              <w:rPr>
                <w:b w:val="0"/>
                <w:bCs w:val="0"/>
                <w:sz w:val="20"/>
                <w:szCs w:val="20"/>
                <w:lang w:val="en-US" w:eastAsia="zh-CN"/>
              </w:rPr>
            </w:pPr>
            <w:r w:rsidRPr="00705903">
              <w:rPr>
                <w:b w:val="0"/>
                <w:bCs w:val="0"/>
                <w:sz w:val="20"/>
                <w:szCs w:val="20"/>
                <w:lang w:val="en-US" w:eastAsia="zh-CN"/>
              </w:rPr>
              <w:t>Factor</w:t>
            </w:r>
          </w:p>
        </w:tc>
        <w:tc>
          <w:tcPr>
            <w:tcW w:w="982" w:type="dxa"/>
            <w:vAlign w:val="center"/>
            <w:hideMark/>
          </w:tcPr>
          <w:p w14:paraId="4C70EA50"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Sorting</w:t>
            </w:r>
          </w:p>
        </w:tc>
        <w:tc>
          <w:tcPr>
            <w:tcW w:w="916" w:type="dxa"/>
            <w:vAlign w:val="center"/>
            <w:hideMark/>
          </w:tcPr>
          <w:p w14:paraId="22D9E258"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α (const)</w:t>
            </w:r>
          </w:p>
        </w:tc>
        <w:tc>
          <w:tcPr>
            <w:tcW w:w="794" w:type="dxa"/>
            <w:vAlign w:val="center"/>
            <w:hideMark/>
          </w:tcPr>
          <w:p w14:paraId="1BCD174C"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t(α)</w:t>
            </w:r>
          </w:p>
        </w:tc>
        <w:tc>
          <w:tcPr>
            <w:tcW w:w="630" w:type="dxa"/>
            <w:vAlign w:val="center"/>
            <w:hideMark/>
          </w:tcPr>
          <w:p w14:paraId="26038378"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R²</w:t>
            </w:r>
          </w:p>
        </w:tc>
        <w:tc>
          <w:tcPr>
            <w:tcW w:w="1490" w:type="dxa"/>
            <w:vAlign w:val="center"/>
            <w:hideMark/>
          </w:tcPr>
          <w:p w14:paraId="6FD769A8"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Significant Loadings</w:t>
            </w:r>
          </w:p>
        </w:tc>
        <w:tc>
          <w:tcPr>
            <w:tcW w:w="3010" w:type="dxa"/>
            <w:vAlign w:val="center"/>
            <w:hideMark/>
          </w:tcPr>
          <w:p w14:paraId="35FD54C8"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eastAsia="zh-CN"/>
              </w:rPr>
              <w:t>Key Findings</w:t>
            </w:r>
          </w:p>
        </w:tc>
      </w:tr>
      <w:tr w:rsidR="00AB238E" w:rsidRPr="00705903" w14:paraId="292B6CD8"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Borders>
              <w:bottom w:val="nil"/>
            </w:tcBorders>
            <w:hideMark/>
          </w:tcPr>
          <w:p w14:paraId="6B915A22"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ESG</w:t>
            </w:r>
          </w:p>
        </w:tc>
        <w:tc>
          <w:tcPr>
            <w:tcW w:w="982" w:type="dxa"/>
            <w:tcBorders>
              <w:bottom w:val="nil"/>
            </w:tcBorders>
            <w:vAlign w:val="center"/>
            <w:hideMark/>
          </w:tcPr>
          <w:p w14:paraId="423BC78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10 Decile</w:t>
            </w:r>
          </w:p>
        </w:tc>
        <w:tc>
          <w:tcPr>
            <w:tcW w:w="916" w:type="dxa"/>
            <w:tcBorders>
              <w:bottom w:val="nil"/>
            </w:tcBorders>
            <w:vAlign w:val="center"/>
            <w:hideMark/>
          </w:tcPr>
          <w:p w14:paraId="0A63808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-0.338</w:t>
            </w:r>
          </w:p>
        </w:tc>
        <w:tc>
          <w:tcPr>
            <w:tcW w:w="794" w:type="dxa"/>
            <w:tcBorders>
              <w:bottom w:val="nil"/>
            </w:tcBorders>
            <w:vAlign w:val="center"/>
            <w:hideMark/>
          </w:tcPr>
          <w:p w14:paraId="2645C09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(-1.27)</w:t>
            </w:r>
          </w:p>
        </w:tc>
        <w:tc>
          <w:tcPr>
            <w:tcW w:w="630" w:type="dxa"/>
            <w:tcBorders>
              <w:bottom w:val="nil"/>
            </w:tcBorders>
            <w:vAlign w:val="center"/>
            <w:hideMark/>
          </w:tcPr>
          <w:p w14:paraId="5CFB022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0.23</w:t>
            </w:r>
          </w:p>
        </w:tc>
        <w:tc>
          <w:tcPr>
            <w:tcW w:w="1490" w:type="dxa"/>
            <w:tcBorders>
              <w:bottom w:val="nil"/>
            </w:tcBorders>
            <w:vAlign w:val="center"/>
            <w:hideMark/>
          </w:tcPr>
          <w:p w14:paraId="248E781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SMB (-), RMW (+)</w:t>
            </w:r>
          </w:p>
        </w:tc>
        <w:tc>
          <w:tcPr>
            <w:tcW w:w="3010" w:type="dxa"/>
            <w:tcBorders>
              <w:bottom w:val="nil"/>
            </w:tcBorders>
            <w:vAlign w:val="center"/>
            <w:hideMark/>
          </w:tcPr>
          <w:p w14:paraId="08A1259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ESG factor shows weak alpha; small-cap underperformance and profitability tilt.</w:t>
            </w:r>
          </w:p>
        </w:tc>
      </w:tr>
      <w:tr w:rsidR="00AB238E" w:rsidRPr="00705903" w14:paraId="34F0BE14" w14:textId="77777777" w:rsidTr="00A4523E">
        <w:tc>
          <w:tcPr>
            <w:cnfStyle w:val="001000000000" w:firstRow="0" w:lastRow="0" w:firstColumn="1" w:lastColumn="0" w:oddVBand="0" w:evenVBand="0" w:oddHBand="0" w:evenHBand="0" w:firstRowFirstColumn="0" w:firstRowLastColumn="0" w:lastRowFirstColumn="0" w:lastRowLastColumn="0"/>
            <w:tcW w:w="1538" w:type="dxa"/>
            <w:tcBorders>
              <w:top w:val="nil"/>
              <w:bottom w:val="single" w:sz="4" w:space="0" w:color="auto"/>
            </w:tcBorders>
            <w:hideMark/>
          </w:tcPr>
          <w:p w14:paraId="01FB584A" w14:textId="77777777" w:rsidR="00AB238E" w:rsidRPr="00705903" w:rsidRDefault="00AB238E" w:rsidP="0097761F">
            <w:pPr>
              <w:spacing w:line="259" w:lineRule="auto"/>
              <w:ind w:firstLine="0"/>
              <w:jc w:val="both"/>
              <w:rPr>
                <w:b w:val="0"/>
                <w:bCs w:val="0"/>
                <w:i/>
                <w:iCs/>
                <w:sz w:val="20"/>
                <w:szCs w:val="20"/>
                <w:lang w:val="en-US" w:eastAsia="zh-CN"/>
              </w:rPr>
            </w:pPr>
          </w:p>
        </w:tc>
        <w:tc>
          <w:tcPr>
            <w:tcW w:w="982" w:type="dxa"/>
            <w:tcBorders>
              <w:top w:val="nil"/>
              <w:bottom w:val="single" w:sz="4" w:space="0" w:color="auto"/>
            </w:tcBorders>
            <w:vAlign w:val="center"/>
            <w:hideMark/>
          </w:tcPr>
          <w:p w14:paraId="2276BCB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5 Decile</w:t>
            </w:r>
          </w:p>
        </w:tc>
        <w:tc>
          <w:tcPr>
            <w:tcW w:w="916" w:type="dxa"/>
            <w:tcBorders>
              <w:top w:val="nil"/>
              <w:bottom w:val="single" w:sz="4" w:space="0" w:color="auto"/>
            </w:tcBorders>
            <w:vAlign w:val="center"/>
            <w:hideMark/>
          </w:tcPr>
          <w:p w14:paraId="40337EC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-0.137</w:t>
            </w:r>
          </w:p>
        </w:tc>
        <w:tc>
          <w:tcPr>
            <w:tcW w:w="794" w:type="dxa"/>
            <w:tcBorders>
              <w:top w:val="nil"/>
              <w:bottom w:val="single" w:sz="4" w:space="0" w:color="auto"/>
            </w:tcBorders>
            <w:vAlign w:val="center"/>
            <w:hideMark/>
          </w:tcPr>
          <w:p w14:paraId="1294245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(-0.72)</w:t>
            </w:r>
          </w:p>
        </w:tc>
        <w:tc>
          <w:tcPr>
            <w:tcW w:w="630" w:type="dxa"/>
            <w:tcBorders>
              <w:top w:val="nil"/>
              <w:bottom w:val="single" w:sz="4" w:space="0" w:color="auto"/>
            </w:tcBorders>
            <w:vAlign w:val="center"/>
            <w:hideMark/>
          </w:tcPr>
          <w:p w14:paraId="5841E07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0.40</w:t>
            </w:r>
          </w:p>
        </w:tc>
        <w:tc>
          <w:tcPr>
            <w:tcW w:w="1490" w:type="dxa"/>
            <w:tcBorders>
              <w:top w:val="nil"/>
              <w:bottom w:val="single" w:sz="4" w:space="0" w:color="auto"/>
            </w:tcBorders>
            <w:vAlign w:val="center"/>
            <w:hideMark/>
          </w:tcPr>
          <w:p w14:paraId="724DE39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SMB (-), RMW (+), CMA (+)</w:t>
            </w:r>
          </w:p>
        </w:tc>
        <w:tc>
          <w:tcPr>
            <w:tcW w:w="3010" w:type="dxa"/>
            <w:tcBorders>
              <w:top w:val="nil"/>
              <w:bottom w:val="single" w:sz="4" w:space="0" w:color="auto"/>
            </w:tcBorders>
            <w:vAlign w:val="center"/>
            <w:hideMark/>
          </w:tcPr>
          <w:p w14:paraId="3120087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More explanatory power; profitability (RMW) and investment (CMA) significant.</w:t>
            </w:r>
          </w:p>
        </w:tc>
      </w:tr>
      <w:tr w:rsidR="00AB238E" w:rsidRPr="00705903" w14:paraId="29CC603C"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Borders>
              <w:top w:val="single" w:sz="4" w:space="0" w:color="auto"/>
              <w:bottom w:val="nil"/>
            </w:tcBorders>
            <w:hideMark/>
          </w:tcPr>
          <w:p w14:paraId="12B8D5BE"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E (Environmental)</w:t>
            </w:r>
          </w:p>
        </w:tc>
        <w:tc>
          <w:tcPr>
            <w:tcW w:w="982" w:type="dxa"/>
            <w:tcBorders>
              <w:top w:val="single" w:sz="4" w:space="0" w:color="auto"/>
              <w:bottom w:val="nil"/>
            </w:tcBorders>
            <w:vAlign w:val="center"/>
            <w:hideMark/>
          </w:tcPr>
          <w:p w14:paraId="57EC90A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10 Decile</w:t>
            </w:r>
          </w:p>
        </w:tc>
        <w:tc>
          <w:tcPr>
            <w:tcW w:w="916" w:type="dxa"/>
            <w:tcBorders>
              <w:top w:val="single" w:sz="4" w:space="0" w:color="auto"/>
              <w:bottom w:val="nil"/>
            </w:tcBorders>
            <w:vAlign w:val="center"/>
            <w:hideMark/>
          </w:tcPr>
          <w:p w14:paraId="2975F3B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0.117</w:t>
            </w:r>
          </w:p>
        </w:tc>
        <w:tc>
          <w:tcPr>
            <w:tcW w:w="794" w:type="dxa"/>
            <w:tcBorders>
              <w:top w:val="single" w:sz="4" w:space="0" w:color="auto"/>
              <w:bottom w:val="nil"/>
            </w:tcBorders>
            <w:vAlign w:val="center"/>
            <w:hideMark/>
          </w:tcPr>
          <w:p w14:paraId="2D1485C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(0.52)</w:t>
            </w:r>
          </w:p>
        </w:tc>
        <w:tc>
          <w:tcPr>
            <w:tcW w:w="630" w:type="dxa"/>
            <w:tcBorders>
              <w:top w:val="single" w:sz="4" w:space="0" w:color="auto"/>
              <w:bottom w:val="nil"/>
            </w:tcBorders>
            <w:vAlign w:val="center"/>
            <w:hideMark/>
          </w:tcPr>
          <w:p w14:paraId="075D279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0.08</w:t>
            </w:r>
          </w:p>
        </w:tc>
        <w:tc>
          <w:tcPr>
            <w:tcW w:w="1490" w:type="dxa"/>
            <w:tcBorders>
              <w:top w:val="single" w:sz="4" w:space="0" w:color="auto"/>
              <w:bottom w:val="nil"/>
            </w:tcBorders>
            <w:vAlign w:val="center"/>
            <w:hideMark/>
          </w:tcPr>
          <w:p w14:paraId="1BC5A9B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SMB (-), HML (-)</w:t>
            </w:r>
          </w:p>
        </w:tc>
        <w:tc>
          <w:tcPr>
            <w:tcW w:w="3010" w:type="dxa"/>
            <w:tcBorders>
              <w:top w:val="single" w:sz="4" w:space="0" w:color="auto"/>
              <w:bottom w:val="nil"/>
            </w:tcBorders>
            <w:vAlign w:val="center"/>
            <w:hideMark/>
          </w:tcPr>
          <w:p w14:paraId="090BEE9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Weak relation to FF5 factors; small-value firms perform worse under high E.</w:t>
            </w:r>
          </w:p>
        </w:tc>
      </w:tr>
      <w:tr w:rsidR="00AB238E" w:rsidRPr="00705903" w14:paraId="57C7D867" w14:textId="77777777" w:rsidTr="00A4523E">
        <w:tc>
          <w:tcPr>
            <w:cnfStyle w:val="001000000000" w:firstRow="0" w:lastRow="0" w:firstColumn="1" w:lastColumn="0" w:oddVBand="0" w:evenVBand="0" w:oddHBand="0" w:evenHBand="0" w:firstRowFirstColumn="0" w:firstRowLastColumn="0" w:lastRowFirstColumn="0" w:lastRowLastColumn="0"/>
            <w:tcW w:w="1538" w:type="dxa"/>
            <w:tcBorders>
              <w:top w:val="nil"/>
              <w:bottom w:val="single" w:sz="4" w:space="0" w:color="auto"/>
            </w:tcBorders>
            <w:hideMark/>
          </w:tcPr>
          <w:p w14:paraId="2094A7AE" w14:textId="77777777" w:rsidR="00AB238E" w:rsidRPr="00705903" w:rsidRDefault="00AB238E" w:rsidP="0097761F">
            <w:pPr>
              <w:spacing w:line="259" w:lineRule="auto"/>
              <w:ind w:firstLine="0"/>
              <w:jc w:val="both"/>
              <w:rPr>
                <w:b w:val="0"/>
                <w:bCs w:val="0"/>
                <w:i/>
                <w:iCs/>
                <w:sz w:val="20"/>
                <w:szCs w:val="20"/>
                <w:lang w:val="en-US" w:eastAsia="zh-CN"/>
              </w:rPr>
            </w:pPr>
          </w:p>
        </w:tc>
        <w:tc>
          <w:tcPr>
            <w:tcW w:w="982" w:type="dxa"/>
            <w:tcBorders>
              <w:top w:val="nil"/>
              <w:bottom w:val="single" w:sz="4" w:space="0" w:color="auto"/>
            </w:tcBorders>
            <w:vAlign w:val="center"/>
            <w:hideMark/>
          </w:tcPr>
          <w:p w14:paraId="01F1757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5 Decile</w:t>
            </w:r>
          </w:p>
        </w:tc>
        <w:tc>
          <w:tcPr>
            <w:tcW w:w="916" w:type="dxa"/>
            <w:tcBorders>
              <w:top w:val="nil"/>
              <w:bottom w:val="single" w:sz="4" w:space="0" w:color="auto"/>
            </w:tcBorders>
            <w:vAlign w:val="center"/>
            <w:hideMark/>
          </w:tcPr>
          <w:p w14:paraId="2732F82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-0.030</w:t>
            </w:r>
          </w:p>
        </w:tc>
        <w:tc>
          <w:tcPr>
            <w:tcW w:w="794" w:type="dxa"/>
            <w:tcBorders>
              <w:top w:val="nil"/>
              <w:bottom w:val="single" w:sz="4" w:space="0" w:color="auto"/>
            </w:tcBorders>
            <w:vAlign w:val="center"/>
            <w:hideMark/>
          </w:tcPr>
          <w:p w14:paraId="69666E9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(-0.18)</w:t>
            </w:r>
          </w:p>
        </w:tc>
        <w:tc>
          <w:tcPr>
            <w:tcW w:w="630" w:type="dxa"/>
            <w:tcBorders>
              <w:top w:val="nil"/>
              <w:bottom w:val="single" w:sz="4" w:space="0" w:color="auto"/>
            </w:tcBorders>
            <w:vAlign w:val="center"/>
            <w:hideMark/>
          </w:tcPr>
          <w:p w14:paraId="19ADB52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0.34</w:t>
            </w:r>
          </w:p>
        </w:tc>
        <w:tc>
          <w:tcPr>
            <w:tcW w:w="1490" w:type="dxa"/>
            <w:tcBorders>
              <w:top w:val="nil"/>
              <w:bottom w:val="single" w:sz="4" w:space="0" w:color="auto"/>
            </w:tcBorders>
            <w:vAlign w:val="center"/>
            <w:hideMark/>
          </w:tcPr>
          <w:p w14:paraId="380C782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SMB (-), RMW (+), CMA (+)</w:t>
            </w:r>
          </w:p>
        </w:tc>
        <w:tc>
          <w:tcPr>
            <w:tcW w:w="3010" w:type="dxa"/>
            <w:tcBorders>
              <w:top w:val="nil"/>
              <w:bottom w:val="single" w:sz="4" w:space="0" w:color="auto"/>
            </w:tcBorders>
            <w:vAlign w:val="center"/>
            <w:hideMark/>
          </w:tcPr>
          <w:p w14:paraId="516982B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Profitability and investment factors explain much of high–low spread.</w:t>
            </w:r>
          </w:p>
        </w:tc>
      </w:tr>
      <w:tr w:rsidR="00AB238E" w:rsidRPr="00705903" w14:paraId="4064660F"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Borders>
              <w:top w:val="single" w:sz="4" w:space="0" w:color="auto"/>
              <w:bottom w:val="nil"/>
            </w:tcBorders>
            <w:hideMark/>
          </w:tcPr>
          <w:p w14:paraId="28C5DD48" w14:textId="77777777" w:rsidR="00AB238E" w:rsidRPr="00705903" w:rsidRDefault="00AB238E" w:rsidP="0097761F">
            <w:pPr>
              <w:spacing w:line="259" w:lineRule="auto"/>
              <w:ind w:firstLine="0"/>
              <w:jc w:val="both"/>
              <w:rPr>
                <w:i/>
                <w:iCs/>
                <w:sz w:val="20"/>
                <w:szCs w:val="20"/>
                <w:lang w:val="en-US" w:eastAsia="zh-CN"/>
              </w:rPr>
            </w:pPr>
            <w:r w:rsidRPr="00705903">
              <w:rPr>
                <w:b w:val="0"/>
                <w:bCs w:val="0"/>
                <w:i/>
                <w:iCs/>
                <w:sz w:val="20"/>
                <w:szCs w:val="20"/>
                <w:lang w:val="en-US" w:eastAsia="zh-CN"/>
              </w:rPr>
              <w:t>S</w:t>
            </w:r>
          </w:p>
          <w:p w14:paraId="49C6E248"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 xml:space="preserve"> (Social)</w:t>
            </w:r>
          </w:p>
        </w:tc>
        <w:tc>
          <w:tcPr>
            <w:tcW w:w="982" w:type="dxa"/>
            <w:tcBorders>
              <w:top w:val="single" w:sz="4" w:space="0" w:color="auto"/>
              <w:bottom w:val="nil"/>
            </w:tcBorders>
            <w:vAlign w:val="center"/>
            <w:hideMark/>
          </w:tcPr>
          <w:p w14:paraId="6DE3B6C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10 Decile</w:t>
            </w:r>
          </w:p>
        </w:tc>
        <w:tc>
          <w:tcPr>
            <w:tcW w:w="916" w:type="dxa"/>
            <w:tcBorders>
              <w:top w:val="single" w:sz="4" w:space="0" w:color="auto"/>
              <w:bottom w:val="nil"/>
            </w:tcBorders>
            <w:vAlign w:val="center"/>
            <w:hideMark/>
          </w:tcPr>
          <w:p w14:paraId="53E8BDB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-0.254</w:t>
            </w:r>
          </w:p>
        </w:tc>
        <w:tc>
          <w:tcPr>
            <w:tcW w:w="794" w:type="dxa"/>
            <w:tcBorders>
              <w:top w:val="single" w:sz="4" w:space="0" w:color="auto"/>
              <w:bottom w:val="nil"/>
            </w:tcBorders>
            <w:vAlign w:val="center"/>
            <w:hideMark/>
          </w:tcPr>
          <w:p w14:paraId="22C347B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(-1.10)</w:t>
            </w:r>
          </w:p>
        </w:tc>
        <w:tc>
          <w:tcPr>
            <w:tcW w:w="630" w:type="dxa"/>
            <w:tcBorders>
              <w:top w:val="single" w:sz="4" w:space="0" w:color="auto"/>
              <w:bottom w:val="nil"/>
            </w:tcBorders>
            <w:vAlign w:val="center"/>
            <w:hideMark/>
          </w:tcPr>
          <w:p w14:paraId="38A3D5D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0.43</w:t>
            </w:r>
          </w:p>
        </w:tc>
        <w:tc>
          <w:tcPr>
            <w:tcW w:w="1490" w:type="dxa"/>
            <w:tcBorders>
              <w:top w:val="single" w:sz="4" w:space="0" w:color="auto"/>
              <w:bottom w:val="nil"/>
            </w:tcBorders>
            <w:vAlign w:val="center"/>
            <w:hideMark/>
          </w:tcPr>
          <w:p w14:paraId="0050153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RMW (+)</w:t>
            </w:r>
          </w:p>
        </w:tc>
        <w:tc>
          <w:tcPr>
            <w:tcW w:w="3010" w:type="dxa"/>
            <w:tcBorders>
              <w:top w:val="single" w:sz="4" w:space="0" w:color="auto"/>
              <w:bottom w:val="nil"/>
            </w:tcBorders>
            <w:vAlign w:val="center"/>
            <w:hideMark/>
          </w:tcPr>
          <w:p w14:paraId="1B4BA77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Strong positive loading on profitability; alpha insignificant.</w:t>
            </w:r>
          </w:p>
        </w:tc>
      </w:tr>
      <w:tr w:rsidR="00AB238E" w:rsidRPr="00705903" w14:paraId="1D39EAA3" w14:textId="77777777" w:rsidTr="00A4523E">
        <w:tc>
          <w:tcPr>
            <w:cnfStyle w:val="001000000000" w:firstRow="0" w:lastRow="0" w:firstColumn="1" w:lastColumn="0" w:oddVBand="0" w:evenVBand="0" w:oddHBand="0" w:evenHBand="0" w:firstRowFirstColumn="0" w:firstRowLastColumn="0" w:lastRowFirstColumn="0" w:lastRowLastColumn="0"/>
            <w:tcW w:w="1538" w:type="dxa"/>
            <w:tcBorders>
              <w:top w:val="nil"/>
              <w:bottom w:val="single" w:sz="4" w:space="0" w:color="auto"/>
            </w:tcBorders>
            <w:hideMark/>
          </w:tcPr>
          <w:p w14:paraId="66AC2FE7" w14:textId="77777777" w:rsidR="00AB238E" w:rsidRPr="00705903" w:rsidRDefault="00AB238E" w:rsidP="0097761F">
            <w:pPr>
              <w:spacing w:line="259" w:lineRule="auto"/>
              <w:ind w:firstLine="0"/>
              <w:jc w:val="both"/>
              <w:rPr>
                <w:b w:val="0"/>
                <w:bCs w:val="0"/>
                <w:i/>
                <w:iCs/>
                <w:sz w:val="20"/>
                <w:szCs w:val="20"/>
                <w:lang w:val="en-US" w:eastAsia="zh-CN"/>
              </w:rPr>
            </w:pPr>
          </w:p>
        </w:tc>
        <w:tc>
          <w:tcPr>
            <w:tcW w:w="982" w:type="dxa"/>
            <w:tcBorders>
              <w:top w:val="nil"/>
              <w:bottom w:val="single" w:sz="4" w:space="0" w:color="auto"/>
            </w:tcBorders>
            <w:vAlign w:val="center"/>
            <w:hideMark/>
          </w:tcPr>
          <w:p w14:paraId="76B6A4A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5 Decile</w:t>
            </w:r>
          </w:p>
        </w:tc>
        <w:tc>
          <w:tcPr>
            <w:tcW w:w="916" w:type="dxa"/>
            <w:tcBorders>
              <w:top w:val="nil"/>
              <w:bottom w:val="single" w:sz="4" w:space="0" w:color="auto"/>
            </w:tcBorders>
            <w:vAlign w:val="center"/>
            <w:hideMark/>
          </w:tcPr>
          <w:p w14:paraId="57D8996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-0.234</w:t>
            </w:r>
          </w:p>
        </w:tc>
        <w:tc>
          <w:tcPr>
            <w:tcW w:w="794" w:type="dxa"/>
            <w:tcBorders>
              <w:top w:val="nil"/>
              <w:bottom w:val="single" w:sz="4" w:space="0" w:color="auto"/>
            </w:tcBorders>
            <w:vAlign w:val="center"/>
            <w:hideMark/>
          </w:tcPr>
          <w:p w14:paraId="2B81D75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(-1.14)</w:t>
            </w:r>
          </w:p>
        </w:tc>
        <w:tc>
          <w:tcPr>
            <w:tcW w:w="630" w:type="dxa"/>
            <w:tcBorders>
              <w:top w:val="nil"/>
              <w:bottom w:val="single" w:sz="4" w:space="0" w:color="auto"/>
            </w:tcBorders>
            <w:vAlign w:val="center"/>
            <w:hideMark/>
          </w:tcPr>
          <w:p w14:paraId="2F2FE78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0.47</w:t>
            </w:r>
          </w:p>
        </w:tc>
        <w:tc>
          <w:tcPr>
            <w:tcW w:w="1490" w:type="dxa"/>
            <w:tcBorders>
              <w:top w:val="nil"/>
              <w:bottom w:val="single" w:sz="4" w:space="0" w:color="auto"/>
            </w:tcBorders>
            <w:vAlign w:val="center"/>
            <w:hideMark/>
          </w:tcPr>
          <w:p w14:paraId="5BD2BAC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SMB (-), HML (+), RMW (+)</w:t>
            </w:r>
          </w:p>
        </w:tc>
        <w:tc>
          <w:tcPr>
            <w:tcW w:w="3010" w:type="dxa"/>
            <w:tcBorders>
              <w:top w:val="nil"/>
              <w:bottom w:val="single" w:sz="4" w:space="0" w:color="auto"/>
            </w:tcBorders>
            <w:vAlign w:val="center"/>
            <w:hideMark/>
          </w:tcPr>
          <w:p w14:paraId="3E53503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Profitability and value tilts dominate; alpha remains insignificant.</w:t>
            </w:r>
          </w:p>
        </w:tc>
      </w:tr>
      <w:tr w:rsidR="00AB238E" w:rsidRPr="00705903" w14:paraId="68862A48"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Borders>
              <w:top w:val="single" w:sz="4" w:space="0" w:color="auto"/>
              <w:bottom w:val="nil"/>
            </w:tcBorders>
            <w:hideMark/>
          </w:tcPr>
          <w:p w14:paraId="51EB24B6" w14:textId="77777777" w:rsidR="00AB238E" w:rsidRPr="00705903" w:rsidRDefault="00AB238E" w:rsidP="0097761F">
            <w:pPr>
              <w:spacing w:line="259" w:lineRule="auto"/>
              <w:ind w:firstLine="0"/>
              <w:jc w:val="both"/>
              <w:rPr>
                <w:i/>
                <w:iCs/>
                <w:sz w:val="20"/>
                <w:szCs w:val="20"/>
                <w:lang w:val="en-US" w:eastAsia="zh-CN"/>
              </w:rPr>
            </w:pPr>
            <w:r w:rsidRPr="00705903">
              <w:rPr>
                <w:b w:val="0"/>
                <w:bCs w:val="0"/>
                <w:i/>
                <w:iCs/>
                <w:sz w:val="20"/>
                <w:szCs w:val="20"/>
                <w:lang w:val="en-US" w:eastAsia="zh-CN"/>
              </w:rPr>
              <w:t xml:space="preserve">G </w:t>
            </w:r>
          </w:p>
          <w:p w14:paraId="44EC4E7B"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eastAsia="zh-CN"/>
              </w:rPr>
              <w:t>(Governance)</w:t>
            </w:r>
          </w:p>
        </w:tc>
        <w:tc>
          <w:tcPr>
            <w:tcW w:w="982" w:type="dxa"/>
            <w:tcBorders>
              <w:top w:val="single" w:sz="4" w:space="0" w:color="auto"/>
              <w:bottom w:val="nil"/>
            </w:tcBorders>
            <w:vAlign w:val="center"/>
            <w:hideMark/>
          </w:tcPr>
          <w:p w14:paraId="388BA1E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10 Decile</w:t>
            </w:r>
          </w:p>
        </w:tc>
        <w:tc>
          <w:tcPr>
            <w:tcW w:w="916" w:type="dxa"/>
            <w:tcBorders>
              <w:top w:val="single" w:sz="4" w:space="0" w:color="auto"/>
              <w:bottom w:val="nil"/>
            </w:tcBorders>
            <w:vAlign w:val="center"/>
            <w:hideMark/>
          </w:tcPr>
          <w:p w14:paraId="5FCEA68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-0.361</w:t>
            </w:r>
          </w:p>
        </w:tc>
        <w:tc>
          <w:tcPr>
            <w:tcW w:w="794" w:type="dxa"/>
            <w:tcBorders>
              <w:top w:val="single" w:sz="4" w:space="0" w:color="auto"/>
              <w:bottom w:val="nil"/>
            </w:tcBorders>
            <w:vAlign w:val="center"/>
            <w:hideMark/>
          </w:tcPr>
          <w:p w14:paraId="15D78F2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(-1.67)</w:t>
            </w:r>
          </w:p>
        </w:tc>
        <w:tc>
          <w:tcPr>
            <w:tcW w:w="630" w:type="dxa"/>
            <w:tcBorders>
              <w:top w:val="single" w:sz="4" w:space="0" w:color="auto"/>
              <w:bottom w:val="nil"/>
            </w:tcBorders>
            <w:vAlign w:val="center"/>
            <w:hideMark/>
          </w:tcPr>
          <w:p w14:paraId="099C1D5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0.46</w:t>
            </w:r>
          </w:p>
        </w:tc>
        <w:tc>
          <w:tcPr>
            <w:tcW w:w="1490" w:type="dxa"/>
            <w:tcBorders>
              <w:top w:val="single" w:sz="4" w:space="0" w:color="auto"/>
              <w:bottom w:val="nil"/>
            </w:tcBorders>
            <w:vAlign w:val="center"/>
            <w:hideMark/>
          </w:tcPr>
          <w:p w14:paraId="451E7FB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MKT (+), SMB (-), RMW (+), CMA (+)</w:t>
            </w:r>
          </w:p>
        </w:tc>
        <w:tc>
          <w:tcPr>
            <w:tcW w:w="3010" w:type="dxa"/>
            <w:tcBorders>
              <w:top w:val="single" w:sz="4" w:space="0" w:color="auto"/>
              <w:bottom w:val="nil"/>
            </w:tcBorders>
            <w:vAlign w:val="center"/>
            <w:hideMark/>
          </w:tcPr>
          <w:p w14:paraId="3E15E1D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eastAsia="zh-CN"/>
              </w:rPr>
              <w:t>Governance factor shows mild negative alpha but strong multi-factor exposure.</w:t>
            </w:r>
          </w:p>
        </w:tc>
      </w:tr>
      <w:tr w:rsidR="00AB238E" w:rsidRPr="00705903" w14:paraId="534A562C" w14:textId="77777777" w:rsidTr="00A4523E">
        <w:tc>
          <w:tcPr>
            <w:cnfStyle w:val="001000000000" w:firstRow="0" w:lastRow="0" w:firstColumn="1" w:lastColumn="0" w:oddVBand="0" w:evenVBand="0" w:oddHBand="0" w:evenHBand="0" w:firstRowFirstColumn="0" w:firstRowLastColumn="0" w:lastRowFirstColumn="0" w:lastRowLastColumn="0"/>
            <w:tcW w:w="1538" w:type="dxa"/>
            <w:tcBorders>
              <w:top w:val="nil"/>
              <w:bottom w:val="single" w:sz="4" w:space="0" w:color="7F7F7F" w:themeColor="text1" w:themeTint="80"/>
            </w:tcBorders>
            <w:hideMark/>
          </w:tcPr>
          <w:p w14:paraId="7E10EDEF" w14:textId="77777777" w:rsidR="00AB238E" w:rsidRPr="00705903" w:rsidRDefault="00AB238E" w:rsidP="0097761F">
            <w:pPr>
              <w:spacing w:line="259" w:lineRule="auto"/>
              <w:ind w:firstLine="0"/>
              <w:jc w:val="both"/>
              <w:rPr>
                <w:b w:val="0"/>
                <w:bCs w:val="0"/>
                <w:i/>
                <w:iCs/>
                <w:sz w:val="20"/>
                <w:szCs w:val="20"/>
                <w:lang w:val="en-US" w:eastAsia="zh-CN"/>
              </w:rPr>
            </w:pPr>
          </w:p>
        </w:tc>
        <w:tc>
          <w:tcPr>
            <w:tcW w:w="982" w:type="dxa"/>
            <w:tcBorders>
              <w:top w:val="nil"/>
              <w:bottom w:val="single" w:sz="4" w:space="0" w:color="7F7F7F" w:themeColor="text1" w:themeTint="80"/>
            </w:tcBorders>
            <w:vAlign w:val="center"/>
            <w:hideMark/>
          </w:tcPr>
          <w:p w14:paraId="6A84EB9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5 Decile</w:t>
            </w:r>
          </w:p>
        </w:tc>
        <w:tc>
          <w:tcPr>
            <w:tcW w:w="916" w:type="dxa"/>
            <w:tcBorders>
              <w:top w:val="nil"/>
              <w:bottom w:val="single" w:sz="4" w:space="0" w:color="7F7F7F" w:themeColor="text1" w:themeTint="80"/>
            </w:tcBorders>
            <w:vAlign w:val="center"/>
            <w:hideMark/>
          </w:tcPr>
          <w:p w14:paraId="084F3D8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-0.384</w:t>
            </w:r>
          </w:p>
        </w:tc>
        <w:tc>
          <w:tcPr>
            <w:tcW w:w="794" w:type="dxa"/>
            <w:tcBorders>
              <w:top w:val="nil"/>
              <w:bottom w:val="single" w:sz="4" w:space="0" w:color="7F7F7F" w:themeColor="text1" w:themeTint="80"/>
            </w:tcBorders>
            <w:vAlign w:val="center"/>
            <w:hideMark/>
          </w:tcPr>
          <w:p w14:paraId="62F7271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(-1.91)</w:t>
            </w:r>
          </w:p>
        </w:tc>
        <w:tc>
          <w:tcPr>
            <w:tcW w:w="630" w:type="dxa"/>
            <w:tcBorders>
              <w:top w:val="nil"/>
              <w:bottom w:val="single" w:sz="4" w:space="0" w:color="7F7F7F" w:themeColor="text1" w:themeTint="80"/>
            </w:tcBorders>
            <w:vAlign w:val="center"/>
            <w:hideMark/>
          </w:tcPr>
          <w:p w14:paraId="3EA2D9F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0.51</w:t>
            </w:r>
          </w:p>
        </w:tc>
        <w:tc>
          <w:tcPr>
            <w:tcW w:w="1490" w:type="dxa"/>
            <w:tcBorders>
              <w:top w:val="nil"/>
              <w:bottom w:val="single" w:sz="4" w:space="0" w:color="7F7F7F" w:themeColor="text1" w:themeTint="80"/>
            </w:tcBorders>
            <w:vAlign w:val="center"/>
            <w:hideMark/>
          </w:tcPr>
          <w:p w14:paraId="0891DA2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HML (+), RMW (+), CMA (+)</w:t>
            </w:r>
          </w:p>
        </w:tc>
        <w:tc>
          <w:tcPr>
            <w:tcW w:w="3010" w:type="dxa"/>
            <w:tcBorders>
              <w:top w:val="nil"/>
              <w:bottom w:val="single" w:sz="4" w:space="0" w:color="7F7F7F" w:themeColor="text1" w:themeTint="80"/>
            </w:tcBorders>
            <w:vAlign w:val="center"/>
            <w:hideMark/>
          </w:tcPr>
          <w:p w14:paraId="5E6B3E8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eastAsia="zh-CN"/>
              </w:rPr>
              <w:t>Highest explanatory power; governance premium driven by value and profitability factors.</w:t>
            </w:r>
          </w:p>
        </w:tc>
      </w:tr>
    </w:tbl>
    <w:p w14:paraId="65D8B85D" w14:textId="77777777" w:rsidR="00AB238E" w:rsidRPr="00705903" w:rsidRDefault="00AB238E" w:rsidP="0097761F">
      <w:pPr>
        <w:spacing w:line="259" w:lineRule="auto"/>
        <w:ind w:firstLine="0"/>
        <w:jc w:val="both"/>
        <w:rPr>
          <w:sz w:val="20"/>
          <w:szCs w:val="20"/>
          <w:lang w:val="en-US" w:eastAsia="zh-CN"/>
        </w:rPr>
      </w:pPr>
    </w:p>
    <w:p w14:paraId="4625B495" w14:textId="77777777" w:rsidR="00AB238E" w:rsidRPr="00705903" w:rsidRDefault="00AB238E" w:rsidP="0097761F">
      <w:pPr>
        <w:spacing w:line="259" w:lineRule="auto"/>
        <w:ind w:firstLine="0"/>
        <w:jc w:val="both"/>
      </w:pPr>
    </w:p>
    <w:p w14:paraId="2F8D8814" w14:textId="77777777" w:rsidR="00AB238E" w:rsidRPr="00705903" w:rsidRDefault="00AB238E" w:rsidP="0097761F">
      <w:pPr>
        <w:spacing w:after="160" w:line="259" w:lineRule="auto"/>
        <w:ind w:firstLine="0"/>
        <w:jc w:val="both"/>
      </w:pPr>
      <w:r w:rsidRPr="00705903">
        <w:br w:type="page"/>
      </w:r>
    </w:p>
    <w:p w14:paraId="63AA39D6" w14:textId="77777777" w:rsidR="00AB238E" w:rsidRPr="00705903" w:rsidRDefault="00AB238E" w:rsidP="0097761F">
      <w:pPr>
        <w:pStyle w:val="Heading1"/>
      </w:pPr>
      <w:r w:rsidRPr="00705903">
        <w:t>Table 28. Correlation and Multicollinearity Diagnostics for ESG and Sub-Pillar Factors</w:t>
      </w:r>
    </w:p>
    <w:p w14:paraId="1479A707" w14:textId="77777777" w:rsidR="00AB238E" w:rsidRPr="00705903" w:rsidRDefault="00AB238E" w:rsidP="0097761F">
      <w:pPr>
        <w:spacing w:line="259" w:lineRule="auto"/>
        <w:ind w:firstLine="0"/>
        <w:jc w:val="both"/>
        <w:rPr>
          <w:sz w:val="20"/>
          <w:szCs w:val="20"/>
        </w:rPr>
      </w:pPr>
    </w:p>
    <w:p w14:paraId="1A097AAE"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This table reports the correlation structure between the constructed ESG-related High–Low (D10–D1) factor returns and the Fama–French five factors, as well as the multicollinearity diagnostics.</w:t>
      </w:r>
    </w:p>
    <w:p w14:paraId="78B43575" w14:textId="77777777" w:rsidR="00AB238E" w:rsidRPr="00705903" w:rsidRDefault="00AB238E" w:rsidP="0097761F">
      <w:pPr>
        <w:spacing w:line="259" w:lineRule="auto"/>
        <w:ind w:firstLine="0"/>
        <w:jc w:val="both"/>
        <w:rPr>
          <w:sz w:val="20"/>
          <w:szCs w:val="20"/>
          <w:lang w:val="en-US"/>
        </w:rPr>
      </w:pPr>
    </w:p>
    <w:p w14:paraId="3473B7F3"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Panel A shows that ESG and its sub-pillars (E, S, and G) exhibit moderate correlations with standard risk factors. All factors are negatively correlated with SMB, indicating that high-ESG portfolios tilt toward large-cap firms, and positively correlated with RMW, suggesting that ESG portfolios load heavily on profitability. Mild positive correlations with HML imply limited association with the value factor. Among all sub-pillars, the Governance (G) factor exhibits the highest correlation magnitudes (|r| up to 0.63), consistent with its link to firm-level quality characteristics.</w:t>
      </w:r>
    </w:p>
    <w:p w14:paraId="5664B53A" w14:textId="77777777" w:rsidR="00AB238E" w:rsidRPr="00705903" w:rsidRDefault="00AB238E" w:rsidP="0097761F">
      <w:pPr>
        <w:spacing w:line="259" w:lineRule="auto"/>
        <w:ind w:firstLine="0"/>
        <w:jc w:val="both"/>
        <w:rPr>
          <w:sz w:val="20"/>
          <w:szCs w:val="20"/>
          <w:lang w:val="en-US"/>
        </w:rPr>
      </w:pPr>
    </w:p>
    <w:p w14:paraId="708944A3"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Panel B presents the Variance Inflation Factor (VIF) diagnostics for the five explanatory variables used in the Fama–French regressions. All VIF values are below 3, far below the conventional threshold of 10, indicating that multicollinearity is not a concern. Identical VIFs across ESG, E, S, and G models confirm that the regressions use a consistent factor specification.</w:t>
      </w:r>
    </w:p>
    <w:p w14:paraId="5D1B27DC" w14:textId="77777777" w:rsidR="00AB238E" w:rsidRPr="00705903" w:rsidRDefault="00AB238E" w:rsidP="0097761F">
      <w:pPr>
        <w:spacing w:line="259" w:lineRule="auto"/>
        <w:ind w:firstLine="0"/>
        <w:jc w:val="both"/>
        <w:rPr>
          <w:sz w:val="20"/>
          <w:szCs w:val="20"/>
          <w:lang w:val="en-US"/>
        </w:rPr>
      </w:pPr>
    </w:p>
    <w:p w14:paraId="75D50C7E" w14:textId="77777777" w:rsidR="00AB238E" w:rsidRPr="00705903" w:rsidRDefault="00AB238E" w:rsidP="0097761F">
      <w:pPr>
        <w:spacing w:line="259" w:lineRule="auto"/>
        <w:ind w:firstLine="0"/>
        <w:jc w:val="both"/>
        <w:rPr>
          <w:sz w:val="20"/>
          <w:szCs w:val="20"/>
          <w:lang w:val="en-US"/>
        </w:rPr>
      </w:pPr>
    </w:p>
    <w:p w14:paraId="094D3B5B"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Panel A: Correlation between ESG-related Factors and Fama–French Five Factors (2007–2022)</w:t>
      </w:r>
    </w:p>
    <w:tbl>
      <w:tblPr>
        <w:tblStyle w:val="PlainTable2"/>
        <w:tblW w:w="0" w:type="auto"/>
        <w:tblLook w:val="04A0" w:firstRow="1" w:lastRow="0" w:firstColumn="1" w:lastColumn="0" w:noHBand="0" w:noVBand="1"/>
      </w:tblPr>
      <w:tblGrid>
        <w:gridCol w:w="1111"/>
        <w:gridCol w:w="1544"/>
        <w:gridCol w:w="1544"/>
        <w:gridCol w:w="1544"/>
        <w:gridCol w:w="1544"/>
        <w:gridCol w:w="1544"/>
      </w:tblGrid>
      <w:tr w:rsidR="00AB238E" w:rsidRPr="00705903" w14:paraId="44837358"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AD604"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Factor</w:t>
            </w:r>
          </w:p>
        </w:tc>
        <w:tc>
          <w:tcPr>
            <w:tcW w:w="1544" w:type="dxa"/>
            <w:hideMark/>
          </w:tcPr>
          <w:p w14:paraId="36214DFE"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Risk</w:t>
            </w:r>
            <w:r w:rsidRPr="00705903">
              <w:rPr>
                <w:b w:val="0"/>
                <w:bCs w:val="0"/>
                <w:i/>
                <w:iCs/>
                <w:sz w:val="20"/>
                <w:szCs w:val="20"/>
                <w:lang w:val="en-US" w:eastAsia="zh-CN"/>
              </w:rPr>
              <w:t xml:space="preserve"> </w:t>
            </w:r>
            <w:r w:rsidRPr="00705903">
              <w:rPr>
                <w:b w:val="0"/>
                <w:bCs w:val="0"/>
                <w:i/>
                <w:iCs/>
                <w:sz w:val="20"/>
                <w:szCs w:val="20"/>
                <w:lang w:val="en-US"/>
              </w:rPr>
              <w:t>Premium</w:t>
            </w:r>
          </w:p>
        </w:tc>
        <w:tc>
          <w:tcPr>
            <w:tcW w:w="1544" w:type="dxa"/>
            <w:hideMark/>
          </w:tcPr>
          <w:p w14:paraId="36B9CA8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SMB</w:t>
            </w:r>
          </w:p>
        </w:tc>
        <w:tc>
          <w:tcPr>
            <w:tcW w:w="1544" w:type="dxa"/>
            <w:hideMark/>
          </w:tcPr>
          <w:p w14:paraId="109BCBA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HML</w:t>
            </w:r>
          </w:p>
        </w:tc>
        <w:tc>
          <w:tcPr>
            <w:tcW w:w="1544" w:type="dxa"/>
            <w:hideMark/>
          </w:tcPr>
          <w:p w14:paraId="43DF9B82"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RMW</w:t>
            </w:r>
          </w:p>
        </w:tc>
        <w:tc>
          <w:tcPr>
            <w:tcW w:w="1544" w:type="dxa"/>
            <w:hideMark/>
          </w:tcPr>
          <w:p w14:paraId="745D90A8"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CMA</w:t>
            </w:r>
          </w:p>
        </w:tc>
      </w:tr>
      <w:tr w:rsidR="00AB238E" w:rsidRPr="00705903" w14:paraId="01E87BB4"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01ECC99E"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ESG</w:t>
            </w:r>
            <w:r w:rsidRPr="00705903">
              <w:rPr>
                <w:b w:val="0"/>
                <w:bCs w:val="0"/>
                <w:i/>
                <w:iCs/>
                <w:sz w:val="20"/>
                <w:szCs w:val="20"/>
                <w:lang w:val="en-US" w:eastAsia="zh-CN"/>
              </w:rPr>
              <w:t xml:space="preserve"> </w:t>
            </w:r>
            <w:r w:rsidRPr="00705903">
              <w:rPr>
                <w:b w:val="0"/>
                <w:bCs w:val="0"/>
                <w:i/>
                <w:iCs/>
                <w:sz w:val="20"/>
                <w:szCs w:val="20"/>
                <w:lang w:val="en-US"/>
              </w:rPr>
              <w:t>factor</w:t>
            </w:r>
          </w:p>
        </w:tc>
        <w:tc>
          <w:tcPr>
            <w:tcW w:w="1544" w:type="dxa"/>
            <w:tcBorders>
              <w:bottom w:val="nil"/>
            </w:tcBorders>
            <w:hideMark/>
          </w:tcPr>
          <w:p w14:paraId="73FF734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-0.20</w:t>
            </w:r>
          </w:p>
        </w:tc>
        <w:tc>
          <w:tcPr>
            <w:tcW w:w="1544" w:type="dxa"/>
            <w:tcBorders>
              <w:bottom w:val="nil"/>
            </w:tcBorders>
            <w:hideMark/>
          </w:tcPr>
          <w:p w14:paraId="29F69CE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-0.51</w:t>
            </w:r>
          </w:p>
        </w:tc>
        <w:tc>
          <w:tcPr>
            <w:tcW w:w="1544" w:type="dxa"/>
            <w:tcBorders>
              <w:bottom w:val="nil"/>
            </w:tcBorders>
            <w:hideMark/>
          </w:tcPr>
          <w:p w14:paraId="74EE0B2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0.27</w:t>
            </w:r>
          </w:p>
        </w:tc>
        <w:tc>
          <w:tcPr>
            <w:tcW w:w="1544" w:type="dxa"/>
            <w:tcBorders>
              <w:bottom w:val="nil"/>
            </w:tcBorders>
            <w:hideMark/>
          </w:tcPr>
          <w:p w14:paraId="6B2FC59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0.59</w:t>
            </w:r>
          </w:p>
        </w:tc>
        <w:tc>
          <w:tcPr>
            <w:tcW w:w="1544" w:type="dxa"/>
            <w:tcBorders>
              <w:bottom w:val="nil"/>
            </w:tcBorders>
            <w:hideMark/>
          </w:tcPr>
          <w:p w14:paraId="22BB2E3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0.03</w:t>
            </w:r>
          </w:p>
        </w:tc>
      </w:tr>
      <w:tr w:rsidR="00AB238E" w:rsidRPr="00705903" w14:paraId="7C52D031"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EDE50B4"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E</w:t>
            </w:r>
            <w:r w:rsidRPr="00705903">
              <w:rPr>
                <w:b w:val="0"/>
                <w:bCs w:val="0"/>
                <w:i/>
                <w:iCs/>
                <w:sz w:val="20"/>
                <w:szCs w:val="20"/>
                <w:lang w:val="en-US" w:eastAsia="zh-CN"/>
              </w:rPr>
              <w:t xml:space="preserve"> </w:t>
            </w:r>
            <w:r w:rsidRPr="00705903">
              <w:rPr>
                <w:b w:val="0"/>
                <w:bCs w:val="0"/>
                <w:i/>
                <w:iCs/>
                <w:sz w:val="20"/>
                <w:szCs w:val="20"/>
                <w:lang w:val="en-US"/>
              </w:rPr>
              <w:t>factor</w:t>
            </w:r>
          </w:p>
        </w:tc>
        <w:tc>
          <w:tcPr>
            <w:tcW w:w="1544" w:type="dxa"/>
            <w:tcBorders>
              <w:top w:val="nil"/>
              <w:bottom w:val="nil"/>
            </w:tcBorders>
            <w:hideMark/>
          </w:tcPr>
          <w:p w14:paraId="41CAD89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-0.09</w:t>
            </w:r>
          </w:p>
        </w:tc>
        <w:tc>
          <w:tcPr>
            <w:tcW w:w="1544" w:type="dxa"/>
            <w:tcBorders>
              <w:top w:val="nil"/>
              <w:bottom w:val="nil"/>
            </w:tcBorders>
            <w:hideMark/>
          </w:tcPr>
          <w:p w14:paraId="1DE4097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-0.53</w:t>
            </w:r>
          </w:p>
        </w:tc>
        <w:tc>
          <w:tcPr>
            <w:tcW w:w="1544" w:type="dxa"/>
            <w:tcBorders>
              <w:top w:val="nil"/>
              <w:bottom w:val="nil"/>
            </w:tcBorders>
            <w:hideMark/>
          </w:tcPr>
          <w:p w14:paraId="504C410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0.30</w:t>
            </w:r>
          </w:p>
        </w:tc>
        <w:tc>
          <w:tcPr>
            <w:tcW w:w="1544" w:type="dxa"/>
            <w:tcBorders>
              <w:top w:val="nil"/>
              <w:bottom w:val="nil"/>
            </w:tcBorders>
            <w:hideMark/>
          </w:tcPr>
          <w:p w14:paraId="1867436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0.44</w:t>
            </w:r>
          </w:p>
        </w:tc>
        <w:tc>
          <w:tcPr>
            <w:tcW w:w="1544" w:type="dxa"/>
            <w:tcBorders>
              <w:top w:val="nil"/>
              <w:bottom w:val="nil"/>
            </w:tcBorders>
            <w:hideMark/>
          </w:tcPr>
          <w:p w14:paraId="4C9146B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0.11</w:t>
            </w:r>
          </w:p>
        </w:tc>
      </w:tr>
      <w:tr w:rsidR="00AB238E" w:rsidRPr="00705903" w14:paraId="00F21358"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009CF5B"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S</w:t>
            </w:r>
            <w:r w:rsidRPr="00705903">
              <w:rPr>
                <w:b w:val="0"/>
                <w:bCs w:val="0"/>
                <w:i/>
                <w:iCs/>
                <w:sz w:val="20"/>
                <w:szCs w:val="20"/>
                <w:lang w:val="en-US" w:eastAsia="zh-CN"/>
              </w:rPr>
              <w:t xml:space="preserve"> </w:t>
            </w:r>
            <w:r w:rsidRPr="00705903">
              <w:rPr>
                <w:b w:val="0"/>
                <w:bCs w:val="0"/>
                <w:i/>
                <w:iCs/>
                <w:sz w:val="20"/>
                <w:szCs w:val="20"/>
                <w:lang w:val="en-US"/>
              </w:rPr>
              <w:t>factor</w:t>
            </w:r>
          </w:p>
        </w:tc>
        <w:tc>
          <w:tcPr>
            <w:tcW w:w="1544" w:type="dxa"/>
            <w:tcBorders>
              <w:top w:val="nil"/>
              <w:bottom w:val="nil"/>
            </w:tcBorders>
            <w:hideMark/>
          </w:tcPr>
          <w:p w14:paraId="63648AB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-0.23</w:t>
            </w:r>
          </w:p>
        </w:tc>
        <w:tc>
          <w:tcPr>
            <w:tcW w:w="1544" w:type="dxa"/>
            <w:tcBorders>
              <w:top w:val="nil"/>
              <w:bottom w:val="nil"/>
            </w:tcBorders>
            <w:hideMark/>
          </w:tcPr>
          <w:p w14:paraId="232B1C6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-0.56</w:t>
            </w:r>
          </w:p>
        </w:tc>
        <w:tc>
          <w:tcPr>
            <w:tcW w:w="1544" w:type="dxa"/>
            <w:tcBorders>
              <w:top w:val="nil"/>
              <w:bottom w:val="nil"/>
            </w:tcBorders>
            <w:hideMark/>
          </w:tcPr>
          <w:p w14:paraId="47EC4CB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0.42</w:t>
            </w:r>
          </w:p>
        </w:tc>
        <w:tc>
          <w:tcPr>
            <w:tcW w:w="1544" w:type="dxa"/>
            <w:tcBorders>
              <w:top w:val="nil"/>
              <w:bottom w:val="nil"/>
            </w:tcBorders>
            <w:hideMark/>
          </w:tcPr>
          <w:p w14:paraId="4F46F68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0.63</w:t>
            </w:r>
          </w:p>
        </w:tc>
        <w:tc>
          <w:tcPr>
            <w:tcW w:w="1544" w:type="dxa"/>
            <w:tcBorders>
              <w:top w:val="nil"/>
              <w:bottom w:val="nil"/>
            </w:tcBorders>
            <w:hideMark/>
          </w:tcPr>
          <w:p w14:paraId="706C2C7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0.03</w:t>
            </w:r>
          </w:p>
        </w:tc>
      </w:tr>
      <w:tr w:rsidR="00AB238E" w:rsidRPr="00705903" w14:paraId="6F86C2C4"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61DCC93E"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G</w:t>
            </w:r>
            <w:r w:rsidRPr="00705903">
              <w:rPr>
                <w:b w:val="0"/>
                <w:bCs w:val="0"/>
                <w:i/>
                <w:iCs/>
                <w:sz w:val="20"/>
                <w:szCs w:val="20"/>
                <w:lang w:val="en-US" w:eastAsia="zh-CN"/>
              </w:rPr>
              <w:t xml:space="preserve"> </w:t>
            </w:r>
            <w:r w:rsidRPr="00705903">
              <w:rPr>
                <w:b w:val="0"/>
                <w:bCs w:val="0"/>
                <w:i/>
                <w:iCs/>
                <w:sz w:val="20"/>
                <w:szCs w:val="20"/>
                <w:lang w:val="en-US"/>
              </w:rPr>
              <w:t>factor</w:t>
            </w:r>
          </w:p>
        </w:tc>
        <w:tc>
          <w:tcPr>
            <w:tcW w:w="1544" w:type="dxa"/>
            <w:tcBorders>
              <w:top w:val="nil"/>
            </w:tcBorders>
            <w:hideMark/>
          </w:tcPr>
          <w:p w14:paraId="6E214B2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-0.15</w:t>
            </w:r>
          </w:p>
        </w:tc>
        <w:tc>
          <w:tcPr>
            <w:tcW w:w="1544" w:type="dxa"/>
            <w:tcBorders>
              <w:top w:val="nil"/>
            </w:tcBorders>
            <w:hideMark/>
          </w:tcPr>
          <w:p w14:paraId="0E4D179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-0.59</w:t>
            </w:r>
          </w:p>
        </w:tc>
        <w:tc>
          <w:tcPr>
            <w:tcW w:w="1544" w:type="dxa"/>
            <w:tcBorders>
              <w:top w:val="nil"/>
            </w:tcBorders>
            <w:hideMark/>
          </w:tcPr>
          <w:p w14:paraId="3E8F08F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0.48</w:t>
            </w:r>
          </w:p>
        </w:tc>
        <w:tc>
          <w:tcPr>
            <w:tcW w:w="1544" w:type="dxa"/>
            <w:tcBorders>
              <w:top w:val="nil"/>
            </w:tcBorders>
            <w:hideMark/>
          </w:tcPr>
          <w:p w14:paraId="105706E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0.63</w:t>
            </w:r>
          </w:p>
        </w:tc>
        <w:tc>
          <w:tcPr>
            <w:tcW w:w="1544" w:type="dxa"/>
            <w:tcBorders>
              <w:top w:val="nil"/>
            </w:tcBorders>
            <w:hideMark/>
          </w:tcPr>
          <w:p w14:paraId="75AFACD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0.10</w:t>
            </w:r>
          </w:p>
        </w:tc>
      </w:tr>
    </w:tbl>
    <w:p w14:paraId="1FEAD36A" w14:textId="77777777" w:rsidR="00AB238E" w:rsidRPr="00705903" w:rsidRDefault="00AB238E" w:rsidP="0097761F">
      <w:pPr>
        <w:spacing w:line="259" w:lineRule="auto"/>
        <w:ind w:firstLine="0"/>
        <w:jc w:val="both"/>
        <w:rPr>
          <w:sz w:val="20"/>
          <w:szCs w:val="20"/>
        </w:rPr>
      </w:pPr>
    </w:p>
    <w:p w14:paraId="0EBD46E1"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Panel B: Variance Inflation Factors (VIF) for Fama–French Five Factors</w:t>
      </w:r>
    </w:p>
    <w:tbl>
      <w:tblPr>
        <w:tblStyle w:val="PlainTable2"/>
        <w:tblW w:w="0" w:type="auto"/>
        <w:tblLook w:val="04A0" w:firstRow="1" w:lastRow="0" w:firstColumn="1" w:lastColumn="0" w:noHBand="0" w:noVBand="1"/>
      </w:tblPr>
      <w:tblGrid>
        <w:gridCol w:w="1394"/>
        <w:gridCol w:w="7613"/>
      </w:tblGrid>
      <w:tr w:rsidR="00AB238E" w:rsidRPr="00705903" w14:paraId="3E91A74A"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4D027"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Variable</w:t>
            </w:r>
          </w:p>
        </w:tc>
        <w:tc>
          <w:tcPr>
            <w:tcW w:w="7613" w:type="dxa"/>
            <w:vAlign w:val="center"/>
            <w:hideMark/>
          </w:tcPr>
          <w:p w14:paraId="66C2144C"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VIF</w:t>
            </w:r>
          </w:p>
        </w:tc>
      </w:tr>
      <w:tr w:rsidR="00AB238E" w:rsidRPr="00705903" w14:paraId="5379D164"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74CB8923"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RiskPremium1</w:t>
            </w:r>
          </w:p>
        </w:tc>
        <w:tc>
          <w:tcPr>
            <w:tcW w:w="7613" w:type="dxa"/>
            <w:tcBorders>
              <w:bottom w:val="nil"/>
            </w:tcBorders>
            <w:vAlign w:val="center"/>
            <w:hideMark/>
          </w:tcPr>
          <w:p w14:paraId="3F58F9F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1.15</w:t>
            </w:r>
          </w:p>
        </w:tc>
      </w:tr>
      <w:tr w:rsidR="00AB238E" w:rsidRPr="00705903" w14:paraId="387CCAE2"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362DBAC"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SMB1</w:t>
            </w:r>
          </w:p>
        </w:tc>
        <w:tc>
          <w:tcPr>
            <w:tcW w:w="7613" w:type="dxa"/>
            <w:tcBorders>
              <w:top w:val="nil"/>
              <w:bottom w:val="nil"/>
            </w:tcBorders>
            <w:vAlign w:val="center"/>
            <w:hideMark/>
          </w:tcPr>
          <w:p w14:paraId="0292100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2.17</w:t>
            </w:r>
          </w:p>
        </w:tc>
      </w:tr>
      <w:tr w:rsidR="00AB238E" w:rsidRPr="00705903" w14:paraId="176A268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68015C0"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HML1</w:t>
            </w:r>
          </w:p>
        </w:tc>
        <w:tc>
          <w:tcPr>
            <w:tcW w:w="7613" w:type="dxa"/>
            <w:tcBorders>
              <w:top w:val="nil"/>
              <w:bottom w:val="nil"/>
            </w:tcBorders>
            <w:vAlign w:val="center"/>
            <w:hideMark/>
          </w:tcPr>
          <w:p w14:paraId="1ACF227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1.74</w:t>
            </w:r>
          </w:p>
        </w:tc>
      </w:tr>
      <w:tr w:rsidR="00AB238E" w:rsidRPr="00705903" w14:paraId="045298A5"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E547662"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RMW1</w:t>
            </w:r>
          </w:p>
        </w:tc>
        <w:tc>
          <w:tcPr>
            <w:tcW w:w="7613" w:type="dxa"/>
            <w:tcBorders>
              <w:top w:val="nil"/>
              <w:bottom w:val="nil"/>
            </w:tcBorders>
            <w:vAlign w:val="center"/>
            <w:hideMark/>
          </w:tcPr>
          <w:p w14:paraId="694E850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2.07</w:t>
            </w:r>
          </w:p>
        </w:tc>
      </w:tr>
      <w:tr w:rsidR="00AB238E" w:rsidRPr="00705903" w14:paraId="1DC187C8"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6FB69468"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CMA1</w:t>
            </w:r>
          </w:p>
        </w:tc>
        <w:tc>
          <w:tcPr>
            <w:tcW w:w="7613" w:type="dxa"/>
            <w:tcBorders>
              <w:top w:val="nil"/>
            </w:tcBorders>
            <w:vAlign w:val="center"/>
            <w:hideMark/>
          </w:tcPr>
          <w:p w14:paraId="4A6848E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1.39</w:t>
            </w:r>
          </w:p>
        </w:tc>
      </w:tr>
    </w:tbl>
    <w:p w14:paraId="2482D089" w14:textId="77777777" w:rsidR="00AB238E" w:rsidRPr="00705903" w:rsidRDefault="00AB238E" w:rsidP="0097761F">
      <w:pPr>
        <w:spacing w:line="259" w:lineRule="auto"/>
        <w:ind w:firstLine="0"/>
        <w:jc w:val="both"/>
        <w:rPr>
          <w:sz w:val="20"/>
          <w:szCs w:val="20"/>
        </w:rPr>
      </w:pPr>
    </w:p>
    <w:p w14:paraId="4986D92F" w14:textId="77777777" w:rsidR="00AB238E" w:rsidRPr="00705903" w:rsidRDefault="00AB238E" w:rsidP="0097761F">
      <w:pPr>
        <w:spacing w:after="160" w:line="259" w:lineRule="auto"/>
        <w:ind w:firstLine="0"/>
        <w:jc w:val="both"/>
      </w:pPr>
      <w:r w:rsidRPr="00705903">
        <w:br w:type="page"/>
      </w:r>
    </w:p>
    <w:p w14:paraId="5546A981" w14:textId="77777777" w:rsidR="00AB238E" w:rsidRPr="00705903" w:rsidRDefault="00AB238E" w:rsidP="0097761F">
      <w:pPr>
        <w:pStyle w:val="Heading1"/>
      </w:pPr>
      <w:bookmarkStart w:id="11" w:name="_Hlk212940977"/>
      <w:r w:rsidRPr="00705903">
        <w:t>Table 29. Dynamic ESG, S, and G Factor Effects Across COVID-19 Periods</w:t>
      </w:r>
    </w:p>
    <w:p w14:paraId="12E19401" w14:textId="77777777" w:rsidR="00AB238E" w:rsidRPr="00705903" w:rsidRDefault="00AB238E" w:rsidP="0097761F">
      <w:pPr>
        <w:spacing w:line="259" w:lineRule="auto"/>
        <w:ind w:firstLine="0"/>
        <w:jc w:val="both"/>
        <w:rPr>
          <w:sz w:val="20"/>
          <w:szCs w:val="20"/>
        </w:rPr>
      </w:pPr>
    </w:p>
    <w:p w14:paraId="72F7B18B"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This table presents the Fama–French five-factor regression results for the ESG factor and its sub-pillars (S and G) across key COVID-19 phases in China.</w:t>
      </w:r>
      <w:r w:rsidRPr="00705903">
        <w:rPr>
          <w:sz w:val="20"/>
          <w:szCs w:val="20"/>
          <w:lang w:val="en-US" w:eastAsia="zh-CN"/>
        </w:rPr>
        <w:t xml:space="preserve"> </w:t>
      </w:r>
      <w:r w:rsidRPr="00705903">
        <w:rPr>
          <w:sz w:val="20"/>
          <w:szCs w:val="20"/>
          <w:lang w:val="en-US"/>
        </w:rPr>
        <w:t xml:space="preserve">Reported statistics include regression </w:t>
      </w:r>
      <w:proofErr w:type="gramStart"/>
      <w:r w:rsidRPr="00705903">
        <w:rPr>
          <w:sz w:val="20"/>
          <w:szCs w:val="20"/>
          <w:lang w:val="en-US"/>
        </w:rPr>
        <w:t>intercepts</w:t>
      </w:r>
      <w:proofErr w:type="gramEnd"/>
      <w:r w:rsidRPr="00705903">
        <w:rPr>
          <w:sz w:val="20"/>
          <w:szCs w:val="20"/>
          <w:lang w:val="en-US"/>
        </w:rPr>
        <w:t xml:space="preserve"> (α), p-values, t-statistics, and supplementary performance measures such as annualized return, volatility, Sharpe ratio, and portfolio turnover.</w:t>
      </w:r>
    </w:p>
    <w:p w14:paraId="236310C4" w14:textId="616D0F45" w:rsidR="00AB238E" w:rsidRPr="00705903" w:rsidRDefault="00AB238E" w:rsidP="0097761F">
      <w:pPr>
        <w:spacing w:line="259" w:lineRule="auto"/>
        <w:ind w:firstLine="0"/>
        <w:jc w:val="both"/>
        <w:rPr>
          <w:sz w:val="20"/>
          <w:szCs w:val="20"/>
          <w:lang w:val="en-US" w:eastAsia="zh-CN"/>
        </w:rPr>
      </w:pPr>
      <w:r w:rsidRPr="00705903">
        <w:rPr>
          <w:sz w:val="20"/>
          <w:szCs w:val="20"/>
          <w:lang w:val="en-US"/>
        </w:rPr>
        <w:t>The analysis covers four distinct stages of the pandemic:</w:t>
      </w:r>
      <w:r w:rsidRPr="00705903">
        <w:rPr>
          <w:sz w:val="20"/>
          <w:szCs w:val="20"/>
          <w:lang w:val="en-US" w:eastAsia="zh-CN"/>
        </w:rPr>
        <w:t xml:space="preserve"> </w:t>
      </w:r>
      <w:r w:rsidRPr="00705903">
        <w:rPr>
          <w:sz w:val="20"/>
          <w:szCs w:val="20"/>
          <w:lang w:val="en-US"/>
        </w:rPr>
        <w:t>(1) Pre-COVID (2017–2019),</w:t>
      </w:r>
      <w:r w:rsidRPr="00705903">
        <w:rPr>
          <w:sz w:val="20"/>
          <w:szCs w:val="20"/>
          <w:lang w:val="en-US" w:eastAsia="zh-CN"/>
        </w:rPr>
        <w:t xml:space="preserve"> </w:t>
      </w:r>
      <w:r w:rsidRPr="00705903">
        <w:rPr>
          <w:sz w:val="20"/>
          <w:szCs w:val="20"/>
          <w:lang w:val="en-US"/>
        </w:rPr>
        <w:t>(2) Outbreak Phase (January–August 2020),</w:t>
      </w:r>
      <w:r w:rsidRPr="00705903">
        <w:rPr>
          <w:sz w:val="20"/>
          <w:szCs w:val="20"/>
          <w:lang w:val="en-US" w:eastAsia="zh-CN"/>
        </w:rPr>
        <w:t xml:space="preserve"> </w:t>
      </w:r>
      <w:r w:rsidRPr="00705903">
        <w:rPr>
          <w:sz w:val="20"/>
          <w:szCs w:val="20"/>
          <w:lang w:val="en-US"/>
        </w:rPr>
        <w:t>(3) Vaccination and Recovery Phase (August 2020–April 2021), and</w:t>
      </w:r>
      <w:r w:rsidRPr="00705903">
        <w:rPr>
          <w:sz w:val="20"/>
          <w:szCs w:val="20"/>
          <w:lang w:val="en-US" w:eastAsia="zh-CN"/>
        </w:rPr>
        <w:t xml:space="preserve"> </w:t>
      </w:r>
      <w:r w:rsidRPr="00705903">
        <w:rPr>
          <w:sz w:val="20"/>
          <w:szCs w:val="20"/>
          <w:lang w:val="en-US"/>
        </w:rPr>
        <w:t>(4) Post-Reopening Phase (May 2021–December 2022).</w:t>
      </w:r>
      <w:r w:rsidR="00162876" w:rsidRPr="00705903">
        <w:rPr>
          <w:sz w:val="20"/>
          <w:szCs w:val="20"/>
          <w:lang w:val="en-US" w:eastAsia="zh-CN"/>
        </w:rPr>
        <w:t xml:space="preserve"> </w:t>
      </w:r>
    </w:p>
    <w:p w14:paraId="2A86FF01" w14:textId="77777777" w:rsidR="00AB238E" w:rsidRPr="00705903" w:rsidRDefault="00AB238E" w:rsidP="0097761F">
      <w:pPr>
        <w:spacing w:line="259" w:lineRule="auto"/>
        <w:ind w:firstLine="0"/>
        <w:jc w:val="both"/>
        <w:rPr>
          <w:sz w:val="20"/>
          <w:szCs w:val="20"/>
          <w:lang w:val="en-US"/>
        </w:rPr>
      </w:pPr>
    </w:p>
    <w:p w14:paraId="17F18E00"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In Panel A, the ESG factor exhibited a significant positive abnormal return during the outbreak period (α = 1.84, p &lt; 0.0001), suggesting a temporary “safe haven” effect as investors shifted toward firms with stronger ESG performance amid heightened uncertainty.</w:t>
      </w:r>
      <w:r w:rsidRPr="00705903">
        <w:rPr>
          <w:sz w:val="20"/>
          <w:szCs w:val="20"/>
          <w:lang w:val="en-US" w:eastAsia="zh-CN"/>
        </w:rPr>
        <w:t xml:space="preserve"> </w:t>
      </w:r>
      <w:r w:rsidRPr="00705903">
        <w:rPr>
          <w:sz w:val="20"/>
          <w:szCs w:val="20"/>
          <w:lang w:val="en-US"/>
        </w:rPr>
        <w:t>Such firms were likely perceived as more stable and resilient, offering downside protection during market stress.</w:t>
      </w:r>
      <w:r w:rsidRPr="00705903">
        <w:rPr>
          <w:sz w:val="20"/>
          <w:szCs w:val="20"/>
          <w:lang w:val="en-US" w:eastAsia="zh-CN"/>
        </w:rPr>
        <w:t xml:space="preserve"> </w:t>
      </w:r>
      <w:r w:rsidRPr="00705903">
        <w:rPr>
          <w:sz w:val="20"/>
          <w:szCs w:val="20"/>
          <w:lang w:val="en-US"/>
        </w:rPr>
        <w:t>However, this excess return dissipated once markets stabilized, turning slightly negative in subsequent phases.</w:t>
      </w:r>
      <w:r w:rsidRPr="00705903">
        <w:rPr>
          <w:sz w:val="20"/>
          <w:szCs w:val="20"/>
          <w:lang w:val="en-US" w:eastAsia="zh-CN"/>
        </w:rPr>
        <w:t xml:space="preserve"> </w:t>
      </w:r>
      <w:r w:rsidRPr="00705903">
        <w:rPr>
          <w:sz w:val="20"/>
          <w:szCs w:val="20"/>
          <w:lang w:val="en-US"/>
        </w:rPr>
        <w:t>This pattern indicates that the ESG premium during COVID-19 was event-driven and transitory, rather than structural.</w:t>
      </w:r>
      <w:r w:rsidRPr="00705903">
        <w:rPr>
          <w:sz w:val="20"/>
          <w:szCs w:val="20"/>
          <w:lang w:val="en-US" w:eastAsia="zh-CN"/>
        </w:rPr>
        <w:t xml:space="preserve"> </w:t>
      </w:r>
      <w:r w:rsidRPr="00705903">
        <w:rPr>
          <w:sz w:val="20"/>
          <w:szCs w:val="20"/>
          <w:lang w:val="en-US"/>
        </w:rPr>
        <w:t>Portfolio turnover declined sharply during the outbreak—consistent with a convergence in ESG-related behavior across firms—before rising again as corporate ESG differentiation widened during the recovery period.</w:t>
      </w:r>
    </w:p>
    <w:p w14:paraId="28E1582A" w14:textId="77777777" w:rsidR="00AB238E" w:rsidRPr="00705903" w:rsidRDefault="00AB238E" w:rsidP="0097761F">
      <w:pPr>
        <w:spacing w:line="259" w:lineRule="auto"/>
        <w:ind w:firstLine="0"/>
        <w:jc w:val="both"/>
        <w:rPr>
          <w:sz w:val="20"/>
          <w:szCs w:val="20"/>
          <w:lang w:val="en-US"/>
        </w:rPr>
      </w:pPr>
    </w:p>
    <w:p w14:paraId="680005A4"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In Panel B, the Social (S) factor demonstrated strong positive alpha during the outbreak (α = 0.99, p = 0.027), implying that socially responsible firms were viewed as more reputable and crisis resilient.</w:t>
      </w:r>
      <w:r w:rsidRPr="00705903">
        <w:rPr>
          <w:sz w:val="20"/>
          <w:szCs w:val="20"/>
          <w:lang w:val="en-US" w:eastAsia="zh-CN"/>
        </w:rPr>
        <w:t xml:space="preserve"> </w:t>
      </w:r>
      <w:r w:rsidRPr="00705903">
        <w:rPr>
          <w:sz w:val="20"/>
          <w:szCs w:val="20"/>
          <w:lang w:val="en-US"/>
        </w:rPr>
        <w:t>Yet this advantage reversed in the post-recovery phase, when the S factor produced significant negative alphas, suggesting that market preferences shifted back toward higher-risk, growth-oriented firms once uncertainty eased.</w:t>
      </w:r>
      <w:r w:rsidRPr="00705903">
        <w:rPr>
          <w:sz w:val="20"/>
          <w:szCs w:val="20"/>
          <w:lang w:val="en-US" w:eastAsia="zh-CN"/>
        </w:rPr>
        <w:t xml:space="preserve"> </w:t>
      </w:r>
      <w:r w:rsidRPr="00705903">
        <w:rPr>
          <w:sz w:val="20"/>
          <w:szCs w:val="20"/>
          <w:lang w:val="en-US"/>
        </w:rPr>
        <w:t>Turnover in S portfolios mirrored the ESG pattern, dropping early in the pandemic and rebounding during recovery as differences in firms’ social performances such as employee management and supply-chain resilience—became more pronounced.</w:t>
      </w:r>
    </w:p>
    <w:p w14:paraId="63E5623B" w14:textId="77777777" w:rsidR="00AB238E" w:rsidRPr="00705903" w:rsidRDefault="00AB238E" w:rsidP="0097761F">
      <w:pPr>
        <w:spacing w:line="259" w:lineRule="auto"/>
        <w:ind w:firstLine="0"/>
        <w:jc w:val="both"/>
        <w:rPr>
          <w:sz w:val="20"/>
          <w:szCs w:val="20"/>
          <w:lang w:val="en-US"/>
        </w:rPr>
      </w:pPr>
    </w:p>
    <w:p w14:paraId="194CF77D" w14:textId="77777777" w:rsidR="00162876" w:rsidRPr="00705903" w:rsidRDefault="00AB238E" w:rsidP="0097761F">
      <w:pPr>
        <w:spacing w:line="259" w:lineRule="auto"/>
        <w:ind w:firstLine="0"/>
        <w:jc w:val="both"/>
        <w:rPr>
          <w:sz w:val="20"/>
          <w:szCs w:val="20"/>
          <w:lang w:val="en-US" w:eastAsia="zh-CN"/>
        </w:rPr>
      </w:pPr>
      <w:r w:rsidRPr="00705903">
        <w:rPr>
          <w:sz w:val="20"/>
          <w:szCs w:val="20"/>
          <w:lang w:val="en-US"/>
        </w:rPr>
        <w:t>In Panel C, the Governance (G) factor consistently displayed negative abnormal returns across all pandemic phases, most prominently during the outbreak (α = -2.24, p &lt; 0.001).</w:t>
      </w:r>
      <w:r w:rsidRPr="00705903">
        <w:rPr>
          <w:sz w:val="20"/>
          <w:szCs w:val="20"/>
          <w:lang w:val="en-US" w:eastAsia="zh-CN"/>
        </w:rPr>
        <w:t xml:space="preserve"> </w:t>
      </w:r>
      <w:r w:rsidRPr="00705903">
        <w:rPr>
          <w:sz w:val="20"/>
          <w:szCs w:val="20"/>
          <w:lang w:val="en-US"/>
        </w:rPr>
        <w:t>This finding suggests that strictly governed firms may have been penalized for lower operational flexibility under crisis conditions, reflecting investor preference for agility and adaptability over compliance-heavy management.</w:t>
      </w:r>
      <w:r w:rsidRPr="00705903">
        <w:rPr>
          <w:sz w:val="20"/>
          <w:szCs w:val="20"/>
          <w:lang w:val="en-US" w:eastAsia="zh-CN"/>
        </w:rPr>
        <w:t xml:space="preserve"> </w:t>
      </w:r>
      <w:r w:rsidRPr="00705903">
        <w:rPr>
          <w:sz w:val="20"/>
          <w:szCs w:val="20"/>
          <w:lang w:val="en-US"/>
        </w:rPr>
        <w:t>The persistence of negative α during both recovery and post-reopening periods indicates that this underperformance was sustained, while rising turnover suggests gradual investor rotation away from governance-intensive portfolios.</w:t>
      </w:r>
      <w:r w:rsidR="00162876" w:rsidRPr="00705903">
        <w:rPr>
          <w:sz w:val="20"/>
          <w:szCs w:val="20"/>
          <w:lang w:val="en-US" w:eastAsia="zh-CN"/>
        </w:rPr>
        <w:t xml:space="preserve"> </w:t>
      </w:r>
    </w:p>
    <w:p w14:paraId="199CB0CB" w14:textId="77777777" w:rsidR="00162876" w:rsidRPr="00705903" w:rsidRDefault="00162876" w:rsidP="0097761F">
      <w:pPr>
        <w:spacing w:line="259" w:lineRule="auto"/>
        <w:ind w:firstLine="0"/>
        <w:jc w:val="both"/>
        <w:rPr>
          <w:sz w:val="20"/>
          <w:szCs w:val="20"/>
          <w:lang w:val="en-US" w:eastAsia="zh-CN"/>
        </w:rPr>
      </w:pPr>
    </w:p>
    <w:p w14:paraId="0119CCB1" w14:textId="38BF2FE2" w:rsidR="00AB238E" w:rsidRPr="00705903" w:rsidRDefault="00AB238E" w:rsidP="0097761F">
      <w:pPr>
        <w:spacing w:line="259" w:lineRule="auto"/>
        <w:ind w:firstLine="0"/>
        <w:jc w:val="both"/>
        <w:rPr>
          <w:sz w:val="20"/>
          <w:szCs w:val="20"/>
          <w:lang w:val="en-US"/>
        </w:rPr>
      </w:pPr>
      <w:r w:rsidRPr="00705903">
        <w:rPr>
          <w:sz w:val="20"/>
          <w:szCs w:val="20"/>
          <w:lang w:val="en-US"/>
        </w:rPr>
        <w:t>The Environmental (E) factor is excluded from the table, as it did not exhibit statistically significant alpha in any subperiod—implying that environmental dimensions were less directly affected by pandemic dynamics compared with social and governance aspects.</w:t>
      </w:r>
      <w:r w:rsidRPr="00705903">
        <w:rPr>
          <w:sz w:val="20"/>
          <w:szCs w:val="20"/>
          <w:lang w:val="en-US" w:eastAsia="zh-CN"/>
        </w:rPr>
        <w:t xml:space="preserve"> </w:t>
      </w:r>
      <m:oMath>
        <m:r>
          <w:rPr>
            <w:rFonts w:ascii="Cambria Math" w:hAnsi="Cambria Math"/>
            <w:sz w:val="20"/>
            <w:szCs w:val="20"/>
            <w:lang w:val="en-US" w:eastAsia="zh-CN"/>
          </w:rPr>
          <m:t>α</m:t>
        </m:r>
      </m:oMath>
      <w:r w:rsidRPr="00705903">
        <w:rPr>
          <w:sz w:val="20"/>
          <w:szCs w:val="20"/>
          <w:lang w:val="en-US"/>
        </w:rPr>
        <w:t>represents excess returns relative to the Fama–French five-factor model.</w:t>
      </w:r>
      <w:r w:rsidRPr="00705903">
        <w:rPr>
          <w:sz w:val="20"/>
          <w:szCs w:val="20"/>
          <w:lang w:val="en-US" w:eastAsia="zh-CN"/>
        </w:rPr>
        <w:t xml:space="preserve"> </w:t>
      </w:r>
      <w:r w:rsidRPr="00705903">
        <w:rPr>
          <w:sz w:val="20"/>
          <w:szCs w:val="20"/>
          <w:lang w:val="en-US"/>
        </w:rPr>
        <w:t>Period definitions correspond to key COVID-19 milestones:</w:t>
      </w:r>
      <w:r w:rsidRPr="00705903">
        <w:rPr>
          <w:sz w:val="20"/>
          <w:szCs w:val="20"/>
          <w:lang w:val="en-US" w:eastAsia="zh-CN"/>
        </w:rPr>
        <w:t xml:space="preserve"> </w:t>
      </w:r>
      <w:r w:rsidRPr="00705903">
        <w:rPr>
          <w:sz w:val="20"/>
          <w:szCs w:val="20"/>
          <w:lang w:val="en-US"/>
        </w:rPr>
        <w:t xml:space="preserve">the December 2019 outbreak announcement, the July 2020 emergency vaccine approval, the May 2021 large-scale vaccination rollout, and the December 2022 </w:t>
      </w:r>
      <w:r w:rsidRPr="00705903">
        <w:rPr>
          <w:sz w:val="20"/>
          <w:szCs w:val="20"/>
        </w:rPr>
        <w:t xml:space="preserve">the newly announced Ten Adjustments (COVID policy adjustments) </w:t>
      </w:r>
      <w:r w:rsidRPr="00705903">
        <w:rPr>
          <w:sz w:val="20"/>
          <w:szCs w:val="20"/>
          <w:lang w:val="en-US"/>
        </w:rPr>
        <w:t xml:space="preserve">policy and the termination of the national </w:t>
      </w:r>
      <w:r w:rsidR="00162876" w:rsidRPr="00705903">
        <w:rPr>
          <w:sz w:val="20"/>
          <w:szCs w:val="20"/>
          <w:lang w:val="en-US" w:eastAsia="zh-CN"/>
        </w:rPr>
        <w:t>travel-code system</w:t>
      </w:r>
      <w:r w:rsidRPr="00705903">
        <w:rPr>
          <w:sz w:val="20"/>
          <w:szCs w:val="20"/>
          <w:lang w:val="en-US"/>
        </w:rPr>
        <w:t>.</w:t>
      </w:r>
    </w:p>
    <w:p w14:paraId="55CE534E" w14:textId="77777777" w:rsidR="00AB238E" w:rsidRPr="00705903" w:rsidRDefault="00AB238E" w:rsidP="0097761F">
      <w:pPr>
        <w:spacing w:line="259" w:lineRule="auto"/>
        <w:ind w:firstLine="0"/>
        <w:jc w:val="both"/>
        <w:rPr>
          <w:sz w:val="20"/>
          <w:szCs w:val="20"/>
        </w:rPr>
      </w:pPr>
    </w:p>
    <w:p w14:paraId="675EA93B" w14:textId="77777777" w:rsidR="00AB238E" w:rsidRPr="00705903" w:rsidRDefault="00AB238E" w:rsidP="0097761F">
      <w:pPr>
        <w:spacing w:line="259" w:lineRule="auto"/>
        <w:ind w:firstLine="0"/>
        <w:jc w:val="both"/>
        <w:rPr>
          <w:sz w:val="20"/>
          <w:szCs w:val="20"/>
        </w:rPr>
      </w:pPr>
    </w:p>
    <w:p w14:paraId="358F3631" w14:textId="77777777" w:rsidR="00AB238E" w:rsidRPr="00705903" w:rsidRDefault="00AB238E" w:rsidP="0097761F">
      <w:pPr>
        <w:spacing w:line="259" w:lineRule="auto"/>
        <w:ind w:firstLine="0"/>
        <w:jc w:val="both"/>
        <w:rPr>
          <w:sz w:val="20"/>
          <w:szCs w:val="20"/>
        </w:rPr>
      </w:pPr>
      <w:r w:rsidRPr="00705903">
        <w:rPr>
          <w:sz w:val="20"/>
          <w:szCs w:val="20"/>
        </w:rPr>
        <w:t>Panel A. ESG Factor Regression Results</w:t>
      </w:r>
    </w:p>
    <w:tbl>
      <w:tblPr>
        <w:tblStyle w:val="PlainTable2"/>
        <w:tblW w:w="0" w:type="auto"/>
        <w:tblLayout w:type="fixed"/>
        <w:tblLook w:val="04A0" w:firstRow="1" w:lastRow="0" w:firstColumn="1" w:lastColumn="0" w:noHBand="0" w:noVBand="1"/>
      </w:tblPr>
      <w:tblGrid>
        <w:gridCol w:w="1350"/>
        <w:gridCol w:w="1650"/>
        <w:gridCol w:w="908"/>
        <w:gridCol w:w="909"/>
        <w:gridCol w:w="908"/>
        <w:gridCol w:w="909"/>
        <w:gridCol w:w="908"/>
        <w:gridCol w:w="909"/>
        <w:gridCol w:w="909"/>
      </w:tblGrid>
      <w:tr w:rsidR="00AB238E" w:rsidRPr="00705903" w14:paraId="28C64C5E"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521ED602" w14:textId="77777777" w:rsidR="00AB238E" w:rsidRPr="00705903" w:rsidRDefault="00AB238E" w:rsidP="0097761F">
            <w:pPr>
              <w:spacing w:line="259" w:lineRule="auto"/>
              <w:ind w:firstLine="0"/>
              <w:jc w:val="both"/>
              <w:rPr>
                <w:b w:val="0"/>
                <w:bCs w:val="0"/>
                <w:sz w:val="18"/>
                <w:szCs w:val="18"/>
                <w:lang w:val="en-US"/>
              </w:rPr>
            </w:pPr>
            <w:r w:rsidRPr="00705903">
              <w:rPr>
                <w:b w:val="0"/>
                <w:bCs w:val="0"/>
                <w:sz w:val="18"/>
                <w:szCs w:val="18"/>
                <w:lang w:val="en-US"/>
              </w:rPr>
              <w:t>Period</w:t>
            </w:r>
          </w:p>
        </w:tc>
        <w:tc>
          <w:tcPr>
            <w:tcW w:w="1650" w:type="dxa"/>
            <w:vAlign w:val="center"/>
            <w:hideMark/>
          </w:tcPr>
          <w:p w14:paraId="0404ED43"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Timeline</w:t>
            </w:r>
          </w:p>
        </w:tc>
        <w:tc>
          <w:tcPr>
            <w:tcW w:w="908" w:type="dxa"/>
            <w:vAlign w:val="center"/>
            <w:hideMark/>
          </w:tcPr>
          <w:p w14:paraId="4C0ED158"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α</w:t>
            </w:r>
          </w:p>
        </w:tc>
        <w:tc>
          <w:tcPr>
            <w:tcW w:w="909" w:type="dxa"/>
            <w:vAlign w:val="center"/>
            <w:hideMark/>
          </w:tcPr>
          <w:p w14:paraId="6F820B0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p-value</w:t>
            </w:r>
          </w:p>
        </w:tc>
        <w:tc>
          <w:tcPr>
            <w:tcW w:w="908" w:type="dxa"/>
            <w:vAlign w:val="center"/>
            <w:hideMark/>
          </w:tcPr>
          <w:p w14:paraId="6AEE51F3"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t-stat</w:t>
            </w:r>
          </w:p>
        </w:tc>
        <w:tc>
          <w:tcPr>
            <w:tcW w:w="909" w:type="dxa"/>
            <w:vAlign w:val="center"/>
            <w:hideMark/>
          </w:tcPr>
          <w:p w14:paraId="53CAD6E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R²</w:t>
            </w:r>
          </w:p>
        </w:tc>
        <w:tc>
          <w:tcPr>
            <w:tcW w:w="908" w:type="dxa"/>
            <w:vAlign w:val="center"/>
            <w:hideMark/>
          </w:tcPr>
          <w:p w14:paraId="27A25C77"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Annual Return</w:t>
            </w:r>
          </w:p>
        </w:tc>
        <w:tc>
          <w:tcPr>
            <w:tcW w:w="909" w:type="dxa"/>
            <w:vAlign w:val="center"/>
            <w:hideMark/>
          </w:tcPr>
          <w:p w14:paraId="1AC21C32"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Sharpe</w:t>
            </w:r>
          </w:p>
        </w:tc>
        <w:tc>
          <w:tcPr>
            <w:tcW w:w="909" w:type="dxa"/>
            <w:vAlign w:val="center"/>
            <w:hideMark/>
          </w:tcPr>
          <w:p w14:paraId="23C07146"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Avg. Turnover</w:t>
            </w:r>
          </w:p>
        </w:tc>
      </w:tr>
      <w:tr w:rsidR="00AB238E" w:rsidRPr="00705903" w14:paraId="6A2C012D"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bottom w:val="nil"/>
            </w:tcBorders>
            <w:hideMark/>
          </w:tcPr>
          <w:p w14:paraId="5A6C85FE"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Pre-COVID</w:t>
            </w:r>
          </w:p>
        </w:tc>
        <w:tc>
          <w:tcPr>
            <w:tcW w:w="1650" w:type="dxa"/>
            <w:tcBorders>
              <w:bottom w:val="nil"/>
            </w:tcBorders>
            <w:vAlign w:val="center"/>
            <w:hideMark/>
          </w:tcPr>
          <w:p w14:paraId="105D44E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2017.01–2019.12</w:t>
            </w:r>
          </w:p>
        </w:tc>
        <w:tc>
          <w:tcPr>
            <w:tcW w:w="908" w:type="dxa"/>
            <w:tcBorders>
              <w:bottom w:val="nil"/>
            </w:tcBorders>
            <w:vAlign w:val="center"/>
            <w:hideMark/>
          </w:tcPr>
          <w:p w14:paraId="652A284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-0.071</w:t>
            </w:r>
          </w:p>
        </w:tc>
        <w:tc>
          <w:tcPr>
            <w:tcW w:w="909" w:type="dxa"/>
            <w:tcBorders>
              <w:bottom w:val="nil"/>
            </w:tcBorders>
            <w:vAlign w:val="center"/>
            <w:hideMark/>
          </w:tcPr>
          <w:p w14:paraId="1D578F5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0.839</w:t>
            </w:r>
          </w:p>
        </w:tc>
        <w:tc>
          <w:tcPr>
            <w:tcW w:w="908" w:type="dxa"/>
            <w:tcBorders>
              <w:bottom w:val="nil"/>
            </w:tcBorders>
            <w:vAlign w:val="center"/>
            <w:hideMark/>
          </w:tcPr>
          <w:p w14:paraId="432215B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-0.203</w:t>
            </w:r>
          </w:p>
        </w:tc>
        <w:tc>
          <w:tcPr>
            <w:tcW w:w="909" w:type="dxa"/>
            <w:tcBorders>
              <w:bottom w:val="nil"/>
            </w:tcBorders>
            <w:vAlign w:val="center"/>
            <w:hideMark/>
          </w:tcPr>
          <w:p w14:paraId="0DA871B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0.515</w:t>
            </w:r>
          </w:p>
        </w:tc>
        <w:tc>
          <w:tcPr>
            <w:tcW w:w="908" w:type="dxa"/>
            <w:tcBorders>
              <w:bottom w:val="nil"/>
            </w:tcBorders>
            <w:vAlign w:val="center"/>
            <w:hideMark/>
          </w:tcPr>
          <w:p w14:paraId="121F379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6.01</w:t>
            </w:r>
          </w:p>
        </w:tc>
        <w:tc>
          <w:tcPr>
            <w:tcW w:w="909" w:type="dxa"/>
            <w:tcBorders>
              <w:bottom w:val="nil"/>
            </w:tcBorders>
            <w:vAlign w:val="center"/>
            <w:hideMark/>
          </w:tcPr>
          <w:p w14:paraId="52A4B25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0.72</w:t>
            </w:r>
          </w:p>
        </w:tc>
        <w:tc>
          <w:tcPr>
            <w:tcW w:w="909" w:type="dxa"/>
            <w:tcBorders>
              <w:bottom w:val="nil"/>
            </w:tcBorders>
            <w:vAlign w:val="center"/>
            <w:hideMark/>
          </w:tcPr>
          <w:p w14:paraId="135976B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0.84</w:t>
            </w:r>
          </w:p>
        </w:tc>
      </w:tr>
      <w:tr w:rsidR="00AB238E" w:rsidRPr="00705903" w14:paraId="2B3706F3" w14:textId="77777777" w:rsidTr="00A4523E">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hideMark/>
          </w:tcPr>
          <w:p w14:paraId="35360C1E"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Outbreak</w:t>
            </w:r>
          </w:p>
        </w:tc>
        <w:tc>
          <w:tcPr>
            <w:tcW w:w="1650" w:type="dxa"/>
            <w:tcBorders>
              <w:top w:val="nil"/>
              <w:bottom w:val="nil"/>
            </w:tcBorders>
            <w:vAlign w:val="center"/>
            <w:hideMark/>
          </w:tcPr>
          <w:p w14:paraId="757B9C8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2020.01–2020.08</w:t>
            </w:r>
          </w:p>
        </w:tc>
        <w:tc>
          <w:tcPr>
            <w:tcW w:w="908" w:type="dxa"/>
            <w:tcBorders>
              <w:top w:val="nil"/>
              <w:bottom w:val="nil"/>
            </w:tcBorders>
            <w:vAlign w:val="center"/>
            <w:hideMark/>
          </w:tcPr>
          <w:p w14:paraId="2231121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1.841</w:t>
            </w:r>
          </w:p>
        </w:tc>
        <w:tc>
          <w:tcPr>
            <w:tcW w:w="909" w:type="dxa"/>
            <w:tcBorders>
              <w:top w:val="nil"/>
              <w:bottom w:val="nil"/>
            </w:tcBorders>
            <w:vAlign w:val="center"/>
            <w:hideMark/>
          </w:tcPr>
          <w:p w14:paraId="4F9063A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0.000</w:t>
            </w:r>
          </w:p>
        </w:tc>
        <w:tc>
          <w:tcPr>
            <w:tcW w:w="908" w:type="dxa"/>
            <w:tcBorders>
              <w:top w:val="nil"/>
              <w:bottom w:val="nil"/>
            </w:tcBorders>
            <w:vAlign w:val="center"/>
            <w:hideMark/>
          </w:tcPr>
          <w:p w14:paraId="714C19A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5.18</w:t>
            </w:r>
          </w:p>
        </w:tc>
        <w:tc>
          <w:tcPr>
            <w:tcW w:w="909" w:type="dxa"/>
            <w:tcBorders>
              <w:top w:val="nil"/>
              <w:bottom w:val="nil"/>
            </w:tcBorders>
            <w:vAlign w:val="center"/>
            <w:hideMark/>
          </w:tcPr>
          <w:p w14:paraId="0F8195B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0.961</w:t>
            </w:r>
          </w:p>
        </w:tc>
        <w:tc>
          <w:tcPr>
            <w:tcW w:w="908" w:type="dxa"/>
            <w:tcBorders>
              <w:top w:val="nil"/>
              <w:bottom w:val="nil"/>
            </w:tcBorders>
            <w:vAlign w:val="center"/>
            <w:hideMark/>
          </w:tcPr>
          <w:p w14:paraId="7958F97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-5.35</w:t>
            </w:r>
          </w:p>
        </w:tc>
        <w:tc>
          <w:tcPr>
            <w:tcW w:w="909" w:type="dxa"/>
            <w:tcBorders>
              <w:top w:val="nil"/>
              <w:bottom w:val="nil"/>
            </w:tcBorders>
            <w:vAlign w:val="center"/>
            <w:hideMark/>
          </w:tcPr>
          <w:p w14:paraId="6567840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-0.36</w:t>
            </w:r>
          </w:p>
        </w:tc>
        <w:tc>
          <w:tcPr>
            <w:tcW w:w="909" w:type="dxa"/>
            <w:tcBorders>
              <w:top w:val="nil"/>
              <w:bottom w:val="nil"/>
            </w:tcBorders>
            <w:vAlign w:val="center"/>
            <w:hideMark/>
          </w:tcPr>
          <w:p w14:paraId="4F41D28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0.81</w:t>
            </w:r>
          </w:p>
        </w:tc>
      </w:tr>
      <w:tr w:rsidR="00AB238E" w:rsidRPr="00705903" w14:paraId="0D1B540D"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hideMark/>
          </w:tcPr>
          <w:p w14:paraId="791253B1"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Recovery</w:t>
            </w:r>
          </w:p>
        </w:tc>
        <w:tc>
          <w:tcPr>
            <w:tcW w:w="1650" w:type="dxa"/>
            <w:tcBorders>
              <w:top w:val="nil"/>
              <w:bottom w:val="nil"/>
            </w:tcBorders>
            <w:vAlign w:val="center"/>
            <w:hideMark/>
          </w:tcPr>
          <w:p w14:paraId="4F21AF1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2020.08–2021.04</w:t>
            </w:r>
          </w:p>
        </w:tc>
        <w:tc>
          <w:tcPr>
            <w:tcW w:w="908" w:type="dxa"/>
            <w:tcBorders>
              <w:top w:val="nil"/>
              <w:bottom w:val="nil"/>
            </w:tcBorders>
            <w:vAlign w:val="center"/>
            <w:hideMark/>
          </w:tcPr>
          <w:p w14:paraId="5A465CD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0.595</w:t>
            </w:r>
          </w:p>
        </w:tc>
        <w:tc>
          <w:tcPr>
            <w:tcW w:w="909" w:type="dxa"/>
            <w:tcBorders>
              <w:top w:val="nil"/>
              <w:bottom w:val="nil"/>
            </w:tcBorders>
            <w:vAlign w:val="center"/>
            <w:hideMark/>
          </w:tcPr>
          <w:p w14:paraId="5863B3D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0.273</w:t>
            </w:r>
          </w:p>
        </w:tc>
        <w:tc>
          <w:tcPr>
            <w:tcW w:w="908" w:type="dxa"/>
            <w:tcBorders>
              <w:top w:val="nil"/>
              <w:bottom w:val="nil"/>
            </w:tcBorders>
            <w:vAlign w:val="center"/>
            <w:hideMark/>
          </w:tcPr>
          <w:p w14:paraId="03F7FB6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1.10</w:t>
            </w:r>
          </w:p>
        </w:tc>
        <w:tc>
          <w:tcPr>
            <w:tcW w:w="909" w:type="dxa"/>
            <w:tcBorders>
              <w:top w:val="nil"/>
              <w:bottom w:val="nil"/>
            </w:tcBorders>
            <w:vAlign w:val="center"/>
            <w:hideMark/>
          </w:tcPr>
          <w:p w14:paraId="5B7386C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0.753</w:t>
            </w:r>
          </w:p>
        </w:tc>
        <w:tc>
          <w:tcPr>
            <w:tcW w:w="908" w:type="dxa"/>
            <w:tcBorders>
              <w:top w:val="nil"/>
              <w:bottom w:val="nil"/>
            </w:tcBorders>
            <w:vAlign w:val="center"/>
            <w:hideMark/>
          </w:tcPr>
          <w:p w14:paraId="7A05CE7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14.69</w:t>
            </w:r>
          </w:p>
        </w:tc>
        <w:tc>
          <w:tcPr>
            <w:tcW w:w="909" w:type="dxa"/>
            <w:tcBorders>
              <w:top w:val="nil"/>
              <w:bottom w:val="nil"/>
            </w:tcBorders>
            <w:vAlign w:val="center"/>
            <w:hideMark/>
          </w:tcPr>
          <w:p w14:paraId="4BCE8D1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1.81</w:t>
            </w:r>
          </w:p>
        </w:tc>
        <w:tc>
          <w:tcPr>
            <w:tcW w:w="909" w:type="dxa"/>
            <w:tcBorders>
              <w:top w:val="nil"/>
              <w:bottom w:val="nil"/>
            </w:tcBorders>
            <w:vAlign w:val="center"/>
            <w:hideMark/>
          </w:tcPr>
          <w:p w14:paraId="4E07678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0.84</w:t>
            </w:r>
          </w:p>
        </w:tc>
      </w:tr>
      <w:tr w:rsidR="00AB238E" w:rsidRPr="00705903" w14:paraId="3F27DFF0" w14:textId="77777777" w:rsidTr="00A4523E">
        <w:tc>
          <w:tcPr>
            <w:cnfStyle w:val="001000000000" w:firstRow="0" w:lastRow="0" w:firstColumn="1" w:lastColumn="0" w:oddVBand="0" w:evenVBand="0" w:oddHBand="0" w:evenHBand="0" w:firstRowFirstColumn="0" w:firstRowLastColumn="0" w:lastRowFirstColumn="0" w:lastRowLastColumn="0"/>
            <w:tcW w:w="1350" w:type="dxa"/>
            <w:tcBorders>
              <w:top w:val="nil"/>
            </w:tcBorders>
            <w:hideMark/>
          </w:tcPr>
          <w:p w14:paraId="6C743E6D"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Post-Reopening</w:t>
            </w:r>
          </w:p>
        </w:tc>
        <w:tc>
          <w:tcPr>
            <w:tcW w:w="1650" w:type="dxa"/>
            <w:tcBorders>
              <w:top w:val="nil"/>
            </w:tcBorders>
            <w:vAlign w:val="center"/>
            <w:hideMark/>
          </w:tcPr>
          <w:p w14:paraId="428BD54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2021.05–2022.12</w:t>
            </w:r>
          </w:p>
        </w:tc>
        <w:tc>
          <w:tcPr>
            <w:tcW w:w="908" w:type="dxa"/>
            <w:tcBorders>
              <w:top w:val="nil"/>
            </w:tcBorders>
            <w:vAlign w:val="center"/>
            <w:hideMark/>
          </w:tcPr>
          <w:p w14:paraId="0982046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-1.001</w:t>
            </w:r>
          </w:p>
        </w:tc>
        <w:tc>
          <w:tcPr>
            <w:tcW w:w="909" w:type="dxa"/>
            <w:tcBorders>
              <w:top w:val="nil"/>
            </w:tcBorders>
            <w:vAlign w:val="center"/>
            <w:hideMark/>
          </w:tcPr>
          <w:p w14:paraId="5BEF7D5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0.179</w:t>
            </w:r>
          </w:p>
        </w:tc>
        <w:tc>
          <w:tcPr>
            <w:tcW w:w="908" w:type="dxa"/>
            <w:tcBorders>
              <w:top w:val="nil"/>
            </w:tcBorders>
            <w:vAlign w:val="center"/>
            <w:hideMark/>
          </w:tcPr>
          <w:p w14:paraId="0DA86CF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-1.35</w:t>
            </w:r>
          </w:p>
        </w:tc>
        <w:tc>
          <w:tcPr>
            <w:tcW w:w="909" w:type="dxa"/>
            <w:tcBorders>
              <w:top w:val="nil"/>
            </w:tcBorders>
            <w:vAlign w:val="center"/>
            <w:hideMark/>
          </w:tcPr>
          <w:p w14:paraId="11690AF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0.537</w:t>
            </w:r>
          </w:p>
        </w:tc>
        <w:tc>
          <w:tcPr>
            <w:tcW w:w="908" w:type="dxa"/>
            <w:tcBorders>
              <w:top w:val="nil"/>
            </w:tcBorders>
            <w:vAlign w:val="center"/>
            <w:hideMark/>
          </w:tcPr>
          <w:p w14:paraId="05D640E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-18.76</w:t>
            </w:r>
          </w:p>
        </w:tc>
        <w:tc>
          <w:tcPr>
            <w:tcW w:w="909" w:type="dxa"/>
            <w:tcBorders>
              <w:top w:val="nil"/>
            </w:tcBorders>
            <w:vAlign w:val="center"/>
            <w:hideMark/>
          </w:tcPr>
          <w:p w14:paraId="0785C1D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-1.31</w:t>
            </w:r>
          </w:p>
        </w:tc>
        <w:tc>
          <w:tcPr>
            <w:tcW w:w="909" w:type="dxa"/>
            <w:tcBorders>
              <w:top w:val="nil"/>
            </w:tcBorders>
            <w:vAlign w:val="center"/>
            <w:hideMark/>
          </w:tcPr>
          <w:p w14:paraId="3169B3E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0.90</w:t>
            </w:r>
          </w:p>
        </w:tc>
      </w:tr>
    </w:tbl>
    <w:p w14:paraId="77C6E269" w14:textId="77777777" w:rsidR="00AB238E" w:rsidRPr="00705903" w:rsidRDefault="00AB238E" w:rsidP="0097761F">
      <w:pPr>
        <w:spacing w:line="259" w:lineRule="auto"/>
        <w:ind w:firstLine="0"/>
        <w:jc w:val="both"/>
        <w:rPr>
          <w:sz w:val="20"/>
          <w:szCs w:val="20"/>
        </w:rPr>
      </w:pPr>
    </w:p>
    <w:p w14:paraId="34829C87" w14:textId="77777777" w:rsidR="00AB238E" w:rsidRPr="00705903" w:rsidRDefault="00AB238E" w:rsidP="0097761F">
      <w:pPr>
        <w:spacing w:line="259" w:lineRule="auto"/>
        <w:ind w:firstLine="0"/>
        <w:jc w:val="both"/>
        <w:rPr>
          <w:sz w:val="20"/>
          <w:szCs w:val="20"/>
        </w:rPr>
      </w:pPr>
    </w:p>
    <w:p w14:paraId="11BBBE6A" w14:textId="77777777" w:rsidR="00AB238E" w:rsidRPr="00705903" w:rsidRDefault="00AB238E" w:rsidP="0097761F">
      <w:pPr>
        <w:spacing w:line="259" w:lineRule="auto"/>
        <w:ind w:firstLine="0"/>
        <w:jc w:val="both"/>
        <w:rPr>
          <w:sz w:val="20"/>
          <w:szCs w:val="20"/>
        </w:rPr>
      </w:pPr>
      <w:r w:rsidRPr="00705903">
        <w:rPr>
          <w:sz w:val="20"/>
          <w:szCs w:val="20"/>
        </w:rPr>
        <w:t>Panel B. S (Social) Factor Regression Results</w:t>
      </w:r>
    </w:p>
    <w:tbl>
      <w:tblPr>
        <w:tblStyle w:val="PlainTable2"/>
        <w:tblW w:w="0" w:type="auto"/>
        <w:tblLayout w:type="fixed"/>
        <w:tblLook w:val="04A0" w:firstRow="1" w:lastRow="0" w:firstColumn="1" w:lastColumn="0" w:noHBand="0" w:noVBand="1"/>
      </w:tblPr>
      <w:tblGrid>
        <w:gridCol w:w="1350"/>
        <w:gridCol w:w="1679"/>
        <w:gridCol w:w="904"/>
        <w:gridCol w:w="904"/>
        <w:gridCol w:w="905"/>
        <w:gridCol w:w="904"/>
        <w:gridCol w:w="905"/>
        <w:gridCol w:w="904"/>
        <w:gridCol w:w="905"/>
      </w:tblGrid>
      <w:tr w:rsidR="00AB238E" w:rsidRPr="00705903" w14:paraId="7D33C1D7"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6A84940A" w14:textId="77777777" w:rsidR="00AB238E" w:rsidRPr="00705903" w:rsidRDefault="00AB238E" w:rsidP="0097761F">
            <w:pPr>
              <w:spacing w:line="259" w:lineRule="auto"/>
              <w:ind w:firstLine="0"/>
              <w:jc w:val="both"/>
              <w:rPr>
                <w:b w:val="0"/>
                <w:bCs w:val="0"/>
                <w:sz w:val="18"/>
                <w:szCs w:val="18"/>
                <w:lang w:val="en-US"/>
              </w:rPr>
            </w:pPr>
            <w:r w:rsidRPr="00705903">
              <w:rPr>
                <w:b w:val="0"/>
                <w:bCs w:val="0"/>
                <w:sz w:val="18"/>
                <w:szCs w:val="18"/>
                <w:lang w:val="en-US"/>
              </w:rPr>
              <w:t>Period</w:t>
            </w:r>
          </w:p>
        </w:tc>
        <w:tc>
          <w:tcPr>
            <w:tcW w:w="1679" w:type="dxa"/>
            <w:vAlign w:val="center"/>
            <w:hideMark/>
          </w:tcPr>
          <w:p w14:paraId="7B3031ED"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Timeline</w:t>
            </w:r>
          </w:p>
        </w:tc>
        <w:tc>
          <w:tcPr>
            <w:tcW w:w="904" w:type="dxa"/>
            <w:vAlign w:val="center"/>
            <w:hideMark/>
          </w:tcPr>
          <w:p w14:paraId="02F83954"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α</w:t>
            </w:r>
          </w:p>
        </w:tc>
        <w:tc>
          <w:tcPr>
            <w:tcW w:w="904" w:type="dxa"/>
            <w:vAlign w:val="center"/>
            <w:hideMark/>
          </w:tcPr>
          <w:p w14:paraId="07BBF21C"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p-value</w:t>
            </w:r>
          </w:p>
        </w:tc>
        <w:tc>
          <w:tcPr>
            <w:tcW w:w="905" w:type="dxa"/>
            <w:vAlign w:val="center"/>
            <w:hideMark/>
          </w:tcPr>
          <w:p w14:paraId="5043BE3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t-stat</w:t>
            </w:r>
          </w:p>
        </w:tc>
        <w:tc>
          <w:tcPr>
            <w:tcW w:w="904" w:type="dxa"/>
            <w:vAlign w:val="center"/>
            <w:hideMark/>
          </w:tcPr>
          <w:p w14:paraId="51E43A1A"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R²</w:t>
            </w:r>
          </w:p>
        </w:tc>
        <w:tc>
          <w:tcPr>
            <w:tcW w:w="905" w:type="dxa"/>
            <w:vAlign w:val="center"/>
            <w:hideMark/>
          </w:tcPr>
          <w:p w14:paraId="3B95DFF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Annual Return</w:t>
            </w:r>
          </w:p>
        </w:tc>
        <w:tc>
          <w:tcPr>
            <w:tcW w:w="904" w:type="dxa"/>
            <w:vAlign w:val="center"/>
            <w:hideMark/>
          </w:tcPr>
          <w:p w14:paraId="7FBE15D7"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Sharpe</w:t>
            </w:r>
          </w:p>
        </w:tc>
        <w:tc>
          <w:tcPr>
            <w:tcW w:w="905" w:type="dxa"/>
            <w:vAlign w:val="center"/>
            <w:hideMark/>
          </w:tcPr>
          <w:p w14:paraId="3A58D6C3"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Avg. Turnover</w:t>
            </w:r>
          </w:p>
        </w:tc>
      </w:tr>
      <w:tr w:rsidR="00AB238E" w:rsidRPr="00705903" w14:paraId="5D9234FC"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bottom w:val="nil"/>
            </w:tcBorders>
            <w:hideMark/>
          </w:tcPr>
          <w:p w14:paraId="45A04E7D"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Pre-COVID</w:t>
            </w:r>
          </w:p>
        </w:tc>
        <w:tc>
          <w:tcPr>
            <w:tcW w:w="1679" w:type="dxa"/>
            <w:tcBorders>
              <w:bottom w:val="nil"/>
            </w:tcBorders>
            <w:vAlign w:val="center"/>
            <w:hideMark/>
          </w:tcPr>
          <w:p w14:paraId="31EFF52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2017.01–2019.12</w:t>
            </w:r>
          </w:p>
        </w:tc>
        <w:tc>
          <w:tcPr>
            <w:tcW w:w="904" w:type="dxa"/>
            <w:tcBorders>
              <w:bottom w:val="nil"/>
            </w:tcBorders>
            <w:vAlign w:val="center"/>
            <w:hideMark/>
          </w:tcPr>
          <w:p w14:paraId="5D9C36D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-0.063</w:t>
            </w:r>
          </w:p>
        </w:tc>
        <w:tc>
          <w:tcPr>
            <w:tcW w:w="904" w:type="dxa"/>
            <w:tcBorders>
              <w:bottom w:val="nil"/>
            </w:tcBorders>
            <w:vAlign w:val="center"/>
            <w:hideMark/>
          </w:tcPr>
          <w:p w14:paraId="4CF11BB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0.835</w:t>
            </w:r>
          </w:p>
        </w:tc>
        <w:tc>
          <w:tcPr>
            <w:tcW w:w="905" w:type="dxa"/>
            <w:tcBorders>
              <w:bottom w:val="nil"/>
            </w:tcBorders>
            <w:vAlign w:val="center"/>
            <w:hideMark/>
          </w:tcPr>
          <w:p w14:paraId="58C02E9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-0.21</w:t>
            </w:r>
          </w:p>
        </w:tc>
        <w:tc>
          <w:tcPr>
            <w:tcW w:w="904" w:type="dxa"/>
            <w:tcBorders>
              <w:bottom w:val="nil"/>
            </w:tcBorders>
            <w:vAlign w:val="center"/>
            <w:hideMark/>
          </w:tcPr>
          <w:p w14:paraId="5FC92AA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0.660</w:t>
            </w:r>
          </w:p>
        </w:tc>
        <w:tc>
          <w:tcPr>
            <w:tcW w:w="905" w:type="dxa"/>
            <w:tcBorders>
              <w:bottom w:val="nil"/>
            </w:tcBorders>
            <w:vAlign w:val="center"/>
            <w:hideMark/>
          </w:tcPr>
          <w:p w14:paraId="43763EE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6.53</w:t>
            </w:r>
          </w:p>
        </w:tc>
        <w:tc>
          <w:tcPr>
            <w:tcW w:w="904" w:type="dxa"/>
            <w:tcBorders>
              <w:bottom w:val="nil"/>
            </w:tcBorders>
            <w:vAlign w:val="center"/>
            <w:hideMark/>
          </w:tcPr>
          <w:p w14:paraId="2A5815E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0.67</w:t>
            </w:r>
          </w:p>
        </w:tc>
        <w:tc>
          <w:tcPr>
            <w:tcW w:w="905" w:type="dxa"/>
            <w:tcBorders>
              <w:bottom w:val="nil"/>
            </w:tcBorders>
            <w:vAlign w:val="center"/>
            <w:hideMark/>
          </w:tcPr>
          <w:p w14:paraId="104C638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0.88</w:t>
            </w:r>
          </w:p>
        </w:tc>
      </w:tr>
      <w:tr w:rsidR="00AB238E" w:rsidRPr="00705903" w14:paraId="0B8FCDE7" w14:textId="77777777" w:rsidTr="00A4523E">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hideMark/>
          </w:tcPr>
          <w:p w14:paraId="4D07A1AE"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Outbreak</w:t>
            </w:r>
          </w:p>
        </w:tc>
        <w:tc>
          <w:tcPr>
            <w:tcW w:w="1679" w:type="dxa"/>
            <w:tcBorders>
              <w:top w:val="nil"/>
              <w:bottom w:val="nil"/>
            </w:tcBorders>
            <w:vAlign w:val="center"/>
            <w:hideMark/>
          </w:tcPr>
          <w:p w14:paraId="38D26CE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2020.01–2020.08</w:t>
            </w:r>
          </w:p>
        </w:tc>
        <w:tc>
          <w:tcPr>
            <w:tcW w:w="904" w:type="dxa"/>
            <w:tcBorders>
              <w:top w:val="nil"/>
              <w:bottom w:val="nil"/>
            </w:tcBorders>
            <w:vAlign w:val="center"/>
            <w:hideMark/>
          </w:tcPr>
          <w:p w14:paraId="7BA8817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0.985</w:t>
            </w:r>
          </w:p>
        </w:tc>
        <w:tc>
          <w:tcPr>
            <w:tcW w:w="904" w:type="dxa"/>
            <w:tcBorders>
              <w:top w:val="nil"/>
              <w:bottom w:val="nil"/>
            </w:tcBorders>
            <w:vAlign w:val="center"/>
            <w:hideMark/>
          </w:tcPr>
          <w:p w14:paraId="0A7C21E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0.027</w:t>
            </w:r>
          </w:p>
        </w:tc>
        <w:tc>
          <w:tcPr>
            <w:tcW w:w="905" w:type="dxa"/>
            <w:tcBorders>
              <w:top w:val="nil"/>
              <w:bottom w:val="nil"/>
            </w:tcBorders>
            <w:vAlign w:val="center"/>
            <w:hideMark/>
          </w:tcPr>
          <w:p w14:paraId="572E5DA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2.21</w:t>
            </w:r>
          </w:p>
        </w:tc>
        <w:tc>
          <w:tcPr>
            <w:tcW w:w="904" w:type="dxa"/>
            <w:tcBorders>
              <w:top w:val="nil"/>
              <w:bottom w:val="nil"/>
            </w:tcBorders>
            <w:vAlign w:val="center"/>
            <w:hideMark/>
          </w:tcPr>
          <w:p w14:paraId="28CAF63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0.935</w:t>
            </w:r>
          </w:p>
        </w:tc>
        <w:tc>
          <w:tcPr>
            <w:tcW w:w="905" w:type="dxa"/>
            <w:tcBorders>
              <w:top w:val="nil"/>
              <w:bottom w:val="nil"/>
            </w:tcBorders>
            <w:vAlign w:val="center"/>
            <w:hideMark/>
          </w:tcPr>
          <w:p w14:paraId="0D54076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-20.64</w:t>
            </w:r>
          </w:p>
        </w:tc>
        <w:tc>
          <w:tcPr>
            <w:tcW w:w="904" w:type="dxa"/>
            <w:tcBorders>
              <w:top w:val="nil"/>
              <w:bottom w:val="nil"/>
            </w:tcBorders>
            <w:vAlign w:val="center"/>
            <w:hideMark/>
          </w:tcPr>
          <w:p w14:paraId="6BABC99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-1.44</w:t>
            </w:r>
          </w:p>
        </w:tc>
        <w:tc>
          <w:tcPr>
            <w:tcW w:w="905" w:type="dxa"/>
            <w:tcBorders>
              <w:top w:val="nil"/>
              <w:bottom w:val="nil"/>
            </w:tcBorders>
            <w:vAlign w:val="center"/>
            <w:hideMark/>
          </w:tcPr>
          <w:p w14:paraId="386165E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0.82</w:t>
            </w:r>
          </w:p>
        </w:tc>
      </w:tr>
      <w:tr w:rsidR="00AB238E" w:rsidRPr="00705903" w14:paraId="2C4C5542"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hideMark/>
          </w:tcPr>
          <w:p w14:paraId="26DACF1E"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Recovery</w:t>
            </w:r>
          </w:p>
        </w:tc>
        <w:tc>
          <w:tcPr>
            <w:tcW w:w="1679" w:type="dxa"/>
            <w:tcBorders>
              <w:top w:val="nil"/>
              <w:bottom w:val="nil"/>
            </w:tcBorders>
            <w:vAlign w:val="center"/>
            <w:hideMark/>
          </w:tcPr>
          <w:p w14:paraId="33486E3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2020.08–2021.04</w:t>
            </w:r>
          </w:p>
        </w:tc>
        <w:tc>
          <w:tcPr>
            <w:tcW w:w="904" w:type="dxa"/>
            <w:tcBorders>
              <w:top w:val="nil"/>
              <w:bottom w:val="nil"/>
            </w:tcBorders>
            <w:vAlign w:val="center"/>
            <w:hideMark/>
          </w:tcPr>
          <w:p w14:paraId="7CB9164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-2.213</w:t>
            </w:r>
          </w:p>
        </w:tc>
        <w:tc>
          <w:tcPr>
            <w:tcW w:w="904" w:type="dxa"/>
            <w:tcBorders>
              <w:top w:val="nil"/>
              <w:bottom w:val="nil"/>
            </w:tcBorders>
            <w:vAlign w:val="center"/>
            <w:hideMark/>
          </w:tcPr>
          <w:p w14:paraId="6398D45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0.0003</w:t>
            </w:r>
          </w:p>
        </w:tc>
        <w:tc>
          <w:tcPr>
            <w:tcW w:w="905" w:type="dxa"/>
            <w:tcBorders>
              <w:top w:val="nil"/>
              <w:bottom w:val="nil"/>
            </w:tcBorders>
            <w:vAlign w:val="center"/>
            <w:hideMark/>
          </w:tcPr>
          <w:p w14:paraId="79172E7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-3.65</w:t>
            </w:r>
          </w:p>
        </w:tc>
        <w:tc>
          <w:tcPr>
            <w:tcW w:w="904" w:type="dxa"/>
            <w:tcBorders>
              <w:top w:val="nil"/>
              <w:bottom w:val="nil"/>
            </w:tcBorders>
            <w:vAlign w:val="center"/>
            <w:hideMark/>
          </w:tcPr>
          <w:p w14:paraId="095ED77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0.697</w:t>
            </w:r>
          </w:p>
        </w:tc>
        <w:tc>
          <w:tcPr>
            <w:tcW w:w="905" w:type="dxa"/>
            <w:tcBorders>
              <w:top w:val="nil"/>
              <w:bottom w:val="nil"/>
            </w:tcBorders>
            <w:vAlign w:val="center"/>
            <w:hideMark/>
          </w:tcPr>
          <w:p w14:paraId="167D8FE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4.37</w:t>
            </w:r>
          </w:p>
        </w:tc>
        <w:tc>
          <w:tcPr>
            <w:tcW w:w="904" w:type="dxa"/>
            <w:tcBorders>
              <w:top w:val="nil"/>
              <w:bottom w:val="nil"/>
            </w:tcBorders>
            <w:vAlign w:val="center"/>
            <w:hideMark/>
          </w:tcPr>
          <w:p w14:paraId="6A0590C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0.45</w:t>
            </w:r>
          </w:p>
        </w:tc>
        <w:tc>
          <w:tcPr>
            <w:tcW w:w="905" w:type="dxa"/>
            <w:tcBorders>
              <w:top w:val="nil"/>
              <w:bottom w:val="nil"/>
            </w:tcBorders>
            <w:vAlign w:val="center"/>
            <w:hideMark/>
          </w:tcPr>
          <w:p w14:paraId="72907E5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0.87</w:t>
            </w:r>
          </w:p>
        </w:tc>
      </w:tr>
      <w:tr w:rsidR="00AB238E" w:rsidRPr="00705903" w14:paraId="121F3BAE" w14:textId="77777777" w:rsidTr="00A4523E">
        <w:tc>
          <w:tcPr>
            <w:cnfStyle w:val="001000000000" w:firstRow="0" w:lastRow="0" w:firstColumn="1" w:lastColumn="0" w:oddVBand="0" w:evenVBand="0" w:oddHBand="0" w:evenHBand="0" w:firstRowFirstColumn="0" w:firstRowLastColumn="0" w:lastRowFirstColumn="0" w:lastRowLastColumn="0"/>
            <w:tcW w:w="1350" w:type="dxa"/>
            <w:tcBorders>
              <w:top w:val="nil"/>
            </w:tcBorders>
            <w:hideMark/>
          </w:tcPr>
          <w:p w14:paraId="076F838C" w14:textId="77777777" w:rsidR="00AB238E" w:rsidRPr="00705903" w:rsidRDefault="00AB238E" w:rsidP="0097761F">
            <w:pPr>
              <w:spacing w:line="259" w:lineRule="auto"/>
              <w:ind w:firstLine="0"/>
              <w:jc w:val="both"/>
              <w:rPr>
                <w:b w:val="0"/>
                <w:bCs w:val="0"/>
                <w:i/>
                <w:iCs/>
                <w:sz w:val="18"/>
                <w:szCs w:val="18"/>
                <w:lang w:val="en-US"/>
              </w:rPr>
            </w:pPr>
            <w:r w:rsidRPr="00705903">
              <w:rPr>
                <w:b w:val="0"/>
                <w:bCs w:val="0"/>
                <w:i/>
                <w:iCs/>
                <w:sz w:val="18"/>
                <w:szCs w:val="18"/>
                <w:lang w:val="en-US"/>
              </w:rPr>
              <w:t>Post-Reopening</w:t>
            </w:r>
          </w:p>
        </w:tc>
        <w:tc>
          <w:tcPr>
            <w:tcW w:w="1679" w:type="dxa"/>
            <w:tcBorders>
              <w:top w:val="nil"/>
            </w:tcBorders>
            <w:vAlign w:val="center"/>
            <w:hideMark/>
          </w:tcPr>
          <w:p w14:paraId="5C1638A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2021.05–2022.12</w:t>
            </w:r>
          </w:p>
        </w:tc>
        <w:tc>
          <w:tcPr>
            <w:tcW w:w="904" w:type="dxa"/>
            <w:tcBorders>
              <w:top w:val="nil"/>
            </w:tcBorders>
            <w:vAlign w:val="center"/>
            <w:hideMark/>
          </w:tcPr>
          <w:p w14:paraId="5B88FBC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-1.102</w:t>
            </w:r>
          </w:p>
        </w:tc>
        <w:tc>
          <w:tcPr>
            <w:tcW w:w="904" w:type="dxa"/>
            <w:tcBorders>
              <w:top w:val="nil"/>
            </w:tcBorders>
            <w:vAlign w:val="center"/>
            <w:hideMark/>
          </w:tcPr>
          <w:p w14:paraId="312F93E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0.087</w:t>
            </w:r>
          </w:p>
        </w:tc>
        <w:tc>
          <w:tcPr>
            <w:tcW w:w="905" w:type="dxa"/>
            <w:tcBorders>
              <w:top w:val="nil"/>
            </w:tcBorders>
            <w:vAlign w:val="center"/>
            <w:hideMark/>
          </w:tcPr>
          <w:p w14:paraId="0948D40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-1.71</w:t>
            </w:r>
          </w:p>
        </w:tc>
        <w:tc>
          <w:tcPr>
            <w:tcW w:w="904" w:type="dxa"/>
            <w:tcBorders>
              <w:top w:val="nil"/>
            </w:tcBorders>
            <w:vAlign w:val="center"/>
            <w:hideMark/>
          </w:tcPr>
          <w:p w14:paraId="49FA568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0.621</w:t>
            </w:r>
          </w:p>
        </w:tc>
        <w:tc>
          <w:tcPr>
            <w:tcW w:w="905" w:type="dxa"/>
            <w:tcBorders>
              <w:top w:val="nil"/>
            </w:tcBorders>
            <w:vAlign w:val="center"/>
            <w:hideMark/>
          </w:tcPr>
          <w:p w14:paraId="23D7226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-19.01</w:t>
            </w:r>
          </w:p>
        </w:tc>
        <w:tc>
          <w:tcPr>
            <w:tcW w:w="904" w:type="dxa"/>
            <w:tcBorders>
              <w:top w:val="nil"/>
            </w:tcBorders>
            <w:vAlign w:val="center"/>
            <w:hideMark/>
          </w:tcPr>
          <w:p w14:paraId="0F50D38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-1.09</w:t>
            </w:r>
          </w:p>
        </w:tc>
        <w:tc>
          <w:tcPr>
            <w:tcW w:w="905" w:type="dxa"/>
            <w:tcBorders>
              <w:top w:val="nil"/>
            </w:tcBorders>
            <w:vAlign w:val="center"/>
            <w:hideMark/>
          </w:tcPr>
          <w:p w14:paraId="2AD03F7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0.99</w:t>
            </w:r>
          </w:p>
        </w:tc>
      </w:tr>
    </w:tbl>
    <w:p w14:paraId="53414353" w14:textId="77777777" w:rsidR="00AB238E" w:rsidRPr="00705903" w:rsidRDefault="00AB238E" w:rsidP="0097761F">
      <w:pPr>
        <w:spacing w:line="259" w:lineRule="auto"/>
        <w:ind w:firstLine="0"/>
        <w:jc w:val="both"/>
        <w:rPr>
          <w:sz w:val="20"/>
          <w:szCs w:val="20"/>
        </w:rPr>
      </w:pPr>
    </w:p>
    <w:p w14:paraId="09C09B13" w14:textId="77777777" w:rsidR="00AB238E" w:rsidRPr="00705903" w:rsidRDefault="00AB238E" w:rsidP="0097761F">
      <w:pPr>
        <w:spacing w:line="259" w:lineRule="auto"/>
        <w:ind w:firstLine="0"/>
        <w:jc w:val="both"/>
        <w:rPr>
          <w:sz w:val="20"/>
          <w:szCs w:val="20"/>
        </w:rPr>
      </w:pPr>
      <w:r w:rsidRPr="00705903">
        <w:rPr>
          <w:sz w:val="20"/>
          <w:szCs w:val="20"/>
        </w:rPr>
        <w:t>Panel C. G (Governance) Factor Regression Results</w:t>
      </w:r>
    </w:p>
    <w:tbl>
      <w:tblPr>
        <w:tblStyle w:val="PlainTable2"/>
        <w:tblW w:w="0" w:type="auto"/>
        <w:tblLayout w:type="fixed"/>
        <w:tblLook w:val="04A0" w:firstRow="1" w:lastRow="0" w:firstColumn="1" w:lastColumn="0" w:noHBand="0" w:noVBand="1"/>
      </w:tblPr>
      <w:tblGrid>
        <w:gridCol w:w="1350"/>
        <w:gridCol w:w="1683"/>
        <w:gridCol w:w="903"/>
        <w:gridCol w:w="904"/>
        <w:gridCol w:w="904"/>
        <w:gridCol w:w="904"/>
        <w:gridCol w:w="904"/>
        <w:gridCol w:w="904"/>
        <w:gridCol w:w="904"/>
      </w:tblGrid>
      <w:tr w:rsidR="00AB238E" w:rsidRPr="00705903" w14:paraId="4F5B1D1A"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3D09EC2A" w14:textId="77777777" w:rsidR="00AB238E" w:rsidRPr="00705903" w:rsidRDefault="00AB238E" w:rsidP="0097761F">
            <w:pPr>
              <w:spacing w:line="259" w:lineRule="auto"/>
              <w:ind w:firstLine="0"/>
              <w:jc w:val="both"/>
              <w:rPr>
                <w:b w:val="0"/>
                <w:bCs w:val="0"/>
                <w:sz w:val="18"/>
                <w:szCs w:val="18"/>
                <w:lang w:val="en-US"/>
              </w:rPr>
            </w:pPr>
            <w:r w:rsidRPr="00705903">
              <w:rPr>
                <w:b w:val="0"/>
                <w:bCs w:val="0"/>
                <w:sz w:val="18"/>
                <w:szCs w:val="18"/>
                <w:lang w:val="en-US"/>
              </w:rPr>
              <w:t>Period</w:t>
            </w:r>
          </w:p>
        </w:tc>
        <w:tc>
          <w:tcPr>
            <w:tcW w:w="1683" w:type="dxa"/>
            <w:vAlign w:val="center"/>
            <w:hideMark/>
          </w:tcPr>
          <w:p w14:paraId="40B5CCF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705903">
              <w:rPr>
                <w:b w:val="0"/>
                <w:bCs w:val="0"/>
                <w:sz w:val="18"/>
                <w:szCs w:val="18"/>
                <w:lang w:val="en-US"/>
              </w:rPr>
              <w:t>Timeline</w:t>
            </w:r>
          </w:p>
        </w:tc>
        <w:tc>
          <w:tcPr>
            <w:tcW w:w="903" w:type="dxa"/>
            <w:vAlign w:val="center"/>
            <w:hideMark/>
          </w:tcPr>
          <w:p w14:paraId="1984108C"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705903">
              <w:rPr>
                <w:b w:val="0"/>
                <w:bCs w:val="0"/>
                <w:sz w:val="18"/>
                <w:szCs w:val="18"/>
                <w:lang w:val="en-US"/>
              </w:rPr>
              <w:t>α</w:t>
            </w:r>
          </w:p>
        </w:tc>
        <w:tc>
          <w:tcPr>
            <w:tcW w:w="904" w:type="dxa"/>
            <w:vAlign w:val="center"/>
            <w:hideMark/>
          </w:tcPr>
          <w:p w14:paraId="7A7B79E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705903">
              <w:rPr>
                <w:b w:val="0"/>
                <w:bCs w:val="0"/>
                <w:sz w:val="18"/>
                <w:szCs w:val="18"/>
                <w:lang w:val="en-US"/>
              </w:rPr>
              <w:t>p-value</w:t>
            </w:r>
          </w:p>
        </w:tc>
        <w:tc>
          <w:tcPr>
            <w:tcW w:w="904" w:type="dxa"/>
            <w:vAlign w:val="center"/>
            <w:hideMark/>
          </w:tcPr>
          <w:p w14:paraId="6E00E28B"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705903">
              <w:rPr>
                <w:b w:val="0"/>
                <w:bCs w:val="0"/>
                <w:sz w:val="18"/>
                <w:szCs w:val="18"/>
                <w:lang w:val="en-US"/>
              </w:rPr>
              <w:t>t-stat</w:t>
            </w:r>
          </w:p>
        </w:tc>
        <w:tc>
          <w:tcPr>
            <w:tcW w:w="904" w:type="dxa"/>
            <w:vAlign w:val="center"/>
            <w:hideMark/>
          </w:tcPr>
          <w:p w14:paraId="32FFD4ED"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705903">
              <w:rPr>
                <w:b w:val="0"/>
                <w:bCs w:val="0"/>
                <w:sz w:val="18"/>
                <w:szCs w:val="18"/>
                <w:lang w:val="en-US"/>
              </w:rPr>
              <w:t>R²</w:t>
            </w:r>
          </w:p>
        </w:tc>
        <w:tc>
          <w:tcPr>
            <w:tcW w:w="904" w:type="dxa"/>
            <w:vAlign w:val="center"/>
            <w:hideMark/>
          </w:tcPr>
          <w:p w14:paraId="1B984744"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705903">
              <w:rPr>
                <w:b w:val="0"/>
                <w:bCs w:val="0"/>
                <w:sz w:val="18"/>
                <w:szCs w:val="18"/>
                <w:lang w:val="en-US"/>
              </w:rPr>
              <w:t>Annual Return</w:t>
            </w:r>
          </w:p>
        </w:tc>
        <w:tc>
          <w:tcPr>
            <w:tcW w:w="904" w:type="dxa"/>
            <w:vAlign w:val="center"/>
            <w:hideMark/>
          </w:tcPr>
          <w:p w14:paraId="3BF2B3E6"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705903">
              <w:rPr>
                <w:b w:val="0"/>
                <w:bCs w:val="0"/>
                <w:sz w:val="18"/>
                <w:szCs w:val="18"/>
                <w:lang w:val="en-US"/>
              </w:rPr>
              <w:t>Sharpe</w:t>
            </w:r>
          </w:p>
        </w:tc>
        <w:tc>
          <w:tcPr>
            <w:tcW w:w="904" w:type="dxa"/>
            <w:vAlign w:val="center"/>
            <w:hideMark/>
          </w:tcPr>
          <w:p w14:paraId="68EC613C"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705903">
              <w:rPr>
                <w:b w:val="0"/>
                <w:bCs w:val="0"/>
                <w:sz w:val="18"/>
                <w:szCs w:val="18"/>
                <w:lang w:val="en-US"/>
              </w:rPr>
              <w:t>Avg. Turnover</w:t>
            </w:r>
          </w:p>
        </w:tc>
      </w:tr>
      <w:tr w:rsidR="00AB238E" w:rsidRPr="00705903" w14:paraId="07271E50"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bottom w:val="nil"/>
            </w:tcBorders>
            <w:hideMark/>
          </w:tcPr>
          <w:p w14:paraId="75785445" w14:textId="77777777" w:rsidR="00AB238E" w:rsidRPr="00705903" w:rsidRDefault="00AB238E" w:rsidP="0097761F">
            <w:pPr>
              <w:spacing w:line="259" w:lineRule="auto"/>
              <w:ind w:firstLine="0"/>
              <w:jc w:val="both"/>
              <w:rPr>
                <w:b w:val="0"/>
                <w:bCs w:val="0"/>
                <w:sz w:val="18"/>
                <w:szCs w:val="18"/>
                <w:lang w:val="en-US"/>
              </w:rPr>
            </w:pPr>
            <w:r w:rsidRPr="00705903">
              <w:rPr>
                <w:b w:val="0"/>
                <w:bCs w:val="0"/>
                <w:sz w:val="18"/>
                <w:szCs w:val="18"/>
                <w:lang w:val="en-US"/>
              </w:rPr>
              <w:t>Pre-COVID</w:t>
            </w:r>
          </w:p>
        </w:tc>
        <w:tc>
          <w:tcPr>
            <w:tcW w:w="1683" w:type="dxa"/>
            <w:tcBorders>
              <w:bottom w:val="nil"/>
            </w:tcBorders>
            <w:vAlign w:val="center"/>
            <w:hideMark/>
          </w:tcPr>
          <w:p w14:paraId="2445D58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2017.01–2019.12</w:t>
            </w:r>
          </w:p>
        </w:tc>
        <w:tc>
          <w:tcPr>
            <w:tcW w:w="903" w:type="dxa"/>
            <w:tcBorders>
              <w:bottom w:val="nil"/>
            </w:tcBorders>
            <w:vAlign w:val="center"/>
            <w:hideMark/>
          </w:tcPr>
          <w:p w14:paraId="261C61D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-0.181</w:t>
            </w:r>
          </w:p>
        </w:tc>
        <w:tc>
          <w:tcPr>
            <w:tcW w:w="904" w:type="dxa"/>
            <w:tcBorders>
              <w:bottom w:val="nil"/>
            </w:tcBorders>
            <w:vAlign w:val="center"/>
            <w:hideMark/>
          </w:tcPr>
          <w:p w14:paraId="29E28D3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0.647</w:t>
            </w:r>
          </w:p>
        </w:tc>
        <w:tc>
          <w:tcPr>
            <w:tcW w:w="904" w:type="dxa"/>
            <w:tcBorders>
              <w:bottom w:val="nil"/>
            </w:tcBorders>
            <w:vAlign w:val="center"/>
            <w:hideMark/>
          </w:tcPr>
          <w:p w14:paraId="7350201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-0.46</w:t>
            </w:r>
          </w:p>
        </w:tc>
        <w:tc>
          <w:tcPr>
            <w:tcW w:w="904" w:type="dxa"/>
            <w:tcBorders>
              <w:bottom w:val="nil"/>
            </w:tcBorders>
            <w:vAlign w:val="center"/>
            <w:hideMark/>
          </w:tcPr>
          <w:p w14:paraId="63ECEE0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0.745</w:t>
            </w:r>
          </w:p>
        </w:tc>
        <w:tc>
          <w:tcPr>
            <w:tcW w:w="904" w:type="dxa"/>
            <w:tcBorders>
              <w:bottom w:val="nil"/>
            </w:tcBorders>
            <w:vAlign w:val="center"/>
            <w:hideMark/>
          </w:tcPr>
          <w:p w14:paraId="13742ED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4.68</w:t>
            </w:r>
          </w:p>
        </w:tc>
        <w:tc>
          <w:tcPr>
            <w:tcW w:w="904" w:type="dxa"/>
            <w:tcBorders>
              <w:bottom w:val="nil"/>
            </w:tcBorders>
            <w:vAlign w:val="center"/>
            <w:hideMark/>
          </w:tcPr>
          <w:p w14:paraId="6B353BE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0.44</w:t>
            </w:r>
          </w:p>
        </w:tc>
        <w:tc>
          <w:tcPr>
            <w:tcW w:w="904" w:type="dxa"/>
            <w:tcBorders>
              <w:bottom w:val="nil"/>
            </w:tcBorders>
            <w:vAlign w:val="center"/>
            <w:hideMark/>
          </w:tcPr>
          <w:p w14:paraId="7447F24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1.00</w:t>
            </w:r>
          </w:p>
        </w:tc>
      </w:tr>
      <w:tr w:rsidR="00AB238E" w:rsidRPr="00705903" w14:paraId="1B36A167" w14:textId="77777777" w:rsidTr="00A4523E">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hideMark/>
          </w:tcPr>
          <w:p w14:paraId="02C2884E" w14:textId="77777777" w:rsidR="00AB238E" w:rsidRPr="00705903" w:rsidRDefault="00AB238E" w:rsidP="0097761F">
            <w:pPr>
              <w:spacing w:line="259" w:lineRule="auto"/>
              <w:ind w:firstLine="0"/>
              <w:jc w:val="both"/>
              <w:rPr>
                <w:b w:val="0"/>
                <w:bCs w:val="0"/>
                <w:sz w:val="18"/>
                <w:szCs w:val="18"/>
                <w:lang w:val="en-US"/>
              </w:rPr>
            </w:pPr>
            <w:r w:rsidRPr="00705903">
              <w:rPr>
                <w:b w:val="0"/>
                <w:bCs w:val="0"/>
                <w:sz w:val="18"/>
                <w:szCs w:val="18"/>
                <w:lang w:val="en-US"/>
              </w:rPr>
              <w:t>Outbreak</w:t>
            </w:r>
          </w:p>
        </w:tc>
        <w:tc>
          <w:tcPr>
            <w:tcW w:w="1683" w:type="dxa"/>
            <w:tcBorders>
              <w:top w:val="nil"/>
              <w:bottom w:val="nil"/>
            </w:tcBorders>
            <w:vAlign w:val="center"/>
            <w:hideMark/>
          </w:tcPr>
          <w:p w14:paraId="7BF3D66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2020.01–2020.08</w:t>
            </w:r>
          </w:p>
        </w:tc>
        <w:tc>
          <w:tcPr>
            <w:tcW w:w="903" w:type="dxa"/>
            <w:tcBorders>
              <w:top w:val="nil"/>
              <w:bottom w:val="nil"/>
            </w:tcBorders>
            <w:vAlign w:val="center"/>
            <w:hideMark/>
          </w:tcPr>
          <w:p w14:paraId="54740A0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-2.237</w:t>
            </w:r>
          </w:p>
        </w:tc>
        <w:tc>
          <w:tcPr>
            <w:tcW w:w="904" w:type="dxa"/>
            <w:tcBorders>
              <w:top w:val="nil"/>
              <w:bottom w:val="nil"/>
            </w:tcBorders>
            <w:vAlign w:val="center"/>
            <w:hideMark/>
          </w:tcPr>
          <w:p w14:paraId="02B08CC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0.000</w:t>
            </w:r>
          </w:p>
        </w:tc>
        <w:tc>
          <w:tcPr>
            <w:tcW w:w="904" w:type="dxa"/>
            <w:tcBorders>
              <w:top w:val="nil"/>
              <w:bottom w:val="nil"/>
            </w:tcBorders>
            <w:vAlign w:val="center"/>
            <w:hideMark/>
          </w:tcPr>
          <w:p w14:paraId="4A155B8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-8.57</w:t>
            </w:r>
          </w:p>
        </w:tc>
        <w:tc>
          <w:tcPr>
            <w:tcW w:w="904" w:type="dxa"/>
            <w:tcBorders>
              <w:top w:val="nil"/>
              <w:bottom w:val="nil"/>
            </w:tcBorders>
            <w:vAlign w:val="center"/>
            <w:hideMark/>
          </w:tcPr>
          <w:p w14:paraId="3065FEF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0.973</w:t>
            </w:r>
          </w:p>
        </w:tc>
        <w:tc>
          <w:tcPr>
            <w:tcW w:w="904" w:type="dxa"/>
            <w:tcBorders>
              <w:top w:val="nil"/>
              <w:bottom w:val="nil"/>
            </w:tcBorders>
            <w:vAlign w:val="center"/>
            <w:hideMark/>
          </w:tcPr>
          <w:p w14:paraId="53F383A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-28.76</w:t>
            </w:r>
          </w:p>
        </w:tc>
        <w:tc>
          <w:tcPr>
            <w:tcW w:w="904" w:type="dxa"/>
            <w:tcBorders>
              <w:top w:val="nil"/>
              <w:bottom w:val="nil"/>
            </w:tcBorders>
            <w:vAlign w:val="center"/>
            <w:hideMark/>
          </w:tcPr>
          <w:p w14:paraId="400D83E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-2.31</w:t>
            </w:r>
          </w:p>
        </w:tc>
        <w:tc>
          <w:tcPr>
            <w:tcW w:w="904" w:type="dxa"/>
            <w:tcBorders>
              <w:top w:val="nil"/>
              <w:bottom w:val="nil"/>
            </w:tcBorders>
            <w:vAlign w:val="center"/>
            <w:hideMark/>
          </w:tcPr>
          <w:p w14:paraId="618A8C5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0.85</w:t>
            </w:r>
          </w:p>
        </w:tc>
      </w:tr>
      <w:tr w:rsidR="00AB238E" w:rsidRPr="00705903" w14:paraId="3E73AB90"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hideMark/>
          </w:tcPr>
          <w:p w14:paraId="19DA9DF3" w14:textId="77777777" w:rsidR="00AB238E" w:rsidRPr="00705903" w:rsidRDefault="00AB238E" w:rsidP="0097761F">
            <w:pPr>
              <w:spacing w:line="259" w:lineRule="auto"/>
              <w:ind w:firstLine="0"/>
              <w:jc w:val="both"/>
              <w:rPr>
                <w:b w:val="0"/>
                <w:bCs w:val="0"/>
                <w:sz w:val="18"/>
                <w:szCs w:val="18"/>
                <w:lang w:val="en-US"/>
              </w:rPr>
            </w:pPr>
            <w:r w:rsidRPr="00705903">
              <w:rPr>
                <w:b w:val="0"/>
                <w:bCs w:val="0"/>
                <w:sz w:val="18"/>
                <w:szCs w:val="18"/>
                <w:lang w:val="en-US"/>
              </w:rPr>
              <w:t>Recovery</w:t>
            </w:r>
          </w:p>
        </w:tc>
        <w:tc>
          <w:tcPr>
            <w:tcW w:w="1683" w:type="dxa"/>
            <w:tcBorders>
              <w:top w:val="nil"/>
              <w:bottom w:val="nil"/>
            </w:tcBorders>
            <w:vAlign w:val="center"/>
            <w:hideMark/>
          </w:tcPr>
          <w:p w14:paraId="72EA293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2020.08–2021.04</w:t>
            </w:r>
          </w:p>
        </w:tc>
        <w:tc>
          <w:tcPr>
            <w:tcW w:w="903" w:type="dxa"/>
            <w:tcBorders>
              <w:top w:val="nil"/>
              <w:bottom w:val="nil"/>
            </w:tcBorders>
            <w:vAlign w:val="center"/>
            <w:hideMark/>
          </w:tcPr>
          <w:p w14:paraId="1C3C678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-1.856</w:t>
            </w:r>
          </w:p>
        </w:tc>
        <w:tc>
          <w:tcPr>
            <w:tcW w:w="904" w:type="dxa"/>
            <w:tcBorders>
              <w:top w:val="nil"/>
              <w:bottom w:val="nil"/>
            </w:tcBorders>
            <w:vAlign w:val="center"/>
            <w:hideMark/>
          </w:tcPr>
          <w:p w14:paraId="545C1DE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0.000</w:t>
            </w:r>
          </w:p>
        </w:tc>
        <w:tc>
          <w:tcPr>
            <w:tcW w:w="904" w:type="dxa"/>
            <w:tcBorders>
              <w:top w:val="nil"/>
              <w:bottom w:val="nil"/>
            </w:tcBorders>
            <w:vAlign w:val="center"/>
            <w:hideMark/>
          </w:tcPr>
          <w:p w14:paraId="6CF2FBE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-4.94</w:t>
            </w:r>
          </w:p>
        </w:tc>
        <w:tc>
          <w:tcPr>
            <w:tcW w:w="904" w:type="dxa"/>
            <w:tcBorders>
              <w:top w:val="nil"/>
              <w:bottom w:val="nil"/>
            </w:tcBorders>
            <w:vAlign w:val="center"/>
            <w:hideMark/>
          </w:tcPr>
          <w:p w14:paraId="40B7C65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0.780</w:t>
            </w:r>
          </w:p>
        </w:tc>
        <w:tc>
          <w:tcPr>
            <w:tcW w:w="904" w:type="dxa"/>
            <w:tcBorders>
              <w:top w:val="nil"/>
              <w:bottom w:val="nil"/>
            </w:tcBorders>
            <w:vAlign w:val="center"/>
            <w:hideMark/>
          </w:tcPr>
          <w:p w14:paraId="654081D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-0.90</w:t>
            </w:r>
          </w:p>
        </w:tc>
        <w:tc>
          <w:tcPr>
            <w:tcW w:w="904" w:type="dxa"/>
            <w:tcBorders>
              <w:top w:val="nil"/>
              <w:bottom w:val="nil"/>
            </w:tcBorders>
            <w:vAlign w:val="center"/>
            <w:hideMark/>
          </w:tcPr>
          <w:p w14:paraId="76C31D6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-0.12</w:t>
            </w:r>
          </w:p>
        </w:tc>
        <w:tc>
          <w:tcPr>
            <w:tcW w:w="904" w:type="dxa"/>
            <w:tcBorders>
              <w:top w:val="nil"/>
              <w:bottom w:val="nil"/>
            </w:tcBorders>
            <w:vAlign w:val="center"/>
            <w:hideMark/>
          </w:tcPr>
          <w:p w14:paraId="364CE18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0.90</w:t>
            </w:r>
          </w:p>
        </w:tc>
      </w:tr>
      <w:tr w:rsidR="00AB238E" w:rsidRPr="00705903" w14:paraId="5928E354" w14:textId="77777777" w:rsidTr="00A4523E">
        <w:tc>
          <w:tcPr>
            <w:cnfStyle w:val="001000000000" w:firstRow="0" w:lastRow="0" w:firstColumn="1" w:lastColumn="0" w:oddVBand="0" w:evenVBand="0" w:oddHBand="0" w:evenHBand="0" w:firstRowFirstColumn="0" w:firstRowLastColumn="0" w:lastRowFirstColumn="0" w:lastRowLastColumn="0"/>
            <w:tcW w:w="1350" w:type="dxa"/>
            <w:tcBorders>
              <w:top w:val="nil"/>
            </w:tcBorders>
            <w:hideMark/>
          </w:tcPr>
          <w:p w14:paraId="768998C3" w14:textId="77777777" w:rsidR="00AB238E" w:rsidRPr="00705903" w:rsidRDefault="00AB238E" w:rsidP="0097761F">
            <w:pPr>
              <w:spacing w:line="259" w:lineRule="auto"/>
              <w:ind w:firstLine="0"/>
              <w:jc w:val="both"/>
              <w:rPr>
                <w:b w:val="0"/>
                <w:bCs w:val="0"/>
                <w:sz w:val="18"/>
                <w:szCs w:val="18"/>
                <w:lang w:val="en-US"/>
              </w:rPr>
            </w:pPr>
            <w:r w:rsidRPr="00705903">
              <w:rPr>
                <w:b w:val="0"/>
                <w:bCs w:val="0"/>
                <w:sz w:val="18"/>
                <w:szCs w:val="18"/>
                <w:lang w:val="en-US"/>
              </w:rPr>
              <w:t>Post-Reopening</w:t>
            </w:r>
          </w:p>
        </w:tc>
        <w:tc>
          <w:tcPr>
            <w:tcW w:w="1683" w:type="dxa"/>
            <w:tcBorders>
              <w:top w:val="nil"/>
            </w:tcBorders>
            <w:vAlign w:val="center"/>
            <w:hideMark/>
          </w:tcPr>
          <w:p w14:paraId="17B66EC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2021.05–2022.12</w:t>
            </w:r>
          </w:p>
        </w:tc>
        <w:tc>
          <w:tcPr>
            <w:tcW w:w="903" w:type="dxa"/>
            <w:tcBorders>
              <w:top w:val="nil"/>
            </w:tcBorders>
            <w:vAlign w:val="center"/>
            <w:hideMark/>
          </w:tcPr>
          <w:p w14:paraId="4CC5489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-1.243</w:t>
            </w:r>
          </w:p>
        </w:tc>
        <w:tc>
          <w:tcPr>
            <w:tcW w:w="904" w:type="dxa"/>
            <w:tcBorders>
              <w:top w:val="nil"/>
            </w:tcBorders>
            <w:vAlign w:val="center"/>
            <w:hideMark/>
          </w:tcPr>
          <w:p w14:paraId="477FE4A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0.072</w:t>
            </w:r>
          </w:p>
        </w:tc>
        <w:tc>
          <w:tcPr>
            <w:tcW w:w="904" w:type="dxa"/>
            <w:tcBorders>
              <w:top w:val="nil"/>
            </w:tcBorders>
            <w:vAlign w:val="center"/>
            <w:hideMark/>
          </w:tcPr>
          <w:p w14:paraId="10740CA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-1.80</w:t>
            </w:r>
          </w:p>
        </w:tc>
        <w:tc>
          <w:tcPr>
            <w:tcW w:w="904" w:type="dxa"/>
            <w:tcBorders>
              <w:top w:val="nil"/>
            </w:tcBorders>
            <w:vAlign w:val="center"/>
            <w:hideMark/>
          </w:tcPr>
          <w:p w14:paraId="4F1518D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0.653</w:t>
            </w:r>
          </w:p>
        </w:tc>
        <w:tc>
          <w:tcPr>
            <w:tcW w:w="904" w:type="dxa"/>
            <w:tcBorders>
              <w:top w:val="nil"/>
            </w:tcBorders>
            <w:vAlign w:val="center"/>
            <w:hideMark/>
          </w:tcPr>
          <w:p w14:paraId="7765B05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-20.37</w:t>
            </w:r>
          </w:p>
        </w:tc>
        <w:tc>
          <w:tcPr>
            <w:tcW w:w="904" w:type="dxa"/>
            <w:tcBorders>
              <w:top w:val="nil"/>
            </w:tcBorders>
            <w:vAlign w:val="center"/>
            <w:hideMark/>
          </w:tcPr>
          <w:p w14:paraId="132BC09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-1.17</w:t>
            </w:r>
          </w:p>
        </w:tc>
        <w:tc>
          <w:tcPr>
            <w:tcW w:w="904" w:type="dxa"/>
            <w:tcBorders>
              <w:top w:val="nil"/>
            </w:tcBorders>
            <w:vAlign w:val="center"/>
            <w:hideMark/>
          </w:tcPr>
          <w:p w14:paraId="108854C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0.93</w:t>
            </w:r>
          </w:p>
        </w:tc>
      </w:tr>
    </w:tbl>
    <w:p w14:paraId="10A5FE96" w14:textId="77777777" w:rsidR="00AB238E" w:rsidRPr="00705903" w:rsidRDefault="00AB238E" w:rsidP="0097761F">
      <w:pPr>
        <w:spacing w:line="259" w:lineRule="auto"/>
        <w:ind w:firstLine="0"/>
        <w:jc w:val="both"/>
        <w:rPr>
          <w:sz w:val="20"/>
          <w:szCs w:val="20"/>
        </w:rPr>
      </w:pPr>
    </w:p>
    <w:p w14:paraId="1F809962" w14:textId="77777777" w:rsidR="00AB238E" w:rsidRPr="00705903" w:rsidRDefault="00AB238E" w:rsidP="0097761F">
      <w:pPr>
        <w:spacing w:line="259" w:lineRule="auto"/>
        <w:ind w:firstLine="0"/>
        <w:jc w:val="both"/>
        <w:rPr>
          <w:b/>
          <w:bCs/>
          <w:sz w:val="20"/>
          <w:szCs w:val="20"/>
          <w:lang w:val="en-US" w:eastAsia="zh-CN"/>
        </w:rPr>
      </w:pPr>
    </w:p>
    <w:p w14:paraId="2388FD40" w14:textId="77777777" w:rsidR="00AB238E" w:rsidRPr="00705903" w:rsidRDefault="00AB238E" w:rsidP="0097761F">
      <w:pPr>
        <w:spacing w:line="259" w:lineRule="auto"/>
        <w:ind w:firstLine="0"/>
        <w:jc w:val="both"/>
        <w:rPr>
          <w:b/>
          <w:bCs/>
          <w:sz w:val="20"/>
          <w:szCs w:val="20"/>
          <w:lang w:val="en-US" w:eastAsia="zh-CN"/>
        </w:rPr>
      </w:pPr>
    </w:p>
    <w:p w14:paraId="59684003" w14:textId="77777777" w:rsidR="00AB238E" w:rsidRPr="00705903" w:rsidRDefault="00AB238E" w:rsidP="0097761F">
      <w:pPr>
        <w:spacing w:after="160" w:line="259" w:lineRule="auto"/>
        <w:ind w:firstLine="0"/>
        <w:jc w:val="both"/>
      </w:pPr>
      <w:r w:rsidRPr="00705903">
        <w:br w:type="page"/>
      </w:r>
    </w:p>
    <w:p w14:paraId="0F6CA309" w14:textId="77777777" w:rsidR="00AB238E" w:rsidRPr="00705903" w:rsidRDefault="00AB238E" w:rsidP="0097761F">
      <w:pPr>
        <w:pStyle w:val="Heading1"/>
      </w:pPr>
      <w:r w:rsidRPr="00705903">
        <w:t>Table 30. Governance (G) Factor Performance under Policy Crackdown and Real Estate Price Cycles</w:t>
      </w:r>
    </w:p>
    <w:p w14:paraId="55B751FB" w14:textId="77777777" w:rsidR="00AB238E" w:rsidRPr="00705903" w:rsidRDefault="00AB238E" w:rsidP="0097761F">
      <w:pPr>
        <w:spacing w:line="259" w:lineRule="auto"/>
        <w:ind w:firstLine="0"/>
        <w:jc w:val="both"/>
        <w:rPr>
          <w:sz w:val="20"/>
          <w:szCs w:val="20"/>
          <w:lang w:val="en-US"/>
        </w:rPr>
      </w:pPr>
    </w:p>
    <w:p w14:paraId="74D0EF7C"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rPr>
        <w:t>This table presents the results of Fama–French five-factor regressions for the Governance (G) High–Low (D10–D1) factor portfolio under two complementary segmentation approaches:</w:t>
      </w:r>
      <w:r w:rsidRPr="00705903">
        <w:rPr>
          <w:sz w:val="20"/>
          <w:szCs w:val="20"/>
          <w:lang w:val="en-US" w:eastAsia="zh-CN"/>
        </w:rPr>
        <w:t xml:space="preserve">  </w:t>
      </w:r>
      <w:r w:rsidRPr="00705903">
        <w:rPr>
          <w:sz w:val="20"/>
          <w:szCs w:val="20"/>
          <w:lang w:val="en-US"/>
        </w:rPr>
        <w:t>(1) macro policy crackdown phases, reflecting regulatory tightening in the real estate and financial sectors; and</w:t>
      </w:r>
      <w:r w:rsidRPr="00705903">
        <w:rPr>
          <w:sz w:val="20"/>
          <w:szCs w:val="20"/>
          <w:lang w:val="en-US" w:eastAsia="zh-CN"/>
        </w:rPr>
        <w:t xml:space="preserve"> </w:t>
      </w:r>
      <w:r w:rsidRPr="00705903">
        <w:rPr>
          <w:sz w:val="20"/>
          <w:szCs w:val="20"/>
          <w:lang w:val="en-US"/>
        </w:rPr>
        <w:t>(2) real estate price cycles, capturing market-based fluctuations in housing and credit conditions.</w:t>
      </w:r>
      <w:r w:rsidRPr="00705903">
        <w:rPr>
          <w:sz w:val="20"/>
          <w:szCs w:val="20"/>
          <w:lang w:val="en-US" w:eastAsia="zh-CN"/>
        </w:rPr>
        <w:t xml:space="preserve"> </w:t>
      </w:r>
      <w:r w:rsidRPr="00705903">
        <w:rPr>
          <w:sz w:val="20"/>
          <w:szCs w:val="20"/>
          <w:lang w:val="en-US"/>
        </w:rPr>
        <w:t>Reported statistics include the regression intercepts (α), p-values, t-statistics, R², and portfolio performance metrics (annualized return, volatility, Sharpe ratio, and turnover).</w:t>
      </w:r>
    </w:p>
    <w:p w14:paraId="0E805811"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All alpha values (α) represent excess returns relative to the Fama–French five-factor benchmark.</w:t>
      </w:r>
    </w:p>
    <w:p w14:paraId="6CBF4CEE" w14:textId="77777777" w:rsidR="00AB238E" w:rsidRPr="00705903" w:rsidRDefault="00AB238E" w:rsidP="0097761F">
      <w:pPr>
        <w:spacing w:line="259" w:lineRule="auto"/>
        <w:ind w:firstLine="0"/>
        <w:jc w:val="both"/>
        <w:rPr>
          <w:sz w:val="20"/>
          <w:szCs w:val="20"/>
        </w:rPr>
      </w:pPr>
    </w:p>
    <w:p w14:paraId="01F72E9E"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 xml:space="preserve">Panel A examines how China’s tightening and subsequent partial relaxation of property and financial regulations (2018–2023) affected the G-factor’s abnormal returns. Major milestones include the </w:t>
      </w:r>
      <w:r w:rsidRPr="00705903">
        <w:rPr>
          <w:i/>
          <w:iCs/>
          <w:sz w:val="20"/>
          <w:szCs w:val="20"/>
          <w:lang w:eastAsia="zh-CN"/>
        </w:rPr>
        <w:t>“Three Red Lines”</w:t>
      </w:r>
      <w:r w:rsidRPr="00705903">
        <w:rPr>
          <w:sz w:val="20"/>
          <w:szCs w:val="20"/>
          <w:lang w:eastAsia="zh-CN"/>
        </w:rPr>
        <w:t xml:space="preserve"> (Aug 2020), the </w:t>
      </w:r>
      <w:r w:rsidRPr="00705903">
        <w:rPr>
          <w:i/>
          <w:iCs/>
          <w:sz w:val="20"/>
          <w:szCs w:val="20"/>
          <w:lang w:eastAsia="zh-CN"/>
        </w:rPr>
        <w:t>Evergrande crisis</w:t>
      </w:r>
      <w:r w:rsidRPr="00705903">
        <w:rPr>
          <w:sz w:val="20"/>
          <w:szCs w:val="20"/>
          <w:lang w:eastAsia="zh-CN"/>
        </w:rPr>
        <w:t xml:space="preserve"> (Sept 2021), and easing measures such as </w:t>
      </w:r>
      <w:r w:rsidRPr="00705903">
        <w:rPr>
          <w:i/>
          <w:iCs/>
          <w:sz w:val="20"/>
          <w:szCs w:val="20"/>
          <w:lang w:eastAsia="zh-CN"/>
        </w:rPr>
        <w:t>“Guaranteed Delivery of Housing Projects”</w:t>
      </w:r>
      <w:r w:rsidRPr="00705903">
        <w:rPr>
          <w:sz w:val="20"/>
          <w:szCs w:val="20"/>
          <w:lang w:eastAsia="zh-CN"/>
        </w:rPr>
        <w:t xml:space="preserve"> and the </w:t>
      </w:r>
      <w:r w:rsidRPr="00705903">
        <w:rPr>
          <w:i/>
          <w:iCs/>
          <w:sz w:val="20"/>
          <w:szCs w:val="20"/>
          <w:lang w:eastAsia="zh-CN"/>
        </w:rPr>
        <w:t>“Three Arrows”</w:t>
      </w:r>
      <w:r w:rsidRPr="00705903">
        <w:rPr>
          <w:sz w:val="20"/>
          <w:szCs w:val="20"/>
          <w:lang w:eastAsia="zh-CN"/>
        </w:rPr>
        <w:t xml:space="preserve"> program (2022). G-factor alphas are consistently significant, confirming identifiable governance-related return effects. However, the direction of α does not align systematically with policy tightening or easing, suggesting that macro regulation alone cannot explain performance. Instead, G-factor </w:t>
      </w:r>
      <w:proofErr w:type="spellStart"/>
      <w:r w:rsidRPr="00705903">
        <w:rPr>
          <w:sz w:val="20"/>
          <w:szCs w:val="20"/>
          <w:lang w:eastAsia="zh-CN"/>
        </w:rPr>
        <w:t>behavior</w:t>
      </w:r>
      <w:proofErr w:type="spellEnd"/>
      <w:r w:rsidRPr="00705903">
        <w:rPr>
          <w:sz w:val="20"/>
          <w:szCs w:val="20"/>
          <w:lang w:eastAsia="zh-CN"/>
        </w:rPr>
        <w:t xml:space="preserve"> reflects firm-level heterogeneity and sectoral exposure—particularly in real estate and finance—rather than shifts in regulatory stance.</w:t>
      </w:r>
    </w:p>
    <w:p w14:paraId="02C40319" w14:textId="77777777" w:rsidR="00AB238E" w:rsidRPr="00705903" w:rsidRDefault="00AB238E" w:rsidP="0097761F">
      <w:pPr>
        <w:spacing w:line="259" w:lineRule="auto"/>
        <w:ind w:firstLine="0"/>
        <w:jc w:val="both"/>
        <w:rPr>
          <w:sz w:val="20"/>
          <w:szCs w:val="20"/>
          <w:lang w:eastAsia="zh-CN"/>
        </w:rPr>
      </w:pPr>
    </w:p>
    <w:p w14:paraId="34B78331"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eastAsia="zh-CN"/>
        </w:rPr>
        <w:t xml:space="preserve">Panel B divides the same sample according to fluctuations in China’s secondary housing prices to examine how G-factor returns respond to market-based cycles rather than administrative interventions. Phases include the </w:t>
      </w:r>
      <w:r w:rsidRPr="00705903">
        <w:rPr>
          <w:i/>
          <w:iCs/>
          <w:sz w:val="20"/>
          <w:szCs w:val="20"/>
          <w:lang w:val="en-US" w:eastAsia="zh-CN"/>
        </w:rPr>
        <w:t>stable baseline period</w:t>
      </w:r>
      <w:r w:rsidRPr="00705903">
        <w:rPr>
          <w:sz w:val="20"/>
          <w:szCs w:val="20"/>
          <w:lang w:val="en-US" w:eastAsia="zh-CN"/>
        </w:rPr>
        <w:t xml:space="preserve"> (2018–2020), the </w:t>
      </w:r>
      <w:r w:rsidRPr="00705903">
        <w:rPr>
          <w:i/>
          <w:iCs/>
          <w:sz w:val="20"/>
          <w:szCs w:val="20"/>
          <w:lang w:val="en-US" w:eastAsia="zh-CN"/>
        </w:rPr>
        <w:t>“Three Red Lines” enforcement</w:t>
      </w:r>
      <w:r w:rsidRPr="00705903">
        <w:rPr>
          <w:sz w:val="20"/>
          <w:szCs w:val="20"/>
          <w:lang w:val="en-US" w:eastAsia="zh-CN"/>
        </w:rPr>
        <w:t xml:space="preserve">, the </w:t>
      </w:r>
      <w:r w:rsidRPr="00705903">
        <w:rPr>
          <w:i/>
          <w:iCs/>
          <w:sz w:val="20"/>
          <w:szCs w:val="20"/>
          <w:lang w:val="en-US" w:eastAsia="zh-CN"/>
        </w:rPr>
        <w:t>Ant Financial IPO suspension</w:t>
      </w:r>
      <w:r w:rsidRPr="00705903">
        <w:rPr>
          <w:sz w:val="20"/>
          <w:szCs w:val="20"/>
          <w:lang w:val="en-US" w:eastAsia="zh-CN"/>
        </w:rPr>
        <w:t xml:space="preserve">, the </w:t>
      </w:r>
      <w:r w:rsidRPr="00705903">
        <w:rPr>
          <w:i/>
          <w:iCs/>
          <w:sz w:val="20"/>
          <w:szCs w:val="20"/>
          <w:lang w:val="en-US" w:eastAsia="zh-CN"/>
        </w:rPr>
        <w:t>Evergrande crisis and price downturn</w:t>
      </w:r>
      <w:r w:rsidRPr="00705903">
        <w:rPr>
          <w:sz w:val="20"/>
          <w:szCs w:val="20"/>
          <w:lang w:val="en-US" w:eastAsia="zh-CN"/>
        </w:rPr>
        <w:t xml:space="preserve">, and the </w:t>
      </w:r>
      <w:r w:rsidRPr="00705903">
        <w:rPr>
          <w:i/>
          <w:iCs/>
          <w:sz w:val="20"/>
          <w:szCs w:val="20"/>
          <w:lang w:val="en-US" w:eastAsia="zh-CN"/>
        </w:rPr>
        <w:t>subsequent partial recovery and renewed decline</w:t>
      </w:r>
      <w:r w:rsidRPr="00705903">
        <w:rPr>
          <w:sz w:val="20"/>
          <w:szCs w:val="20"/>
          <w:lang w:val="en-US" w:eastAsia="zh-CN"/>
        </w:rPr>
        <w:t xml:space="preserve">. Results reveal significant alpha estimates (p &lt; 0.05) across all subperiods, confirming the robustness of governance effects. The sign of alpha closely tracks the housing market cycle: positive during price stability and rebounds, negative during downturns and financial tightening. This co-movement suggests that the G-factor captures the pricing of sectoral stress and leverage risk in the real estate and financial sectors, rather than being purely policy-driven. </w:t>
      </w:r>
      <w:r w:rsidRPr="00705903">
        <w:rPr>
          <w:sz w:val="20"/>
          <w:szCs w:val="20"/>
          <w:lang w:eastAsia="zh-CN"/>
        </w:rPr>
        <w:t>Alpha sign alternations correspond closely to major turning points in real estate prices, reflecting governance factor sensitivity to credit risk and market liquidity. These results highlight that while macro policy shocks define the regulatory backdrop, the real pricing channel for G operates through financial–real estate market sentiment.</w:t>
      </w:r>
    </w:p>
    <w:p w14:paraId="7F30C69C" w14:textId="77777777" w:rsidR="00AB238E" w:rsidRPr="00705903" w:rsidRDefault="00AB238E" w:rsidP="0097761F">
      <w:pPr>
        <w:spacing w:line="259" w:lineRule="auto"/>
        <w:ind w:firstLine="0"/>
        <w:jc w:val="both"/>
        <w:rPr>
          <w:sz w:val="20"/>
          <w:szCs w:val="20"/>
        </w:rPr>
      </w:pPr>
    </w:p>
    <w:p w14:paraId="0D4042BD" w14:textId="77777777" w:rsidR="00AB238E" w:rsidRPr="00705903" w:rsidRDefault="00AB238E" w:rsidP="0097761F">
      <w:pPr>
        <w:spacing w:line="259" w:lineRule="auto"/>
        <w:ind w:firstLine="0"/>
        <w:jc w:val="both"/>
        <w:rPr>
          <w:sz w:val="20"/>
          <w:szCs w:val="20"/>
        </w:rPr>
      </w:pPr>
      <w:r w:rsidRPr="00705903">
        <w:rPr>
          <w:sz w:val="20"/>
          <w:szCs w:val="20"/>
        </w:rPr>
        <w:t>Panel A. Policy Crackdown Phases (Macro Regulatory Tightening)</w:t>
      </w:r>
    </w:p>
    <w:tbl>
      <w:tblPr>
        <w:tblStyle w:val="PlainTable2"/>
        <w:tblW w:w="9360" w:type="dxa"/>
        <w:tblLayout w:type="fixed"/>
        <w:tblLook w:val="04A0" w:firstRow="1" w:lastRow="0" w:firstColumn="1" w:lastColumn="0" w:noHBand="0" w:noVBand="1"/>
      </w:tblPr>
      <w:tblGrid>
        <w:gridCol w:w="1440"/>
        <w:gridCol w:w="1620"/>
        <w:gridCol w:w="822"/>
        <w:gridCol w:w="913"/>
        <w:gridCol w:w="913"/>
        <w:gridCol w:w="913"/>
        <w:gridCol w:w="913"/>
        <w:gridCol w:w="913"/>
        <w:gridCol w:w="913"/>
      </w:tblGrid>
      <w:tr w:rsidR="00757905" w:rsidRPr="00705903" w14:paraId="6DD6803D" w14:textId="77777777" w:rsidTr="0075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D9DA0FF" w14:textId="37A1C883" w:rsidR="00757905" w:rsidRPr="00705903" w:rsidRDefault="00757905" w:rsidP="0097761F">
            <w:pPr>
              <w:spacing w:line="259" w:lineRule="auto"/>
              <w:ind w:firstLine="0"/>
              <w:jc w:val="both"/>
              <w:rPr>
                <w:sz w:val="18"/>
                <w:szCs w:val="18"/>
                <w:lang w:val="en-US"/>
              </w:rPr>
            </w:pPr>
            <w:r w:rsidRPr="00705903">
              <w:rPr>
                <w:b w:val="0"/>
                <w:bCs w:val="0"/>
                <w:sz w:val="18"/>
                <w:szCs w:val="18"/>
                <w:lang w:val="en-US"/>
              </w:rPr>
              <w:t>Period</w:t>
            </w:r>
          </w:p>
        </w:tc>
        <w:tc>
          <w:tcPr>
            <w:tcW w:w="1620" w:type="dxa"/>
            <w:vAlign w:val="center"/>
            <w:hideMark/>
          </w:tcPr>
          <w:p w14:paraId="754D0E12" w14:textId="1CC07CD2"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705903">
              <w:rPr>
                <w:b w:val="0"/>
                <w:bCs w:val="0"/>
                <w:i/>
                <w:iCs/>
                <w:sz w:val="18"/>
                <w:szCs w:val="18"/>
                <w:lang w:val="en-US"/>
              </w:rPr>
              <w:t>Timeline</w:t>
            </w:r>
          </w:p>
        </w:tc>
        <w:tc>
          <w:tcPr>
            <w:tcW w:w="822" w:type="dxa"/>
            <w:vAlign w:val="center"/>
            <w:hideMark/>
          </w:tcPr>
          <w:p w14:paraId="30A96F05" w14:textId="7777777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α</w:t>
            </w:r>
          </w:p>
        </w:tc>
        <w:tc>
          <w:tcPr>
            <w:tcW w:w="913" w:type="dxa"/>
            <w:vAlign w:val="center"/>
            <w:hideMark/>
          </w:tcPr>
          <w:p w14:paraId="6F14D9FF" w14:textId="7777777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p-value</w:t>
            </w:r>
          </w:p>
        </w:tc>
        <w:tc>
          <w:tcPr>
            <w:tcW w:w="913" w:type="dxa"/>
            <w:vAlign w:val="center"/>
            <w:hideMark/>
          </w:tcPr>
          <w:p w14:paraId="0DFBFAE9" w14:textId="7777777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t-stat</w:t>
            </w:r>
          </w:p>
        </w:tc>
        <w:tc>
          <w:tcPr>
            <w:tcW w:w="913" w:type="dxa"/>
            <w:vAlign w:val="center"/>
            <w:hideMark/>
          </w:tcPr>
          <w:p w14:paraId="16D56615" w14:textId="7777777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R²</w:t>
            </w:r>
          </w:p>
        </w:tc>
        <w:tc>
          <w:tcPr>
            <w:tcW w:w="913" w:type="dxa"/>
            <w:vAlign w:val="center"/>
            <w:hideMark/>
          </w:tcPr>
          <w:p w14:paraId="13B9F844" w14:textId="7777777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Annual Return (%)</w:t>
            </w:r>
          </w:p>
        </w:tc>
        <w:tc>
          <w:tcPr>
            <w:tcW w:w="913" w:type="dxa"/>
            <w:vAlign w:val="center"/>
            <w:hideMark/>
          </w:tcPr>
          <w:p w14:paraId="2B8BA909" w14:textId="7777777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Sharpe</w:t>
            </w:r>
          </w:p>
        </w:tc>
        <w:tc>
          <w:tcPr>
            <w:tcW w:w="913" w:type="dxa"/>
            <w:vAlign w:val="center"/>
            <w:hideMark/>
          </w:tcPr>
          <w:p w14:paraId="27E09590" w14:textId="7777777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Avg. Turnover</w:t>
            </w:r>
          </w:p>
        </w:tc>
      </w:tr>
      <w:tr w:rsidR="00757905" w:rsidRPr="00705903" w14:paraId="69E8CF53" w14:textId="77777777" w:rsidTr="0075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bottom w:val="nil"/>
            </w:tcBorders>
          </w:tcPr>
          <w:p w14:paraId="65EDB071" w14:textId="5F5B4731" w:rsidR="00757905" w:rsidRPr="00705903" w:rsidRDefault="00757905" w:rsidP="0097761F">
            <w:pPr>
              <w:spacing w:line="259" w:lineRule="auto"/>
              <w:ind w:firstLine="0"/>
              <w:jc w:val="both"/>
              <w:rPr>
                <w:b w:val="0"/>
                <w:bCs w:val="0"/>
                <w:i/>
                <w:iCs/>
                <w:sz w:val="18"/>
                <w:szCs w:val="18"/>
                <w:lang w:val="en-US"/>
              </w:rPr>
            </w:pPr>
            <w:r w:rsidRPr="00705903">
              <w:rPr>
                <w:b w:val="0"/>
                <w:bCs w:val="0"/>
                <w:i/>
                <w:iCs/>
                <w:sz w:val="18"/>
                <w:szCs w:val="18"/>
                <w:lang w:val="en-US"/>
              </w:rPr>
              <w:t>Three Red Lines</w:t>
            </w:r>
          </w:p>
        </w:tc>
        <w:tc>
          <w:tcPr>
            <w:tcW w:w="1620" w:type="dxa"/>
            <w:tcBorders>
              <w:bottom w:val="nil"/>
            </w:tcBorders>
            <w:vAlign w:val="center"/>
            <w:hideMark/>
          </w:tcPr>
          <w:p w14:paraId="59029693" w14:textId="533651D1"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b/>
                <w:bCs/>
                <w:i/>
                <w:iCs/>
                <w:sz w:val="18"/>
                <w:szCs w:val="18"/>
                <w:lang w:val="en-US"/>
              </w:rPr>
            </w:pPr>
            <w:r w:rsidRPr="00705903">
              <w:rPr>
                <w:i/>
                <w:iCs/>
                <w:sz w:val="18"/>
                <w:szCs w:val="18"/>
                <w:lang w:val="en-US"/>
              </w:rPr>
              <w:t>2018-08 – 2020-08</w:t>
            </w:r>
          </w:p>
        </w:tc>
        <w:tc>
          <w:tcPr>
            <w:tcW w:w="822" w:type="dxa"/>
            <w:tcBorders>
              <w:bottom w:val="nil"/>
            </w:tcBorders>
            <w:vAlign w:val="center"/>
            <w:hideMark/>
          </w:tcPr>
          <w:p w14:paraId="5C0A06E1"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1.0362</w:t>
            </w:r>
          </w:p>
        </w:tc>
        <w:tc>
          <w:tcPr>
            <w:tcW w:w="913" w:type="dxa"/>
            <w:tcBorders>
              <w:bottom w:val="nil"/>
            </w:tcBorders>
            <w:vAlign w:val="center"/>
            <w:hideMark/>
          </w:tcPr>
          <w:p w14:paraId="07B6DE00"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0.0000</w:t>
            </w:r>
          </w:p>
        </w:tc>
        <w:tc>
          <w:tcPr>
            <w:tcW w:w="913" w:type="dxa"/>
            <w:tcBorders>
              <w:bottom w:val="nil"/>
            </w:tcBorders>
            <w:vAlign w:val="center"/>
            <w:hideMark/>
          </w:tcPr>
          <w:p w14:paraId="0D6F6DEF"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7.27</w:t>
            </w:r>
          </w:p>
        </w:tc>
        <w:tc>
          <w:tcPr>
            <w:tcW w:w="913" w:type="dxa"/>
            <w:tcBorders>
              <w:bottom w:val="nil"/>
            </w:tcBorders>
            <w:vAlign w:val="center"/>
            <w:hideMark/>
          </w:tcPr>
          <w:p w14:paraId="06D92BB1"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0.77</w:t>
            </w:r>
          </w:p>
        </w:tc>
        <w:tc>
          <w:tcPr>
            <w:tcW w:w="913" w:type="dxa"/>
            <w:tcBorders>
              <w:bottom w:val="nil"/>
            </w:tcBorders>
            <w:vAlign w:val="center"/>
            <w:hideMark/>
          </w:tcPr>
          <w:p w14:paraId="546DCBD0"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–9.99</w:t>
            </w:r>
          </w:p>
        </w:tc>
        <w:tc>
          <w:tcPr>
            <w:tcW w:w="913" w:type="dxa"/>
            <w:tcBorders>
              <w:bottom w:val="nil"/>
            </w:tcBorders>
            <w:vAlign w:val="center"/>
            <w:hideMark/>
          </w:tcPr>
          <w:p w14:paraId="53021D09"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–0.88</w:t>
            </w:r>
          </w:p>
        </w:tc>
        <w:tc>
          <w:tcPr>
            <w:tcW w:w="913" w:type="dxa"/>
            <w:tcBorders>
              <w:bottom w:val="nil"/>
            </w:tcBorders>
            <w:vAlign w:val="center"/>
            <w:hideMark/>
          </w:tcPr>
          <w:p w14:paraId="1320BC69"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0.93</w:t>
            </w:r>
          </w:p>
        </w:tc>
      </w:tr>
      <w:tr w:rsidR="00757905" w:rsidRPr="00705903" w14:paraId="3E7F18C6" w14:textId="77777777" w:rsidTr="00757905">
        <w:tc>
          <w:tcPr>
            <w:cnfStyle w:val="001000000000" w:firstRow="0" w:lastRow="0" w:firstColumn="1" w:lastColumn="0" w:oddVBand="0" w:evenVBand="0" w:oddHBand="0" w:evenHBand="0" w:firstRowFirstColumn="0" w:firstRowLastColumn="0" w:lastRowFirstColumn="0" w:lastRowLastColumn="0"/>
            <w:tcW w:w="1440" w:type="dxa"/>
            <w:tcBorders>
              <w:top w:val="nil"/>
              <w:bottom w:val="nil"/>
            </w:tcBorders>
          </w:tcPr>
          <w:p w14:paraId="3450E837" w14:textId="3E1B4988" w:rsidR="00757905" w:rsidRPr="00705903" w:rsidRDefault="00757905" w:rsidP="0097761F">
            <w:pPr>
              <w:spacing w:line="259" w:lineRule="auto"/>
              <w:ind w:firstLine="0"/>
              <w:jc w:val="both"/>
              <w:rPr>
                <w:b w:val="0"/>
                <w:bCs w:val="0"/>
                <w:i/>
                <w:iCs/>
                <w:sz w:val="18"/>
                <w:szCs w:val="18"/>
                <w:lang w:val="en-US"/>
              </w:rPr>
            </w:pPr>
            <w:r w:rsidRPr="00705903">
              <w:rPr>
                <w:b w:val="0"/>
                <w:bCs w:val="0"/>
                <w:i/>
                <w:iCs/>
                <w:sz w:val="18"/>
                <w:szCs w:val="18"/>
                <w:lang w:eastAsia="zh-CN"/>
              </w:rPr>
              <w:t>Evergrande crisis</w:t>
            </w:r>
          </w:p>
        </w:tc>
        <w:tc>
          <w:tcPr>
            <w:tcW w:w="1620" w:type="dxa"/>
            <w:tcBorders>
              <w:top w:val="nil"/>
              <w:bottom w:val="nil"/>
            </w:tcBorders>
            <w:vAlign w:val="center"/>
            <w:hideMark/>
          </w:tcPr>
          <w:p w14:paraId="2366926C" w14:textId="6A96C001"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b/>
                <w:bCs/>
                <w:i/>
                <w:iCs/>
                <w:sz w:val="18"/>
                <w:szCs w:val="18"/>
                <w:lang w:val="en-US"/>
              </w:rPr>
            </w:pPr>
            <w:r w:rsidRPr="00705903">
              <w:rPr>
                <w:i/>
                <w:iCs/>
                <w:sz w:val="18"/>
                <w:szCs w:val="18"/>
                <w:lang w:val="en-US"/>
              </w:rPr>
              <w:t>2020-08 – 2021-09</w:t>
            </w:r>
          </w:p>
        </w:tc>
        <w:tc>
          <w:tcPr>
            <w:tcW w:w="822" w:type="dxa"/>
            <w:tcBorders>
              <w:top w:val="nil"/>
              <w:bottom w:val="nil"/>
            </w:tcBorders>
            <w:vAlign w:val="center"/>
            <w:hideMark/>
          </w:tcPr>
          <w:p w14:paraId="35C08309"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–2.4785</w:t>
            </w:r>
          </w:p>
        </w:tc>
        <w:tc>
          <w:tcPr>
            <w:tcW w:w="913" w:type="dxa"/>
            <w:tcBorders>
              <w:top w:val="nil"/>
              <w:bottom w:val="nil"/>
            </w:tcBorders>
            <w:vAlign w:val="center"/>
            <w:hideMark/>
          </w:tcPr>
          <w:p w14:paraId="356FB68E"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0.0003</w:t>
            </w:r>
          </w:p>
        </w:tc>
        <w:tc>
          <w:tcPr>
            <w:tcW w:w="913" w:type="dxa"/>
            <w:tcBorders>
              <w:top w:val="nil"/>
              <w:bottom w:val="nil"/>
            </w:tcBorders>
            <w:vAlign w:val="center"/>
            <w:hideMark/>
          </w:tcPr>
          <w:p w14:paraId="19BB279A"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–3.66</w:t>
            </w:r>
          </w:p>
        </w:tc>
        <w:tc>
          <w:tcPr>
            <w:tcW w:w="913" w:type="dxa"/>
            <w:tcBorders>
              <w:top w:val="nil"/>
              <w:bottom w:val="nil"/>
            </w:tcBorders>
            <w:vAlign w:val="center"/>
            <w:hideMark/>
          </w:tcPr>
          <w:p w14:paraId="3BEAF365"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0.78</w:t>
            </w:r>
          </w:p>
        </w:tc>
        <w:tc>
          <w:tcPr>
            <w:tcW w:w="913" w:type="dxa"/>
            <w:tcBorders>
              <w:top w:val="nil"/>
              <w:bottom w:val="nil"/>
            </w:tcBorders>
            <w:vAlign w:val="center"/>
            <w:hideMark/>
          </w:tcPr>
          <w:p w14:paraId="3F88493A"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–20.12</w:t>
            </w:r>
          </w:p>
        </w:tc>
        <w:tc>
          <w:tcPr>
            <w:tcW w:w="913" w:type="dxa"/>
            <w:tcBorders>
              <w:top w:val="nil"/>
              <w:bottom w:val="nil"/>
            </w:tcBorders>
            <w:vAlign w:val="center"/>
            <w:hideMark/>
          </w:tcPr>
          <w:p w14:paraId="190C6A59"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–1.35</w:t>
            </w:r>
          </w:p>
        </w:tc>
        <w:tc>
          <w:tcPr>
            <w:tcW w:w="913" w:type="dxa"/>
            <w:tcBorders>
              <w:top w:val="nil"/>
              <w:bottom w:val="nil"/>
            </w:tcBorders>
            <w:vAlign w:val="center"/>
            <w:hideMark/>
          </w:tcPr>
          <w:p w14:paraId="0C589CAC"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0.90</w:t>
            </w:r>
          </w:p>
        </w:tc>
      </w:tr>
      <w:tr w:rsidR="00757905" w:rsidRPr="00705903" w14:paraId="111A0A60" w14:textId="77777777" w:rsidTr="0075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il"/>
              <w:bottom w:val="nil"/>
            </w:tcBorders>
          </w:tcPr>
          <w:p w14:paraId="78CEBB50" w14:textId="204560CE" w:rsidR="00757905" w:rsidRPr="00705903" w:rsidRDefault="00757905" w:rsidP="0097761F">
            <w:pPr>
              <w:spacing w:line="259" w:lineRule="auto"/>
              <w:ind w:firstLine="0"/>
              <w:jc w:val="both"/>
              <w:rPr>
                <w:b w:val="0"/>
                <w:bCs w:val="0"/>
                <w:i/>
                <w:iCs/>
                <w:sz w:val="18"/>
                <w:szCs w:val="18"/>
                <w:lang w:val="en-US"/>
              </w:rPr>
            </w:pPr>
            <w:r w:rsidRPr="00705903">
              <w:rPr>
                <w:b w:val="0"/>
                <w:bCs w:val="0"/>
                <w:i/>
                <w:iCs/>
                <w:sz w:val="18"/>
                <w:szCs w:val="18"/>
                <w:lang w:eastAsia="zh-CN"/>
              </w:rPr>
              <w:t>Guaranteed Delivery of Housing Projects</w:t>
            </w:r>
          </w:p>
        </w:tc>
        <w:tc>
          <w:tcPr>
            <w:tcW w:w="1620" w:type="dxa"/>
            <w:tcBorders>
              <w:top w:val="nil"/>
              <w:bottom w:val="nil"/>
            </w:tcBorders>
            <w:vAlign w:val="center"/>
            <w:hideMark/>
          </w:tcPr>
          <w:p w14:paraId="2CE636CD" w14:textId="1EE95781"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b/>
                <w:bCs/>
                <w:i/>
                <w:iCs/>
                <w:sz w:val="18"/>
                <w:szCs w:val="18"/>
                <w:lang w:val="en-US"/>
              </w:rPr>
            </w:pPr>
            <w:r w:rsidRPr="00705903">
              <w:rPr>
                <w:i/>
                <w:iCs/>
                <w:sz w:val="18"/>
                <w:szCs w:val="18"/>
                <w:lang w:val="en-US"/>
              </w:rPr>
              <w:t>2021-09 – 2022-05</w:t>
            </w:r>
          </w:p>
        </w:tc>
        <w:tc>
          <w:tcPr>
            <w:tcW w:w="822" w:type="dxa"/>
            <w:tcBorders>
              <w:top w:val="nil"/>
              <w:bottom w:val="nil"/>
            </w:tcBorders>
            <w:vAlign w:val="center"/>
            <w:hideMark/>
          </w:tcPr>
          <w:p w14:paraId="719C05B7"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1.7075</w:t>
            </w:r>
          </w:p>
        </w:tc>
        <w:tc>
          <w:tcPr>
            <w:tcW w:w="913" w:type="dxa"/>
            <w:tcBorders>
              <w:top w:val="nil"/>
              <w:bottom w:val="nil"/>
            </w:tcBorders>
            <w:vAlign w:val="center"/>
            <w:hideMark/>
          </w:tcPr>
          <w:p w14:paraId="09943598"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0.0000</w:t>
            </w:r>
          </w:p>
        </w:tc>
        <w:tc>
          <w:tcPr>
            <w:tcW w:w="913" w:type="dxa"/>
            <w:tcBorders>
              <w:top w:val="nil"/>
              <w:bottom w:val="nil"/>
            </w:tcBorders>
            <w:vAlign w:val="center"/>
            <w:hideMark/>
          </w:tcPr>
          <w:p w14:paraId="15D8C24B"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9.96</w:t>
            </w:r>
          </w:p>
        </w:tc>
        <w:tc>
          <w:tcPr>
            <w:tcW w:w="913" w:type="dxa"/>
            <w:tcBorders>
              <w:top w:val="nil"/>
              <w:bottom w:val="nil"/>
            </w:tcBorders>
            <w:vAlign w:val="center"/>
            <w:hideMark/>
          </w:tcPr>
          <w:p w14:paraId="37A261F5"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0.95</w:t>
            </w:r>
          </w:p>
        </w:tc>
        <w:tc>
          <w:tcPr>
            <w:tcW w:w="913" w:type="dxa"/>
            <w:tcBorders>
              <w:top w:val="nil"/>
              <w:bottom w:val="nil"/>
            </w:tcBorders>
            <w:vAlign w:val="center"/>
            <w:hideMark/>
          </w:tcPr>
          <w:p w14:paraId="6B94BC02"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9.99</w:t>
            </w:r>
          </w:p>
        </w:tc>
        <w:tc>
          <w:tcPr>
            <w:tcW w:w="913" w:type="dxa"/>
            <w:tcBorders>
              <w:top w:val="nil"/>
              <w:bottom w:val="nil"/>
            </w:tcBorders>
            <w:vAlign w:val="center"/>
            <w:hideMark/>
          </w:tcPr>
          <w:p w14:paraId="7054317D"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0.76</w:t>
            </w:r>
          </w:p>
        </w:tc>
        <w:tc>
          <w:tcPr>
            <w:tcW w:w="913" w:type="dxa"/>
            <w:tcBorders>
              <w:top w:val="nil"/>
              <w:bottom w:val="nil"/>
            </w:tcBorders>
            <w:vAlign w:val="center"/>
            <w:hideMark/>
          </w:tcPr>
          <w:p w14:paraId="68FB708F"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0.93</w:t>
            </w:r>
          </w:p>
        </w:tc>
      </w:tr>
      <w:tr w:rsidR="00757905" w:rsidRPr="00705903" w14:paraId="033BC83C" w14:textId="77777777" w:rsidTr="00757905">
        <w:tc>
          <w:tcPr>
            <w:cnfStyle w:val="001000000000" w:firstRow="0" w:lastRow="0" w:firstColumn="1" w:lastColumn="0" w:oddVBand="0" w:evenVBand="0" w:oddHBand="0" w:evenHBand="0" w:firstRowFirstColumn="0" w:firstRowLastColumn="0" w:lastRowFirstColumn="0" w:lastRowLastColumn="0"/>
            <w:tcW w:w="1440" w:type="dxa"/>
            <w:tcBorders>
              <w:top w:val="nil"/>
            </w:tcBorders>
          </w:tcPr>
          <w:p w14:paraId="27976459" w14:textId="504D2756" w:rsidR="00757905" w:rsidRPr="00705903" w:rsidRDefault="00757905" w:rsidP="0097761F">
            <w:pPr>
              <w:spacing w:line="259" w:lineRule="auto"/>
              <w:ind w:firstLine="0"/>
              <w:jc w:val="both"/>
              <w:rPr>
                <w:b w:val="0"/>
                <w:bCs w:val="0"/>
                <w:i/>
                <w:iCs/>
                <w:sz w:val="18"/>
                <w:szCs w:val="18"/>
                <w:lang w:val="en-US"/>
              </w:rPr>
            </w:pPr>
            <w:r w:rsidRPr="00705903">
              <w:rPr>
                <w:b w:val="0"/>
                <w:bCs w:val="0"/>
                <w:i/>
                <w:iCs/>
                <w:sz w:val="18"/>
                <w:szCs w:val="18"/>
                <w:lang w:eastAsia="zh-CN"/>
              </w:rPr>
              <w:t>Three Arrows</w:t>
            </w:r>
          </w:p>
        </w:tc>
        <w:tc>
          <w:tcPr>
            <w:tcW w:w="1620" w:type="dxa"/>
            <w:tcBorders>
              <w:top w:val="nil"/>
            </w:tcBorders>
            <w:vAlign w:val="center"/>
            <w:hideMark/>
          </w:tcPr>
          <w:p w14:paraId="2F0CB1FC" w14:textId="2DF4E8E5"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b/>
                <w:bCs/>
                <w:i/>
                <w:iCs/>
                <w:sz w:val="18"/>
                <w:szCs w:val="18"/>
                <w:lang w:val="en-US"/>
              </w:rPr>
            </w:pPr>
            <w:r w:rsidRPr="00705903">
              <w:rPr>
                <w:i/>
                <w:iCs/>
                <w:sz w:val="18"/>
                <w:szCs w:val="18"/>
                <w:lang w:val="en-US"/>
              </w:rPr>
              <w:t>2022-05 – 2022-12</w:t>
            </w:r>
          </w:p>
        </w:tc>
        <w:tc>
          <w:tcPr>
            <w:tcW w:w="822" w:type="dxa"/>
            <w:tcBorders>
              <w:top w:val="nil"/>
            </w:tcBorders>
            <w:vAlign w:val="center"/>
            <w:hideMark/>
          </w:tcPr>
          <w:p w14:paraId="5AB094D5"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–4.9373</w:t>
            </w:r>
          </w:p>
        </w:tc>
        <w:tc>
          <w:tcPr>
            <w:tcW w:w="913" w:type="dxa"/>
            <w:tcBorders>
              <w:top w:val="nil"/>
            </w:tcBorders>
            <w:vAlign w:val="center"/>
            <w:hideMark/>
          </w:tcPr>
          <w:p w14:paraId="434A841F"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0.0000</w:t>
            </w:r>
          </w:p>
        </w:tc>
        <w:tc>
          <w:tcPr>
            <w:tcW w:w="913" w:type="dxa"/>
            <w:tcBorders>
              <w:top w:val="nil"/>
            </w:tcBorders>
            <w:vAlign w:val="center"/>
            <w:hideMark/>
          </w:tcPr>
          <w:p w14:paraId="1CBB83D0"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–3.13</w:t>
            </w:r>
          </w:p>
        </w:tc>
        <w:tc>
          <w:tcPr>
            <w:tcW w:w="913" w:type="dxa"/>
            <w:tcBorders>
              <w:top w:val="nil"/>
            </w:tcBorders>
            <w:vAlign w:val="center"/>
            <w:hideMark/>
          </w:tcPr>
          <w:p w14:paraId="60BC8147"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1.00</w:t>
            </w:r>
          </w:p>
        </w:tc>
        <w:tc>
          <w:tcPr>
            <w:tcW w:w="913" w:type="dxa"/>
            <w:tcBorders>
              <w:top w:val="nil"/>
            </w:tcBorders>
            <w:vAlign w:val="center"/>
            <w:hideMark/>
          </w:tcPr>
          <w:p w14:paraId="3AB85BE8"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–57.61</w:t>
            </w:r>
          </w:p>
        </w:tc>
        <w:tc>
          <w:tcPr>
            <w:tcW w:w="913" w:type="dxa"/>
            <w:tcBorders>
              <w:top w:val="nil"/>
            </w:tcBorders>
            <w:vAlign w:val="center"/>
            <w:hideMark/>
          </w:tcPr>
          <w:p w14:paraId="27085836"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–42.70</w:t>
            </w:r>
          </w:p>
        </w:tc>
        <w:tc>
          <w:tcPr>
            <w:tcW w:w="913" w:type="dxa"/>
            <w:tcBorders>
              <w:top w:val="nil"/>
            </w:tcBorders>
            <w:vAlign w:val="center"/>
            <w:hideMark/>
          </w:tcPr>
          <w:p w14:paraId="062CE437"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0.91</w:t>
            </w:r>
          </w:p>
        </w:tc>
      </w:tr>
    </w:tbl>
    <w:p w14:paraId="277D4664" w14:textId="77777777" w:rsidR="00AB238E" w:rsidRPr="00705903" w:rsidRDefault="00AB238E" w:rsidP="0097761F">
      <w:pPr>
        <w:spacing w:line="259" w:lineRule="auto"/>
        <w:ind w:firstLine="0"/>
        <w:jc w:val="both"/>
        <w:rPr>
          <w:sz w:val="20"/>
          <w:szCs w:val="20"/>
        </w:rPr>
      </w:pPr>
    </w:p>
    <w:p w14:paraId="49325E56" w14:textId="0729D60E" w:rsidR="00757905" w:rsidRPr="00705903" w:rsidRDefault="00AB238E" w:rsidP="0097761F">
      <w:pPr>
        <w:spacing w:line="259" w:lineRule="auto"/>
        <w:ind w:firstLine="0"/>
        <w:jc w:val="both"/>
        <w:rPr>
          <w:sz w:val="20"/>
          <w:szCs w:val="20"/>
        </w:rPr>
      </w:pPr>
      <w:r w:rsidRPr="00705903">
        <w:rPr>
          <w:sz w:val="20"/>
          <w:szCs w:val="20"/>
        </w:rPr>
        <w:t>Panel B. Real Estate Price Cycle Segmentation (Micro Market Response)</w:t>
      </w:r>
    </w:p>
    <w:tbl>
      <w:tblPr>
        <w:tblStyle w:val="PlainTable2"/>
        <w:tblW w:w="9360" w:type="dxa"/>
        <w:tblLayout w:type="fixed"/>
        <w:tblLook w:val="04A0" w:firstRow="1" w:lastRow="0" w:firstColumn="1" w:lastColumn="0" w:noHBand="0" w:noVBand="1"/>
      </w:tblPr>
      <w:tblGrid>
        <w:gridCol w:w="1350"/>
        <w:gridCol w:w="1620"/>
        <w:gridCol w:w="912"/>
        <w:gridCol w:w="913"/>
        <w:gridCol w:w="913"/>
        <w:gridCol w:w="913"/>
        <w:gridCol w:w="913"/>
        <w:gridCol w:w="913"/>
        <w:gridCol w:w="913"/>
      </w:tblGrid>
      <w:tr w:rsidR="00757905" w:rsidRPr="00705903" w14:paraId="5723E4AC" w14:textId="77777777" w:rsidTr="002552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25A40443" w14:textId="27DC0EF0" w:rsidR="00757905" w:rsidRPr="00705903" w:rsidRDefault="00757905" w:rsidP="0097761F">
            <w:pPr>
              <w:spacing w:line="259" w:lineRule="auto"/>
              <w:ind w:firstLine="0"/>
              <w:jc w:val="both"/>
              <w:rPr>
                <w:sz w:val="18"/>
                <w:szCs w:val="18"/>
                <w:lang w:val="en-US"/>
              </w:rPr>
            </w:pPr>
            <w:r w:rsidRPr="00705903">
              <w:rPr>
                <w:b w:val="0"/>
                <w:bCs w:val="0"/>
                <w:sz w:val="18"/>
                <w:szCs w:val="18"/>
                <w:lang w:val="en-US"/>
              </w:rPr>
              <w:t>Period</w:t>
            </w:r>
          </w:p>
        </w:tc>
        <w:tc>
          <w:tcPr>
            <w:tcW w:w="1620" w:type="dxa"/>
            <w:vAlign w:val="center"/>
            <w:hideMark/>
          </w:tcPr>
          <w:p w14:paraId="4E122D64" w14:textId="6BFE8AF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705903">
              <w:rPr>
                <w:b w:val="0"/>
                <w:bCs w:val="0"/>
                <w:i/>
                <w:iCs/>
                <w:sz w:val="18"/>
                <w:szCs w:val="18"/>
                <w:lang w:val="en-US"/>
              </w:rPr>
              <w:t>Timeline</w:t>
            </w:r>
          </w:p>
        </w:tc>
        <w:tc>
          <w:tcPr>
            <w:tcW w:w="912" w:type="dxa"/>
            <w:vAlign w:val="center"/>
            <w:hideMark/>
          </w:tcPr>
          <w:p w14:paraId="6072564B" w14:textId="7777777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α</w:t>
            </w:r>
          </w:p>
        </w:tc>
        <w:tc>
          <w:tcPr>
            <w:tcW w:w="913" w:type="dxa"/>
            <w:vAlign w:val="center"/>
            <w:hideMark/>
          </w:tcPr>
          <w:p w14:paraId="1D6554A3" w14:textId="7777777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p-value</w:t>
            </w:r>
          </w:p>
        </w:tc>
        <w:tc>
          <w:tcPr>
            <w:tcW w:w="913" w:type="dxa"/>
            <w:vAlign w:val="center"/>
            <w:hideMark/>
          </w:tcPr>
          <w:p w14:paraId="536CBF70" w14:textId="7777777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t-stat</w:t>
            </w:r>
          </w:p>
        </w:tc>
        <w:tc>
          <w:tcPr>
            <w:tcW w:w="913" w:type="dxa"/>
            <w:vAlign w:val="center"/>
            <w:hideMark/>
          </w:tcPr>
          <w:p w14:paraId="0DF91DCF" w14:textId="7777777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R²</w:t>
            </w:r>
          </w:p>
        </w:tc>
        <w:tc>
          <w:tcPr>
            <w:tcW w:w="913" w:type="dxa"/>
            <w:vAlign w:val="center"/>
            <w:hideMark/>
          </w:tcPr>
          <w:p w14:paraId="28F933D1" w14:textId="7777777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Annual Return (%)</w:t>
            </w:r>
          </w:p>
        </w:tc>
        <w:tc>
          <w:tcPr>
            <w:tcW w:w="913" w:type="dxa"/>
            <w:vAlign w:val="center"/>
            <w:hideMark/>
          </w:tcPr>
          <w:p w14:paraId="373650EF" w14:textId="7777777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Sharpe</w:t>
            </w:r>
          </w:p>
        </w:tc>
        <w:tc>
          <w:tcPr>
            <w:tcW w:w="913" w:type="dxa"/>
            <w:vAlign w:val="center"/>
            <w:hideMark/>
          </w:tcPr>
          <w:p w14:paraId="39CBB678" w14:textId="77777777" w:rsidR="00757905" w:rsidRPr="00705903" w:rsidRDefault="00757905"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Avg. Turnover</w:t>
            </w:r>
          </w:p>
        </w:tc>
      </w:tr>
      <w:tr w:rsidR="00757905" w:rsidRPr="00705903" w14:paraId="005DFC34" w14:textId="77777777" w:rsidTr="002552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bottom w:val="nil"/>
            </w:tcBorders>
            <w:vAlign w:val="center"/>
          </w:tcPr>
          <w:p w14:paraId="77BB7C9B" w14:textId="014AA89D" w:rsidR="00757905" w:rsidRPr="00705903" w:rsidRDefault="00757905" w:rsidP="0097761F">
            <w:pPr>
              <w:spacing w:line="259" w:lineRule="auto"/>
              <w:ind w:firstLine="0"/>
              <w:jc w:val="both"/>
              <w:rPr>
                <w:b w:val="0"/>
                <w:bCs w:val="0"/>
                <w:i/>
                <w:iCs/>
                <w:sz w:val="18"/>
                <w:szCs w:val="18"/>
                <w:lang w:val="en-US"/>
              </w:rPr>
            </w:pPr>
            <w:r w:rsidRPr="00705903">
              <w:rPr>
                <w:b w:val="0"/>
                <w:bCs w:val="0"/>
                <w:i/>
                <w:iCs/>
                <w:sz w:val="18"/>
                <w:szCs w:val="18"/>
              </w:rPr>
              <w:t xml:space="preserve">Pre-Crackdown </w:t>
            </w:r>
          </w:p>
        </w:tc>
        <w:tc>
          <w:tcPr>
            <w:tcW w:w="1620" w:type="dxa"/>
            <w:tcBorders>
              <w:bottom w:val="nil"/>
            </w:tcBorders>
            <w:vAlign w:val="center"/>
            <w:hideMark/>
          </w:tcPr>
          <w:p w14:paraId="1708747A" w14:textId="20444FF0"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b/>
                <w:bCs/>
                <w:i/>
                <w:iCs/>
                <w:sz w:val="18"/>
                <w:szCs w:val="18"/>
                <w:lang w:val="en-US"/>
              </w:rPr>
            </w:pPr>
            <w:r w:rsidRPr="00705903">
              <w:rPr>
                <w:i/>
                <w:iCs/>
                <w:sz w:val="18"/>
                <w:szCs w:val="18"/>
                <w:lang w:val="en-US"/>
              </w:rPr>
              <w:t>2018-08 – 2020-08</w:t>
            </w:r>
          </w:p>
        </w:tc>
        <w:tc>
          <w:tcPr>
            <w:tcW w:w="912" w:type="dxa"/>
            <w:tcBorders>
              <w:bottom w:val="nil"/>
            </w:tcBorders>
            <w:vAlign w:val="center"/>
            <w:hideMark/>
          </w:tcPr>
          <w:p w14:paraId="6ED2FCD2"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1.0362</w:t>
            </w:r>
          </w:p>
        </w:tc>
        <w:tc>
          <w:tcPr>
            <w:tcW w:w="913" w:type="dxa"/>
            <w:tcBorders>
              <w:bottom w:val="nil"/>
            </w:tcBorders>
            <w:vAlign w:val="center"/>
            <w:hideMark/>
          </w:tcPr>
          <w:p w14:paraId="2F39F9A1"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0.0000</w:t>
            </w:r>
          </w:p>
        </w:tc>
        <w:tc>
          <w:tcPr>
            <w:tcW w:w="913" w:type="dxa"/>
            <w:tcBorders>
              <w:bottom w:val="nil"/>
            </w:tcBorders>
            <w:vAlign w:val="center"/>
            <w:hideMark/>
          </w:tcPr>
          <w:p w14:paraId="5E2A5A59"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7.27</w:t>
            </w:r>
          </w:p>
        </w:tc>
        <w:tc>
          <w:tcPr>
            <w:tcW w:w="913" w:type="dxa"/>
            <w:tcBorders>
              <w:bottom w:val="nil"/>
            </w:tcBorders>
            <w:vAlign w:val="center"/>
            <w:hideMark/>
          </w:tcPr>
          <w:p w14:paraId="19D8DF67"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0.77</w:t>
            </w:r>
          </w:p>
        </w:tc>
        <w:tc>
          <w:tcPr>
            <w:tcW w:w="913" w:type="dxa"/>
            <w:tcBorders>
              <w:bottom w:val="nil"/>
            </w:tcBorders>
            <w:vAlign w:val="center"/>
            <w:hideMark/>
          </w:tcPr>
          <w:p w14:paraId="2FFF2871"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–9.99</w:t>
            </w:r>
          </w:p>
        </w:tc>
        <w:tc>
          <w:tcPr>
            <w:tcW w:w="913" w:type="dxa"/>
            <w:tcBorders>
              <w:bottom w:val="nil"/>
            </w:tcBorders>
            <w:vAlign w:val="center"/>
            <w:hideMark/>
          </w:tcPr>
          <w:p w14:paraId="48586EF5"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–0.88</w:t>
            </w:r>
          </w:p>
        </w:tc>
        <w:tc>
          <w:tcPr>
            <w:tcW w:w="913" w:type="dxa"/>
            <w:tcBorders>
              <w:bottom w:val="nil"/>
            </w:tcBorders>
            <w:vAlign w:val="center"/>
            <w:hideMark/>
          </w:tcPr>
          <w:p w14:paraId="03A587F9"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0.93</w:t>
            </w:r>
          </w:p>
        </w:tc>
      </w:tr>
      <w:tr w:rsidR="00757905" w:rsidRPr="00705903" w14:paraId="58BA38C2" w14:textId="77777777" w:rsidTr="00255287">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57905" w:rsidRPr="00705903" w14:paraId="28ED430F" w14:textId="77777777">
              <w:trPr>
                <w:tblCellSpacing w:w="15" w:type="dxa"/>
              </w:trPr>
              <w:tc>
                <w:tcPr>
                  <w:tcW w:w="36" w:type="dxa"/>
                  <w:vAlign w:val="center"/>
                  <w:hideMark/>
                </w:tcPr>
                <w:p w14:paraId="279F64DD" w14:textId="77777777" w:rsidR="00757905" w:rsidRPr="00705903" w:rsidRDefault="00757905" w:rsidP="0097761F">
                  <w:pPr>
                    <w:spacing w:line="259" w:lineRule="auto"/>
                    <w:ind w:firstLine="0"/>
                    <w:jc w:val="both"/>
                    <w:rPr>
                      <w:i/>
                      <w:iCs/>
                      <w:sz w:val="18"/>
                      <w:szCs w:val="18"/>
                      <w:lang w:val="en-US"/>
                    </w:rPr>
                  </w:pPr>
                </w:p>
              </w:tc>
            </w:tr>
          </w:tbl>
          <w:p w14:paraId="313268F2" w14:textId="77777777" w:rsidR="00757905" w:rsidRPr="00705903" w:rsidRDefault="00757905" w:rsidP="0097761F">
            <w:pPr>
              <w:spacing w:line="259" w:lineRule="auto"/>
              <w:ind w:firstLine="0"/>
              <w:jc w:val="both"/>
              <w:rPr>
                <w:b w:val="0"/>
                <w:bCs w:val="0"/>
                <w:i/>
                <w:iCs/>
                <w:vanish/>
                <w:sz w:val="18"/>
                <w:szCs w:val="1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7"/>
            </w:tblGrid>
            <w:tr w:rsidR="00757905" w:rsidRPr="00705903" w14:paraId="3596CFB1" w14:textId="77777777">
              <w:trPr>
                <w:tblCellSpacing w:w="15" w:type="dxa"/>
              </w:trPr>
              <w:tc>
                <w:tcPr>
                  <w:tcW w:w="3437" w:type="dxa"/>
                  <w:vAlign w:val="center"/>
                  <w:hideMark/>
                </w:tcPr>
                <w:p w14:paraId="75F0E53A" w14:textId="50C51630" w:rsidR="00757905" w:rsidRPr="00705903" w:rsidRDefault="00757905" w:rsidP="0097761F">
                  <w:pPr>
                    <w:spacing w:line="259" w:lineRule="auto"/>
                    <w:ind w:firstLine="0"/>
                    <w:jc w:val="both"/>
                    <w:rPr>
                      <w:i/>
                      <w:iCs/>
                      <w:sz w:val="18"/>
                      <w:szCs w:val="18"/>
                      <w:lang w:val="en-US"/>
                    </w:rPr>
                  </w:pPr>
                  <w:r w:rsidRPr="00705903">
                    <w:rPr>
                      <w:i/>
                      <w:iCs/>
                      <w:sz w:val="18"/>
                      <w:szCs w:val="18"/>
                      <w:lang w:val="en-US"/>
                    </w:rPr>
                    <w:t xml:space="preserve">Three Red Lines </w:t>
                  </w:r>
                </w:p>
              </w:tc>
            </w:tr>
          </w:tbl>
          <w:p w14:paraId="47866E45" w14:textId="77777777" w:rsidR="00757905" w:rsidRPr="00705903" w:rsidRDefault="00757905" w:rsidP="0097761F">
            <w:pPr>
              <w:spacing w:line="259" w:lineRule="auto"/>
              <w:ind w:firstLine="0"/>
              <w:jc w:val="both"/>
              <w:rPr>
                <w:b w:val="0"/>
                <w:bCs w:val="0"/>
                <w:i/>
                <w:iCs/>
                <w:sz w:val="18"/>
                <w:szCs w:val="18"/>
                <w:lang w:val="en-US"/>
              </w:rPr>
            </w:pPr>
          </w:p>
        </w:tc>
        <w:tc>
          <w:tcPr>
            <w:tcW w:w="1620" w:type="dxa"/>
            <w:tcBorders>
              <w:top w:val="nil"/>
              <w:bottom w:val="nil"/>
            </w:tcBorders>
            <w:vAlign w:val="center"/>
            <w:hideMark/>
          </w:tcPr>
          <w:p w14:paraId="30A118D4" w14:textId="6EA83F04"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b/>
                <w:bCs/>
                <w:i/>
                <w:iCs/>
                <w:sz w:val="18"/>
                <w:szCs w:val="18"/>
                <w:lang w:val="en-US"/>
              </w:rPr>
            </w:pPr>
            <w:r w:rsidRPr="00705903">
              <w:rPr>
                <w:i/>
                <w:iCs/>
                <w:sz w:val="18"/>
                <w:szCs w:val="18"/>
                <w:lang w:val="en-US"/>
              </w:rPr>
              <w:t>2020-08 – 2020-11</w:t>
            </w:r>
          </w:p>
        </w:tc>
        <w:tc>
          <w:tcPr>
            <w:tcW w:w="912" w:type="dxa"/>
            <w:tcBorders>
              <w:top w:val="nil"/>
              <w:bottom w:val="nil"/>
            </w:tcBorders>
            <w:vAlign w:val="center"/>
            <w:hideMark/>
          </w:tcPr>
          <w:p w14:paraId="1E24F9F7"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1.3007</w:t>
            </w:r>
          </w:p>
        </w:tc>
        <w:tc>
          <w:tcPr>
            <w:tcW w:w="913" w:type="dxa"/>
            <w:tcBorders>
              <w:top w:val="nil"/>
              <w:bottom w:val="nil"/>
            </w:tcBorders>
            <w:vAlign w:val="center"/>
            <w:hideMark/>
          </w:tcPr>
          <w:p w14:paraId="0B963DBE"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0.0000</w:t>
            </w:r>
          </w:p>
        </w:tc>
        <w:tc>
          <w:tcPr>
            <w:tcW w:w="913" w:type="dxa"/>
            <w:tcBorders>
              <w:top w:val="nil"/>
              <w:bottom w:val="nil"/>
            </w:tcBorders>
            <w:vAlign w:val="center"/>
            <w:hideMark/>
          </w:tcPr>
          <w:p w14:paraId="1DCB60AA"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6.91</w:t>
            </w:r>
          </w:p>
        </w:tc>
        <w:tc>
          <w:tcPr>
            <w:tcW w:w="913" w:type="dxa"/>
            <w:tcBorders>
              <w:top w:val="nil"/>
              <w:bottom w:val="nil"/>
            </w:tcBorders>
            <w:vAlign w:val="center"/>
            <w:hideMark/>
          </w:tcPr>
          <w:p w14:paraId="1E482DE8"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1.00</w:t>
            </w:r>
          </w:p>
        </w:tc>
        <w:tc>
          <w:tcPr>
            <w:tcW w:w="913" w:type="dxa"/>
            <w:tcBorders>
              <w:top w:val="nil"/>
              <w:bottom w:val="nil"/>
            </w:tcBorders>
            <w:vAlign w:val="center"/>
            <w:hideMark/>
          </w:tcPr>
          <w:p w14:paraId="5215D015"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14.48</w:t>
            </w:r>
          </w:p>
        </w:tc>
        <w:tc>
          <w:tcPr>
            <w:tcW w:w="913" w:type="dxa"/>
            <w:tcBorders>
              <w:top w:val="nil"/>
              <w:bottom w:val="nil"/>
            </w:tcBorders>
            <w:vAlign w:val="center"/>
            <w:hideMark/>
          </w:tcPr>
          <w:p w14:paraId="0E58F62E"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5.21</w:t>
            </w:r>
          </w:p>
        </w:tc>
        <w:tc>
          <w:tcPr>
            <w:tcW w:w="913" w:type="dxa"/>
            <w:tcBorders>
              <w:top w:val="nil"/>
              <w:bottom w:val="nil"/>
            </w:tcBorders>
            <w:vAlign w:val="center"/>
            <w:hideMark/>
          </w:tcPr>
          <w:p w14:paraId="05E90D91"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0.85</w:t>
            </w:r>
          </w:p>
        </w:tc>
      </w:tr>
      <w:tr w:rsidR="00757905" w:rsidRPr="00705903" w14:paraId="06AC667E" w14:textId="77777777" w:rsidTr="002552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57905" w:rsidRPr="00705903" w14:paraId="399C3C5E" w14:textId="77777777">
              <w:trPr>
                <w:tblCellSpacing w:w="15" w:type="dxa"/>
              </w:trPr>
              <w:tc>
                <w:tcPr>
                  <w:tcW w:w="36" w:type="dxa"/>
                  <w:vAlign w:val="center"/>
                  <w:hideMark/>
                </w:tcPr>
                <w:p w14:paraId="6BE48A58" w14:textId="77777777" w:rsidR="00757905" w:rsidRPr="00705903" w:rsidRDefault="00757905" w:rsidP="0097761F">
                  <w:pPr>
                    <w:spacing w:line="259" w:lineRule="auto"/>
                    <w:ind w:firstLine="0"/>
                    <w:jc w:val="both"/>
                    <w:rPr>
                      <w:i/>
                      <w:iCs/>
                      <w:sz w:val="18"/>
                      <w:szCs w:val="18"/>
                      <w:lang w:val="en-US"/>
                    </w:rPr>
                  </w:pPr>
                </w:p>
              </w:tc>
            </w:tr>
          </w:tbl>
          <w:p w14:paraId="39C4B94A" w14:textId="77777777" w:rsidR="00757905" w:rsidRPr="00705903" w:rsidRDefault="00757905" w:rsidP="0097761F">
            <w:pPr>
              <w:spacing w:line="259" w:lineRule="auto"/>
              <w:ind w:firstLine="0"/>
              <w:jc w:val="both"/>
              <w:rPr>
                <w:b w:val="0"/>
                <w:bCs w:val="0"/>
                <w:i/>
                <w:iCs/>
                <w:vanish/>
                <w:sz w:val="18"/>
                <w:szCs w:val="1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1"/>
            </w:tblGrid>
            <w:tr w:rsidR="00757905" w:rsidRPr="00705903" w14:paraId="20F20B75" w14:textId="77777777">
              <w:trPr>
                <w:tblCellSpacing w:w="15" w:type="dxa"/>
              </w:trPr>
              <w:tc>
                <w:tcPr>
                  <w:tcW w:w="4531" w:type="dxa"/>
                  <w:vAlign w:val="center"/>
                  <w:hideMark/>
                </w:tcPr>
                <w:p w14:paraId="4B052F3D" w14:textId="33F0FDC7" w:rsidR="00757905" w:rsidRPr="00705903" w:rsidRDefault="00757905" w:rsidP="0097761F">
                  <w:pPr>
                    <w:spacing w:line="259" w:lineRule="auto"/>
                    <w:ind w:firstLine="0"/>
                    <w:jc w:val="both"/>
                    <w:rPr>
                      <w:i/>
                      <w:iCs/>
                      <w:sz w:val="18"/>
                      <w:szCs w:val="18"/>
                      <w:lang w:val="en-US"/>
                    </w:rPr>
                  </w:pPr>
                  <w:r w:rsidRPr="00705903">
                    <w:rPr>
                      <w:i/>
                      <w:iCs/>
                      <w:sz w:val="18"/>
                      <w:szCs w:val="18"/>
                      <w:lang w:val="en-US"/>
                    </w:rPr>
                    <w:t>Credit Tightening</w:t>
                  </w:r>
                </w:p>
              </w:tc>
            </w:tr>
          </w:tbl>
          <w:p w14:paraId="5CFFE9A4" w14:textId="77777777" w:rsidR="00757905" w:rsidRPr="00705903" w:rsidRDefault="00757905" w:rsidP="0097761F">
            <w:pPr>
              <w:spacing w:line="259" w:lineRule="auto"/>
              <w:ind w:firstLine="0"/>
              <w:jc w:val="both"/>
              <w:rPr>
                <w:b w:val="0"/>
                <w:bCs w:val="0"/>
                <w:i/>
                <w:iCs/>
                <w:sz w:val="18"/>
                <w:szCs w:val="18"/>
                <w:lang w:val="en-US"/>
              </w:rPr>
            </w:pPr>
          </w:p>
        </w:tc>
        <w:tc>
          <w:tcPr>
            <w:tcW w:w="1620" w:type="dxa"/>
            <w:tcBorders>
              <w:top w:val="nil"/>
              <w:bottom w:val="nil"/>
            </w:tcBorders>
            <w:vAlign w:val="center"/>
            <w:hideMark/>
          </w:tcPr>
          <w:p w14:paraId="7B205672" w14:textId="0B41239D"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b/>
                <w:bCs/>
                <w:i/>
                <w:iCs/>
                <w:sz w:val="18"/>
                <w:szCs w:val="18"/>
                <w:lang w:val="en-US"/>
              </w:rPr>
            </w:pPr>
            <w:r w:rsidRPr="00705903">
              <w:rPr>
                <w:i/>
                <w:iCs/>
                <w:sz w:val="18"/>
                <w:szCs w:val="18"/>
                <w:lang w:val="en-US"/>
              </w:rPr>
              <w:t>2020-11 – 2021-06</w:t>
            </w:r>
          </w:p>
        </w:tc>
        <w:tc>
          <w:tcPr>
            <w:tcW w:w="912" w:type="dxa"/>
            <w:tcBorders>
              <w:top w:val="nil"/>
              <w:bottom w:val="nil"/>
            </w:tcBorders>
            <w:vAlign w:val="center"/>
            <w:hideMark/>
          </w:tcPr>
          <w:p w14:paraId="20991704"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–3.2020</w:t>
            </w:r>
          </w:p>
        </w:tc>
        <w:tc>
          <w:tcPr>
            <w:tcW w:w="913" w:type="dxa"/>
            <w:tcBorders>
              <w:top w:val="nil"/>
              <w:bottom w:val="nil"/>
            </w:tcBorders>
            <w:vAlign w:val="center"/>
            <w:hideMark/>
          </w:tcPr>
          <w:p w14:paraId="2C14AA41"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0.0000</w:t>
            </w:r>
          </w:p>
        </w:tc>
        <w:tc>
          <w:tcPr>
            <w:tcW w:w="913" w:type="dxa"/>
            <w:tcBorders>
              <w:top w:val="nil"/>
              <w:bottom w:val="nil"/>
            </w:tcBorders>
            <w:vAlign w:val="center"/>
            <w:hideMark/>
          </w:tcPr>
          <w:p w14:paraId="2FD44320"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–15.75</w:t>
            </w:r>
          </w:p>
        </w:tc>
        <w:tc>
          <w:tcPr>
            <w:tcW w:w="913" w:type="dxa"/>
            <w:tcBorders>
              <w:top w:val="nil"/>
              <w:bottom w:val="nil"/>
            </w:tcBorders>
            <w:vAlign w:val="center"/>
            <w:hideMark/>
          </w:tcPr>
          <w:p w14:paraId="7D1FEF59"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0.85</w:t>
            </w:r>
          </w:p>
        </w:tc>
        <w:tc>
          <w:tcPr>
            <w:tcW w:w="913" w:type="dxa"/>
            <w:tcBorders>
              <w:top w:val="nil"/>
              <w:bottom w:val="nil"/>
            </w:tcBorders>
            <w:vAlign w:val="center"/>
            <w:hideMark/>
          </w:tcPr>
          <w:p w14:paraId="4D2E2989"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–25.45</w:t>
            </w:r>
          </w:p>
        </w:tc>
        <w:tc>
          <w:tcPr>
            <w:tcW w:w="913" w:type="dxa"/>
            <w:tcBorders>
              <w:top w:val="nil"/>
              <w:bottom w:val="nil"/>
            </w:tcBorders>
            <w:vAlign w:val="center"/>
            <w:hideMark/>
          </w:tcPr>
          <w:p w14:paraId="2DF72E50"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–2.14</w:t>
            </w:r>
          </w:p>
        </w:tc>
        <w:tc>
          <w:tcPr>
            <w:tcW w:w="913" w:type="dxa"/>
            <w:tcBorders>
              <w:top w:val="nil"/>
              <w:bottom w:val="nil"/>
            </w:tcBorders>
            <w:vAlign w:val="center"/>
            <w:hideMark/>
          </w:tcPr>
          <w:p w14:paraId="7EB87D50"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0.90</w:t>
            </w:r>
          </w:p>
        </w:tc>
      </w:tr>
      <w:tr w:rsidR="00757905" w:rsidRPr="00705903" w14:paraId="13DFCD25" w14:textId="77777777" w:rsidTr="00255287">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vAlign w:val="center"/>
          </w:tcPr>
          <w:p w14:paraId="54F27535" w14:textId="1645AF85" w:rsidR="00757905" w:rsidRPr="00705903" w:rsidRDefault="00757905" w:rsidP="0097761F">
            <w:pPr>
              <w:spacing w:line="259" w:lineRule="auto"/>
              <w:ind w:firstLine="0"/>
              <w:jc w:val="both"/>
              <w:rPr>
                <w:b w:val="0"/>
                <w:bCs w:val="0"/>
                <w:i/>
                <w:iCs/>
                <w:sz w:val="18"/>
                <w:szCs w:val="18"/>
                <w:lang w:val="en-US"/>
              </w:rPr>
            </w:pPr>
            <w:r w:rsidRPr="00705903">
              <w:rPr>
                <w:b w:val="0"/>
                <w:bCs w:val="0"/>
                <w:i/>
                <w:iCs/>
                <w:sz w:val="18"/>
                <w:szCs w:val="18"/>
              </w:rPr>
              <w:t>Housing Market Downturn (Phase I)</w:t>
            </w:r>
          </w:p>
        </w:tc>
        <w:tc>
          <w:tcPr>
            <w:tcW w:w="1620" w:type="dxa"/>
            <w:tcBorders>
              <w:top w:val="nil"/>
              <w:bottom w:val="nil"/>
            </w:tcBorders>
            <w:vAlign w:val="center"/>
            <w:hideMark/>
          </w:tcPr>
          <w:p w14:paraId="1EE4B024" w14:textId="60B32DD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b/>
                <w:bCs/>
                <w:i/>
                <w:iCs/>
                <w:sz w:val="18"/>
                <w:szCs w:val="18"/>
                <w:lang w:val="en-US"/>
              </w:rPr>
            </w:pPr>
            <w:r w:rsidRPr="00705903">
              <w:rPr>
                <w:i/>
                <w:iCs/>
                <w:sz w:val="18"/>
                <w:szCs w:val="18"/>
                <w:lang w:val="en-US"/>
              </w:rPr>
              <w:t>2021-06 – 2021-12</w:t>
            </w:r>
          </w:p>
        </w:tc>
        <w:tc>
          <w:tcPr>
            <w:tcW w:w="912" w:type="dxa"/>
            <w:tcBorders>
              <w:top w:val="nil"/>
              <w:bottom w:val="nil"/>
            </w:tcBorders>
            <w:vAlign w:val="center"/>
            <w:hideMark/>
          </w:tcPr>
          <w:p w14:paraId="07EE1F52"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–1.3681</w:t>
            </w:r>
          </w:p>
        </w:tc>
        <w:tc>
          <w:tcPr>
            <w:tcW w:w="913" w:type="dxa"/>
            <w:tcBorders>
              <w:top w:val="nil"/>
              <w:bottom w:val="nil"/>
            </w:tcBorders>
            <w:vAlign w:val="center"/>
            <w:hideMark/>
          </w:tcPr>
          <w:p w14:paraId="55344EBA"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0.0000</w:t>
            </w:r>
          </w:p>
        </w:tc>
        <w:tc>
          <w:tcPr>
            <w:tcW w:w="913" w:type="dxa"/>
            <w:tcBorders>
              <w:top w:val="nil"/>
              <w:bottom w:val="nil"/>
            </w:tcBorders>
            <w:vAlign w:val="center"/>
            <w:hideMark/>
          </w:tcPr>
          <w:p w14:paraId="52BD096A"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–4.85</w:t>
            </w:r>
          </w:p>
        </w:tc>
        <w:tc>
          <w:tcPr>
            <w:tcW w:w="913" w:type="dxa"/>
            <w:tcBorders>
              <w:top w:val="nil"/>
              <w:bottom w:val="nil"/>
            </w:tcBorders>
            <w:vAlign w:val="center"/>
            <w:hideMark/>
          </w:tcPr>
          <w:p w14:paraId="391F0B2A"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0.86</w:t>
            </w:r>
          </w:p>
        </w:tc>
        <w:tc>
          <w:tcPr>
            <w:tcW w:w="913" w:type="dxa"/>
            <w:tcBorders>
              <w:top w:val="nil"/>
              <w:bottom w:val="nil"/>
            </w:tcBorders>
            <w:vAlign w:val="center"/>
            <w:hideMark/>
          </w:tcPr>
          <w:p w14:paraId="76FC140F"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–41.64</w:t>
            </w:r>
          </w:p>
        </w:tc>
        <w:tc>
          <w:tcPr>
            <w:tcW w:w="913" w:type="dxa"/>
            <w:tcBorders>
              <w:top w:val="nil"/>
              <w:bottom w:val="nil"/>
            </w:tcBorders>
            <w:vAlign w:val="center"/>
            <w:hideMark/>
          </w:tcPr>
          <w:p w14:paraId="253DD4E7"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–2.23</w:t>
            </w:r>
          </w:p>
        </w:tc>
        <w:tc>
          <w:tcPr>
            <w:tcW w:w="913" w:type="dxa"/>
            <w:tcBorders>
              <w:top w:val="nil"/>
              <w:bottom w:val="nil"/>
            </w:tcBorders>
            <w:vAlign w:val="center"/>
            <w:hideMark/>
          </w:tcPr>
          <w:p w14:paraId="501D6CB2"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0.95</w:t>
            </w:r>
          </w:p>
        </w:tc>
      </w:tr>
      <w:tr w:rsidR="00757905" w:rsidRPr="00705903" w14:paraId="3AD167E5" w14:textId="77777777" w:rsidTr="002552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vAlign w:val="center"/>
          </w:tcPr>
          <w:p w14:paraId="095BD9E8" w14:textId="209493EF" w:rsidR="00757905" w:rsidRPr="00705903" w:rsidRDefault="00757905" w:rsidP="0097761F">
            <w:pPr>
              <w:spacing w:line="259" w:lineRule="auto"/>
              <w:ind w:firstLine="0"/>
              <w:jc w:val="both"/>
              <w:rPr>
                <w:b w:val="0"/>
                <w:bCs w:val="0"/>
                <w:i/>
                <w:iCs/>
                <w:sz w:val="18"/>
                <w:szCs w:val="18"/>
                <w:lang w:val="en-US"/>
              </w:rPr>
            </w:pPr>
            <w:r w:rsidRPr="00705903">
              <w:rPr>
                <w:b w:val="0"/>
                <w:bCs w:val="0"/>
                <w:i/>
                <w:iCs/>
                <w:sz w:val="18"/>
                <w:szCs w:val="18"/>
              </w:rPr>
              <w:t>Housing Price Rebound (Short-lived)</w:t>
            </w:r>
          </w:p>
        </w:tc>
        <w:tc>
          <w:tcPr>
            <w:tcW w:w="1620" w:type="dxa"/>
            <w:tcBorders>
              <w:top w:val="nil"/>
              <w:bottom w:val="nil"/>
            </w:tcBorders>
            <w:vAlign w:val="center"/>
          </w:tcPr>
          <w:p w14:paraId="0BCDCE2D" w14:textId="748765DE"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i/>
                <w:iCs/>
                <w:sz w:val="18"/>
                <w:szCs w:val="18"/>
                <w:lang w:val="en-US"/>
              </w:rPr>
            </w:pPr>
            <w:r w:rsidRPr="00705903">
              <w:rPr>
                <w:i/>
                <w:iCs/>
                <w:sz w:val="18"/>
                <w:szCs w:val="18"/>
                <w:lang w:val="en-US"/>
              </w:rPr>
              <w:t>2021-12 – 2022-03</w:t>
            </w:r>
          </w:p>
        </w:tc>
        <w:tc>
          <w:tcPr>
            <w:tcW w:w="912" w:type="dxa"/>
            <w:tcBorders>
              <w:top w:val="nil"/>
              <w:bottom w:val="nil"/>
            </w:tcBorders>
            <w:vAlign w:val="center"/>
          </w:tcPr>
          <w:p w14:paraId="3A284CEA"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2.4435</w:t>
            </w:r>
          </w:p>
        </w:tc>
        <w:tc>
          <w:tcPr>
            <w:tcW w:w="913" w:type="dxa"/>
            <w:tcBorders>
              <w:top w:val="nil"/>
              <w:bottom w:val="nil"/>
            </w:tcBorders>
            <w:vAlign w:val="center"/>
          </w:tcPr>
          <w:p w14:paraId="371B7790"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0.0000</w:t>
            </w:r>
          </w:p>
        </w:tc>
        <w:tc>
          <w:tcPr>
            <w:tcW w:w="913" w:type="dxa"/>
            <w:tcBorders>
              <w:top w:val="nil"/>
              <w:bottom w:val="nil"/>
            </w:tcBorders>
            <w:vAlign w:val="center"/>
          </w:tcPr>
          <w:p w14:paraId="33C69EE3"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19.64</w:t>
            </w:r>
          </w:p>
        </w:tc>
        <w:tc>
          <w:tcPr>
            <w:tcW w:w="913" w:type="dxa"/>
            <w:tcBorders>
              <w:top w:val="nil"/>
              <w:bottom w:val="nil"/>
            </w:tcBorders>
            <w:vAlign w:val="center"/>
          </w:tcPr>
          <w:p w14:paraId="65CA408E"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1.00</w:t>
            </w:r>
          </w:p>
        </w:tc>
        <w:tc>
          <w:tcPr>
            <w:tcW w:w="913" w:type="dxa"/>
            <w:tcBorders>
              <w:top w:val="nil"/>
              <w:bottom w:val="nil"/>
            </w:tcBorders>
            <w:vAlign w:val="center"/>
          </w:tcPr>
          <w:p w14:paraId="1B1B7C7A"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27.80</w:t>
            </w:r>
          </w:p>
        </w:tc>
        <w:tc>
          <w:tcPr>
            <w:tcW w:w="913" w:type="dxa"/>
            <w:tcBorders>
              <w:top w:val="nil"/>
              <w:bottom w:val="nil"/>
            </w:tcBorders>
            <w:vAlign w:val="center"/>
          </w:tcPr>
          <w:p w14:paraId="27DFD6FD"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5.40</w:t>
            </w:r>
          </w:p>
        </w:tc>
        <w:tc>
          <w:tcPr>
            <w:tcW w:w="913" w:type="dxa"/>
            <w:tcBorders>
              <w:top w:val="nil"/>
              <w:bottom w:val="nil"/>
            </w:tcBorders>
            <w:vAlign w:val="center"/>
          </w:tcPr>
          <w:p w14:paraId="514763ED" w14:textId="77777777" w:rsidR="00757905" w:rsidRPr="00705903" w:rsidRDefault="00757905"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lang w:val="en-US"/>
              </w:rPr>
              <w:t>0.93</w:t>
            </w:r>
          </w:p>
        </w:tc>
      </w:tr>
      <w:tr w:rsidR="00757905" w:rsidRPr="00705903" w14:paraId="5FB43EC3" w14:textId="77777777" w:rsidTr="00255287">
        <w:tc>
          <w:tcPr>
            <w:cnfStyle w:val="001000000000" w:firstRow="0" w:lastRow="0" w:firstColumn="1" w:lastColumn="0" w:oddVBand="0" w:evenVBand="0" w:oddHBand="0" w:evenHBand="0" w:firstRowFirstColumn="0" w:firstRowLastColumn="0" w:lastRowFirstColumn="0" w:lastRowLastColumn="0"/>
            <w:tcW w:w="1350" w:type="dxa"/>
            <w:tcBorders>
              <w:top w:val="nil"/>
            </w:tcBorders>
            <w:vAlign w:val="center"/>
          </w:tcPr>
          <w:p w14:paraId="169DFD91" w14:textId="011D2D49" w:rsidR="00757905" w:rsidRPr="00705903" w:rsidRDefault="00757905" w:rsidP="0097761F">
            <w:pPr>
              <w:spacing w:line="259" w:lineRule="auto"/>
              <w:ind w:firstLine="0"/>
              <w:jc w:val="both"/>
              <w:rPr>
                <w:b w:val="0"/>
                <w:bCs w:val="0"/>
                <w:i/>
                <w:iCs/>
                <w:sz w:val="18"/>
                <w:szCs w:val="18"/>
                <w:lang w:val="en-US"/>
              </w:rPr>
            </w:pPr>
            <w:r w:rsidRPr="00705903">
              <w:rPr>
                <w:b w:val="0"/>
                <w:bCs w:val="0"/>
                <w:i/>
                <w:iCs/>
                <w:sz w:val="18"/>
                <w:szCs w:val="18"/>
              </w:rPr>
              <w:t>Housing Market Downturn (Phase II)</w:t>
            </w:r>
          </w:p>
        </w:tc>
        <w:tc>
          <w:tcPr>
            <w:tcW w:w="1620" w:type="dxa"/>
            <w:tcBorders>
              <w:top w:val="nil"/>
            </w:tcBorders>
            <w:vAlign w:val="center"/>
          </w:tcPr>
          <w:p w14:paraId="0E8B8C25" w14:textId="23C34E42"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i/>
                <w:iCs/>
                <w:sz w:val="18"/>
                <w:szCs w:val="18"/>
                <w:lang w:val="en-US"/>
              </w:rPr>
            </w:pPr>
            <w:r w:rsidRPr="00705903">
              <w:rPr>
                <w:i/>
                <w:iCs/>
                <w:sz w:val="18"/>
                <w:szCs w:val="18"/>
                <w:lang w:val="en-US"/>
              </w:rPr>
              <w:t>2022-03 – 2023-03</w:t>
            </w:r>
          </w:p>
        </w:tc>
        <w:tc>
          <w:tcPr>
            <w:tcW w:w="912" w:type="dxa"/>
            <w:tcBorders>
              <w:top w:val="nil"/>
            </w:tcBorders>
            <w:vAlign w:val="center"/>
          </w:tcPr>
          <w:p w14:paraId="0ADAA797"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–0.4711</w:t>
            </w:r>
          </w:p>
        </w:tc>
        <w:tc>
          <w:tcPr>
            <w:tcW w:w="913" w:type="dxa"/>
            <w:tcBorders>
              <w:top w:val="nil"/>
            </w:tcBorders>
            <w:vAlign w:val="center"/>
          </w:tcPr>
          <w:p w14:paraId="015C0EFF"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0.0000</w:t>
            </w:r>
          </w:p>
        </w:tc>
        <w:tc>
          <w:tcPr>
            <w:tcW w:w="913" w:type="dxa"/>
            <w:tcBorders>
              <w:top w:val="nil"/>
            </w:tcBorders>
            <w:vAlign w:val="center"/>
          </w:tcPr>
          <w:p w14:paraId="43B7F686"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–3.04</w:t>
            </w:r>
          </w:p>
        </w:tc>
        <w:tc>
          <w:tcPr>
            <w:tcW w:w="913" w:type="dxa"/>
            <w:tcBorders>
              <w:top w:val="nil"/>
            </w:tcBorders>
            <w:vAlign w:val="center"/>
          </w:tcPr>
          <w:p w14:paraId="03793AC4"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1.00</w:t>
            </w:r>
          </w:p>
        </w:tc>
        <w:tc>
          <w:tcPr>
            <w:tcW w:w="913" w:type="dxa"/>
            <w:tcBorders>
              <w:top w:val="nil"/>
            </w:tcBorders>
            <w:vAlign w:val="center"/>
          </w:tcPr>
          <w:p w14:paraId="5CD0261A"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–3.12</w:t>
            </w:r>
          </w:p>
        </w:tc>
        <w:tc>
          <w:tcPr>
            <w:tcW w:w="913" w:type="dxa"/>
            <w:tcBorders>
              <w:top w:val="nil"/>
            </w:tcBorders>
            <w:vAlign w:val="center"/>
          </w:tcPr>
          <w:p w14:paraId="5361AB6A"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–0.17</w:t>
            </w:r>
          </w:p>
        </w:tc>
        <w:tc>
          <w:tcPr>
            <w:tcW w:w="913" w:type="dxa"/>
            <w:tcBorders>
              <w:top w:val="nil"/>
            </w:tcBorders>
            <w:vAlign w:val="center"/>
          </w:tcPr>
          <w:p w14:paraId="64F9D6D9" w14:textId="77777777" w:rsidR="00757905" w:rsidRPr="00705903" w:rsidRDefault="00757905"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lang w:val="en-US"/>
              </w:rPr>
              <w:t>0.91</w:t>
            </w:r>
          </w:p>
        </w:tc>
      </w:tr>
    </w:tbl>
    <w:p w14:paraId="20D8A951" w14:textId="77777777" w:rsidR="00AB238E" w:rsidRPr="00705903" w:rsidRDefault="00AB238E" w:rsidP="0097761F">
      <w:pPr>
        <w:spacing w:line="259" w:lineRule="auto"/>
        <w:ind w:firstLine="0"/>
        <w:jc w:val="both"/>
        <w:rPr>
          <w:sz w:val="20"/>
          <w:szCs w:val="20"/>
        </w:rPr>
      </w:pPr>
    </w:p>
    <w:p w14:paraId="32E4402C" w14:textId="77777777" w:rsidR="00AB238E" w:rsidRPr="00705903" w:rsidRDefault="00AB238E" w:rsidP="0097761F">
      <w:pPr>
        <w:spacing w:after="160" w:line="259" w:lineRule="auto"/>
        <w:ind w:firstLine="0"/>
        <w:jc w:val="both"/>
        <w:rPr>
          <w:sz w:val="20"/>
          <w:szCs w:val="20"/>
        </w:rPr>
      </w:pPr>
      <w:r w:rsidRPr="00705903">
        <w:rPr>
          <w:sz w:val="20"/>
          <w:szCs w:val="20"/>
        </w:rPr>
        <w:br w:type="page"/>
      </w:r>
    </w:p>
    <w:p w14:paraId="797EB737" w14:textId="77777777" w:rsidR="00AB238E" w:rsidRPr="00705903" w:rsidRDefault="00AB238E" w:rsidP="0097761F">
      <w:pPr>
        <w:pStyle w:val="Heading1"/>
      </w:pPr>
      <w:r w:rsidRPr="00705903">
        <w:t>Table 31. Environmental (E) Factor Performance under Green Development and Carbon Neutrality Policies</w:t>
      </w:r>
    </w:p>
    <w:p w14:paraId="0D47B404" w14:textId="77777777" w:rsidR="00AB238E" w:rsidRPr="00705903" w:rsidRDefault="00AB238E" w:rsidP="0097761F">
      <w:pPr>
        <w:spacing w:line="259" w:lineRule="auto"/>
        <w:ind w:firstLine="0"/>
        <w:jc w:val="both"/>
        <w:rPr>
          <w:sz w:val="20"/>
          <w:szCs w:val="20"/>
          <w:lang w:val="en-US"/>
        </w:rPr>
      </w:pPr>
    </w:p>
    <w:p w14:paraId="12D1BAD3" w14:textId="058913D2" w:rsidR="00AB238E" w:rsidRPr="00705903" w:rsidRDefault="00AB238E" w:rsidP="0097761F">
      <w:pPr>
        <w:spacing w:line="259" w:lineRule="auto"/>
        <w:ind w:firstLine="0"/>
        <w:jc w:val="both"/>
        <w:rPr>
          <w:sz w:val="20"/>
          <w:szCs w:val="20"/>
          <w:lang w:val="en-US"/>
        </w:rPr>
      </w:pPr>
      <w:r w:rsidRPr="00705903">
        <w:rPr>
          <w:sz w:val="20"/>
          <w:szCs w:val="20"/>
          <w:lang w:val="en-US"/>
        </w:rPr>
        <w:t>This table reports the Fama–French five-factor regression results for the Environmental (E) High–Low (D10–D1) portfolio, segmented by major green development policy milestones in China from 2015 to 2022.</w:t>
      </w:r>
      <w:r w:rsidR="00654400" w:rsidRPr="00705903">
        <w:rPr>
          <w:sz w:val="20"/>
          <w:szCs w:val="20"/>
          <w:lang w:val="en-US" w:eastAsia="zh-CN"/>
        </w:rPr>
        <w:t xml:space="preserve"> </w:t>
      </w:r>
      <w:r w:rsidRPr="00705903">
        <w:rPr>
          <w:sz w:val="20"/>
          <w:szCs w:val="20"/>
          <w:lang w:val="en-US"/>
        </w:rPr>
        <w:t>Reported statistics include regression intercepts (α), p-values, t-statistics, R², and portfolio performance indicators (annualized return, volatility, Sharpe ratio, and turnover).</w:t>
      </w:r>
    </w:p>
    <w:p w14:paraId="12F8DB11" w14:textId="77777777" w:rsidR="00AB238E" w:rsidRPr="00705903" w:rsidRDefault="00AB238E" w:rsidP="0097761F">
      <w:pPr>
        <w:spacing w:line="259" w:lineRule="auto"/>
        <w:ind w:firstLine="0"/>
        <w:jc w:val="both"/>
        <w:rPr>
          <w:sz w:val="20"/>
          <w:szCs w:val="20"/>
          <w:lang w:val="en-US"/>
        </w:rPr>
      </w:pPr>
    </w:p>
    <w:p w14:paraId="53A512C1" w14:textId="30E8FC22" w:rsidR="007D5B67" w:rsidRPr="00705903" w:rsidRDefault="00AB238E" w:rsidP="0097761F">
      <w:pPr>
        <w:spacing w:line="259" w:lineRule="auto"/>
        <w:ind w:firstLine="0"/>
        <w:jc w:val="both"/>
        <w:rPr>
          <w:sz w:val="20"/>
          <w:szCs w:val="20"/>
        </w:rPr>
      </w:pPr>
      <w:r w:rsidRPr="00705903">
        <w:rPr>
          <w:sz w:val="20"/>
          <w:szCs w:val="20"/>
        </w:rPr>
        <w:t xml:space="preserve">The analysis aligns with China’s evolving green development and carbon neutrality policies from 2017 to 2022. Major milestones include the </w:t>
      </w:r>
      <w:r w:rsidRPr="00705903">
        <w:rPr>
          <w:i/>
          <w:iCs/>
          <w:sz w:val="20"/>
          <w:szCs w:val="20"/>
        </w:rPr>
        <w:t xml:space="preserve">19th National Congress </w:t>
      </w:r>
      <w:r w:rsidRPr="00705903">
        <w:rPr>
          <w:sz w:val="20"/>
          <w:szCs w:val="20"/>
        </w:rPr>
        <w:t>elevating ecological civilization to a national priority (Oct 2017)</w:t>
      </w:r>
      <w:r w:rsidR="007D5B67" w:rsidRPr="00705903">
        <w:rPr>
          <w:rStyle w:val="FootnoteReference"/>
          <w:sz w:val="20"/>
          <w:szCs w:val="20"/>
        </w:rPr>
        <w:footnoteReference w:id="34"/>
      </w:r>
      <w:r w:rsidRPr="00705903">
        <w:rPr>
          <w:sz w:val="20"/>
          <w:szCs w:val="20"/>
        </w:rPr>
        <w:t xml:space="preserve">, the </w:t>
      </w:r>
      <w:r w:rsidRPr="00705903">
        <w:rPr>
          <w:i/>
          <w:iCs/>
          <w:sz w:val="20"/>
          <w:szCs w:val="20"/>
        </w:rPr>
        <w:t xml:space="preserve">constitutional amendment </w:t>
      </w:r>
      <w:r w:rsidRPr="00705903">
        <w:rPr>
          <w:sz w:val="20"/>
          <w:szCs w:val="20"/>
        </w:rPr>
        <w:t>incorporating “ecological civilization” (Mar 2018)</w:t>
      </w:r>
      <w:r w:rsidR="007D5B67" w:rsidRPr="00705903">
        <w:rPr>
          <w:rStyle w:val="FootnoteReference"/>
          <w:sz w:val="20"/>
          <w:szCs w:val="20"/>
        </w:rPr>
        <w:footnoteReference w:id="35"/>
      </w:r>
      <w:r w:rsidRPr="00705903">
        <w:rPr>
          <w:sz w:val="20"/>
          <w:szCs w:val="20"/>
        </w:rPr>
        <w:t xml:space="preserve">, the </w:t>
      </w:r>
      <w:r w:rsidRPr="00705903">
        <w:rPr>
          <w:i/>
          <w:iCs/>
          <w:sz w:val="20"/>
          <w:szCs w:val="20"/>
        </w:rPr>
        <w:t>full phaseout of new energy vehicle (NEV) subsidies</w:t>
      </w:r>
      <w:r w:rsidRPr="00705903">
        <w:rPr>
          <w:sz w:val="20"/>
          <w:szCs w:val="20"/>
        </w:rPr>
        <w:t xml:space="preserve"> (Sept 2019), the </w:t>
      </w:r>
      <w:r w:rsidRPr="00705903">
        <w:rPr>
          <w:i/>
          <w:iCs/>
          <w:sz w:val="20"/>
          <w:szCs w:val="20"/>
        </w:rPr>
        <w:t>extension of NEV tax incentives and subsidies</w:t>
      </w:r>
      <w:r w:rsidRPr="00705903">
        <w:rPr>
          <w:sz w:val="20"/>
          <w:szCs w:val="20"/>
        </w:rPr>
        <w:t xml:space="preserve"> by the State Council (Mar 2020), </w:t>
      </w:r>
      <w:r w:rsidR="007D5B67" w:rsidRPr="00705903">
        <w:rPr>
          <w:rStyle w:val="FootnoteReference"/>
          <w:sz w:val="20"/>
          <w:szCs w:val="20"/>
        </w:rPr>
        <w:footnoteReference w:id="36"/>
      </w:r>
      <w:r w:rsidRPr="00705903">
        <w:rPr>
          <w:sz w:val="20"/>
          <w:szCs w:val="20"/>
        </w:rPr>
        <w:t xml:space="preserve">and President Xi’s announcement of the </w:t>
      </w:r>
      <w:r w:rsidRPr="00705903">
        <w:rPr>
          <w:i/>
          <w:iCs/>
          <w:sz w:val="20"/>
          <w:szCs w:val="20"/>
        </w:rPr>
        <w:t>“dual carbon” targets</w:t>
      </w:r>
      <w:r w:rsidRPr="00705903">
        <w:rPr>
          <w:sz w:val="20"/>
          <w:szCs w:val="20"/>
        </w:rPr>
        <w:t xml:space="preserve"> at the UN General Assembly (Sept 2020</w:t>
      </w:r>
      <w:r w:rsidR="00654400" w:rsidRPr="00705903">
        <w:rPr>
          <w:sz w:val="20"/>
          <w:szCs w:val="20"/>
          <w:lang w:eastAsia="zh-CN"/>
        </w:rPr>
        <w:t xml:space="preserve"> – Apr 2021</w:t>
      </w:r>
      <w:r w:rsidRPr="00705903">
        <w:rPr>
          <w:sz w:val="20"/>
          <w:szCs w:val="20"/>
        </w:rPr>
        <w:t xml:space="preserve">), </w:t>
      </w:r>
      <w:r w:rsidR="00555CF3" w:rsidRPr="00705903">
        <w:rPr>
          <w:rStyle w:val="FootnoteReference"/>
          <w:sz w:val="20"/>
          <w:szCs w:val="20"/>
        </w:rPr>
        <w:footnoteReference w:id="37"/>
      </w:r>
      <w:r w:rsidRPr="00705903">
        <w:rPr>
          <w:sz w:val="20"/>
          <w:szCs w:val="20"/>
        </w:rPr>
        <w:t>followed by nationwide implementation and planning efforts.</w:t>
      </w:r>
    </w:p>
    <w:p w14:paraId="3602FB04" w14:textId="77777777" w:rsidR="00AB238E" w:rsidRPr="00705903" w:rsidRDefault="00AB238E" w:rsidP="0097761F">
      <w:pPr>
        <w:spacing w:line="259" w:lineRule="auto"/>
        <w:ind w:firstLine="0"/>
        <w:jc w:val="both"/>
        <w:rPr>
          <w:sz w:val="20"/>
          <w:szCs w:val="20"/>
          <w:lang w:eastAsia="zh-CN"/>
        </w:rPr>
      </w:pPr>
    </w:p>
    <w:p w14:paraId="4BEA08FE" w14:textId="043A4092" w:rsidR="00AB238E" w:rsidRPr="00705903" w:rsidRDefault="004B3A5F" w:rsidP="0097761F">
      <w:pPr>
        <w:spacing w:line="259" w:lineRule="auto"/>
        <w:ind w:firstLine="0"/>
        <w:jc w:val="both"/>
        <w:rPr>
          <w:sz w:val="20"/>
          <w:szCs w:val="20"/>
        </w:rPr>
      </w:pPr>
      <w:r w:rsidRPr="00705903">
        <w:rPr>
          <w:sz w:val="20"/>
          <w:szCs w:val="20"/>
        </w:rPr>
        <w:t>Overall, the Environmental factor’s excess returns closely mirror China’s green policy cycle rather than reflecting a stable structural premium. Alphas become strongly positive during periods of major policy reinforcement, such as the 19th Party Congress (2017) and the dual-carbon announcement (2020), indicating sharp repricing of environmental leadership when state commitment intensifies. In contrast, the factor delivers insignificant or negative alphas during phases of policy withdrawal, regulatory fatigue, or transitional adjustment, including the late-cycle rectification period (2018–2019), the NEV sales decline phase (2019), and the post–dual-carbon stabilization phase (2021–2022). These alternating patterns confirm that the E-factor is policy-sensitive and cyclical: its abnormal returns expand when government support strengthens and contract when subsidy intensity, regulatory momentum, or implementation credibility weakens. Consequently, the pricing of environmental characteristics in China’s equity market depends critically on the direction, intensity, and timing of national green development policies, rather than on persistent risk compensation.</w:t>
      </w:r>
    </w:p>
    <w:p w14:paraId="2BC15C55" w14:textId="77777777" w:rsidR="004B3A5F" w:rsidRPr="00705903" w:rsidRDefault="004B3A5F" w:rsidP="0097761F">
      <w:pPr>
        <w:spacing w:line="259" w:lineRule="auto"/>
        <w:ind w:firstLine="0"/>
        <w:jc w:val="both"/>
        <w:rPr>
          <w:sz w:val="20"/>
          <w:szCs w:val="20"/>
        </w:rPr>
      </w:pPr>
    </w:p>
    <w:tbl>
      <w:tblPr>
        <w:tblStyle w:val="PlainTable2"/>
        <w:tblW w:w="9140" w:type="dxa"/>
        <w:tblLayout w:type="fixed"/>
        <w:tblLook w:val="04A0" w:firstRow="1" w:lastRow="0" w:firstColumn="1" w:lastColumn="0" w:noHBand="0" w:noVBand="1"/>
      </w:tblPr>
      <w:tblGrid>
        <w:gridCol w:w="1620"/>
        <w:gridCol w:w="1620"/>
        <w:gridCol w:w="882"/>
        <w:gridCol w:w="788"/>
        <w:gridCol w:w="787"/>
        <w:gridCol w:w="608"/>
        <w:gridCol w:w="990"/>
        <w:gridCol w:w="855"/>
        <w:gridCol w:w="990"/>
      </w:tblGrid>
      <w:tr w:rsidR="00654400" w:rsidRPr="00705903" w14:paraId="43C5F090" w14:textId="77777777" w:rsidTr="00654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47C9FA5B" w14:textId="2976B107" w:rsidR="00654400" w:rsidRPr="00705903" w:rsidRDefault="00654400" w:rsidP="0097761F">
            <w:pPr>
              <w:spacing w:line="259" w:lineRule="auto"/>
              <w:ind w:firstLine="0"/>
              <w:jc w:val="both"/>
              <w:rPr>
                <w:sz w:val="18"/>
                <w:szCs w:val="18"/>
                <w:lang w:val="en-US"/>
              </w:rPr>
            </w:pPr>
            <w:r w:rsidRPr="00705903">
              <w:rPr>
                <w:b w:val="0"/>
                <w:bCs w:val="0"/>
                <w:sz w:val="18"/>
                <w:szCs w:val="18"/>
                <w:lang w:val="en-US"/>
              </w:rPr>
              <w:t>Period</w:t>
            </w:r>
          </w:p>
        </w:tc>
        <w:tc>
          <w:tcPr>
            <w:tcW w:w="1620" w:type="dxa"/>
            <w:vAlign w:val="center"/>
            <w:hideMark/>
          </w:tcPr>
          <w:p w14:paraId="6C67C3E0" w14:textId="38A95C22" w:rsidR="00654400" w:rsidRPr="00705903" w:rsidRDefault="00654400"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sz w:val="18"/>
                <w:szCs w:val="18"/>
                <w:lang w:val="en-US"/>
              </w:rPr>
            </w:pPr>
            <w:r w:rsidRPr="00705903">
              <w:rPr>
                <w:b w:val="0"/>
                <w:bCs w:val="0"/>
                <w:i/>
                <w:iCs/>
                <w:sz w:val="18"/>
                <w:szCs w:val="18"/>
                <w:lang w:val="en-US"/>
              </w:rPr>
              <w:t>Timeline</w:t>
            </w:r>
          </w:p>
        </w:tc>
        <w:tc>
          <w:tcPr>
            <w:tcW w:w="882" w:type="dxa"/>
            <w:vAlign w:val="center"/>
            <w:hideMark/>
          </w:tcPr>
          <w:p w14:paraId="15D8576C" w14:textId="77777777" w:rsidR="00654400" w:rsidRPr="00705903" w:rsidRDefault="00654400"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α</w:t>
            </w:r>
          </w:p>
        </w:tc>
        <w:tc>
          <w:tcPr>
            <w:tcW w:w="788" w:type="dxa"/>
            <w:vAlign w:val="center"/>
            <w:hideMark/>
          </w:tcPr>
          <w:p w14:paraId="279E77A5" w14:textId="77777777" w:rsidR="00654400" w:rsidRPr="00705903" w:rsidRDefault="00654400"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p-value</w:t>
            </w:r>
          </w:p>
        </w:tc>
        <w:tc>
          <w:tcPr>
            <w:tcW w:w="787" w:type="dxa"/>
            <w:vAlign w:val="center"/>
            <w:hideMark/>
          </w:tcPr>
          <w:p w14:paraId="0560AB45" w14:textId="77777777" w:rsidR="00654400" w:rsidRPr="00705903" w:rsidRDefault="00654400"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t-stat</w:t>
            </w:r>
          </w:p>
        </w:tc>
        <w:tc>
          <w:tcPr>
            <w:tcW w:w="608" w:type="dxa"/>
            <w:vAlign w:val="center"/>
            <w:hideMark/>
          </w:tcPr>
          <w:p w14:paraId="68971DA0" w14:textId="77777777" w:rsidR="00654400" w:rsidRPr="00705903" w:rsidRDefault="00654400"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R²</w:t>
            </w:r>
          </w:p>
        </w:tc>
        <w:tc>
          <w:tcPr>
            <w:tcW w:w="990" w:type="dxa"/>
            <w:vAlign w:val="center"/>
            <w:hideMark/>
          </w:tcPr>
          <w:p w14:paraId="08587FBC" w14:textId="77777777" w:rsidR="00654400" w:rsidRPr="00705903" w:rsidRDefault="00654400"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Annual Return (%)</w:t>
            </w:r>
          </w:p>
        </w:tc>
        <w:tc>
          <w:tcPr>
            <w:tcW w:w="855" w:type="dxa"/>
            <w:vAlign w:val="center"/>
            <w:hideMark/>
          </w:tcPr>
          <w:p w14:paraId="2EC0D314" w14:textId="77777777" w:rsidR="00654400" w:rsidRPr="00705903" w:rsidRDefault="00654400"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Sharpe</w:t>
            </w:r>
          </w:p>
        </w:tc>
        <w:tc>
          <w:tcPr>
            <w:tcW w:w="990" w:type="dxa"/>
            <w:vAlign w:val="center"/>
            <w:hideMark/>
          </w:tcPr>
          <w:p w14:paraId="366E6282" w14:textId="77777777" w:rsidR="00654400" w:rsidRPr="00705903" w:rsidRDefault="00654400"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18"/>
                <w:szCs w:val="18"/>
                <w:lang w:val="en-US"/>
              </w:rPr>
            </w:pPr>
            <w:r w:rsidRPr="00705903">
              <w:rPr>
                <w:b w:val="0"/>
                <w:bCs w:val="0"/>
                <w:i/>
                <w:iCs/>
                <w:sz w:val="18"/>
                <w:szCs w:val="18"/>
                <w:lang w:val="en-US"/>
              </w:rPr>
              <w:t>Avg. Turnover</w:t>
            </w:r>
          </w:p>
        </w:tc>
      </w:tr>
      <w:tr w:rsidR="00654400" w:rsidRPr="00705903" w14:paraId="67F215B9" w14:textId="77777777" w:rsidTr="00654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Borders>
              <w:bottom w:val="nil"/>
            </w:tcBorders>
          </w:tcPr>
          <w:p w14:paraId="61E7F00A" w14:textId="68890F5B" w:rsidR="00654400" w:rsidRPr="00705903" w:rsidRDefault="00654400" w:rsidP="0097761F">
            <w:pPr>
              <w:spacing w:line="259" w:lineRule="auto"/>
              <w:ind w:firstLine="0"/>
              <w:jc w:val="both"/>
              <w:rPr>
                <w:i/>
                <w:iCs/>
                <w:sz w:val="18"/>
                <w:szCs w:val="18"/>
              </w:rPr>
            </w:pPr>
            <w:r w:rsidRPr="00705903">
              <w:rPr>
                <w:i/>
                <w:iCs/>
                <w:sz w:val="18"/>
                <w:szCs w:val="18"/>
              </w:rPr>
              <w:t>Baseline</w:t>
            </w:r>
          </w:p>
        </w:tc>
        <w:tc>
          <w:tcPr>
            <w:tcW w:w="1620" w:type="dxa"/>
            <w:tcBorders>
              <w:bottom w:val="nil"/>
            </w:tcBorders>
            <w:vAlign w:val="center"/>
            <w:hideMark/>
          </w:tcPr>
          <w:p w14:paraId="1BAAAE43" w14:textId="2A964529"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b/>
                <w:bCs/>
                <w:i/>
                <w:iCs/>
                <w:sz w:val="18"/>
                <w:szCs w:val="18"/>
                <w:lang w:val="en-US"/>
              </w:rPr>
            </w:pPr>
            <w:r w:rsidRPr="00705903">
              <w:rPr>
                <w:i/>
                <w:iCs/>
                <w:sz w:val="18"/>
                <w:szCs w:val="18"/>
              </w:rPr>
              <w:t>2015-10 – 2017-10</w:t>
            </w:r>
          </w:p>
        </w:tc>
        <w:tc>
          <w:tcPr>
            <w:tcW w:w="882" w:type="dxa"/>
            <w:tcBorders>
              <w:bottom w:val="nil"/>
            </w:tcBorders>
            <w:vAlign w:val="center"/>
            <w:hideMark/>
          </w:tcPr>
          <w:p w14:paraId="64C972FC"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0.4425</w:t>
            </w:r>
          </w:p>
        </w:tc>
        <w:tc>
          <w:tcPr>
            <w:tcW w:w="788" w:type="dxa"/>
            <w:tcBorders>
              <w:bottom w:val="nil"/>
            </w:tcBorders>
            <w:vAlign w:val="center"/>
            <w:hideMark/>
          </w:tcPr>
          <w:p w14:paraId="1F4D25F5"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0.162</w:t>
            </w:r>
          </w:p>
        </w:tc>
        <w:tc>
          <w:tcPr>
            <w:tcW w:w="787" w:type="dxa"/>
            <w:tcBorders>
              <w:bottom w:val="nil"/>
            </w:tcBorders>
            <w:vAlign w:val="center"/>
            <w:hideMark/>
          </w:tcPr>
          <w:p w14:paraId="6DB5FDDF"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1.40</w:t>
            </w:r>
          </w:p>
        </w:tc>
        <w:tc>
          <w:tcPr>
            <w:tcW w:w="608" w:type="dxa"/>
            <w:tcBorders>
              <w:bottom w:val="nil"/>
            </w:tcBorders>
            <w:vAlign w:val="center"/>
            <w:hideMark/>
          </w:tcPr>
          <w:p w14:paraId="79D933FE"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0.71</w:t>
            </w:r>
          </w:p>
        </w:tc>
        <w:tc>
          <w:tcPr>
            <w:tcW w:w="990" w:type="dxa"/>
            <w:tcBorders>
              <w:bottom w:val="nil"/>
            </w:tcBorders>
            <w:vAlign w:val="center"/>
            <w:hideMark/>
          </w:tcPr>
          <w:p w14:paraId="1CAC8B57"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0.92</w:t>
            </w:r>
          </w:p>
        </w:tc>
        <w:tc>
          <w:tcPr>
            <w:tcW w:w="855" w:type="dxa"/>
            <w:tcBorders>
              <w:bottom w:val="nil"/>
            </w:tcBorders>
            <w:vAlign w:val="center"/>
            <w:hideMark/>
          </w:tcPr>
          <w:p w14:paraId="62A66B3F"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0.10</w:t>
            </w:r>
          </w:p>
        </w:tc>
        <w:tc>
          <w:tcPr>
            <w:tcW w:w="990" w:type="dxa"/>
            <w:tcBorders>
              <w:bottom w:val="nil"/>
            </w:tcBorders>
            <w:vAlign w:val="center"/>
            <w:hideMark/>
          </w:tcPr>
          <w:p w14:paraId="256D2A07"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1.05</w:t>
            </w:r>
          </w:p>
        </w:tc>
      </w:tr>
      <w:tr w:rsidR="00654400" w:rsidRPr="00705903" w14:paraId="1A28319C" w14:textId="77777777" w:rsidTr="00654400">
        <w:tc>
          <w:tcPr>
            <w:cnfStyle w:val="001000000000" w:firstRow="0" w:lastRow="0" w:firstColumn="1" w:lastColumn="0" w:oddVBand="0" w:evenVBand="0" w:oddHBand="0" w:evenHBand="0" w:firstRowFirstColumn="0" w:firstRowLastColumn="0" w:lastRowFirstColumn="0" w:lastRowLastColumn="0"/>
            <w:tcW w:w="1620" w:type="dxa"/>
            <w:tcBorders>
              <w:top w:val="nil"/>
              <w:bottom w:val="nil"/>
            </w:tcBorders>
          </w:tcPr>
          <w:p w14:paraId="3B91BBBC" w14:textId="57A4CAF2" w:rsidR="00654400" w:rsidRPr="00705903" w:rsidRDefault="00654400" w:rsidP="0097761F">
            <w:pPr>
              <w:spacing w:line="259" w:lineRule="auto"/>
              <w:ind w:firstLine="0"/>
              <w:jc w:val="both"/>
              <w:rPr>
                <w:b w:val="0"/>
                <w:bCs w:val="0"/>
                <w:i/>
                <w:iCs/>
                <w:sz w:val="18"/>
                <w:szCs w:val="18"/>
              </w:rPr>
            </w:pPr>
            <w:r w:rsidRPr="00705903">
              <w:rPr>
                <w:b w:val="0"/>
                <w:bCs w:val="0"/>
                <w:i/>
                <w:iCs/>
                <w:sz w:val="18"/>
                <w:szCs w:val="18"/>
              </w:rPr>
              <w:t>Post-19th Party Congress Environmental Reinforcement</w:t>
            </w:r>
          </w:p>
        </w:tc>
        <w:tc>
          <w:tcPr>
            <w:tcW w:w="1620" w:type="dxa"/>
            <w:tcBorders>
              <w:top w:val="nil"/>
              <w:bottom w:val="nil"/>
            </w:tcBorders>
            <w:vAlign w:val="center"/>
            <w:hideMark/>
          </w:tcPr>
          <w:p w14:paraId="4D38497A" w14:textId="19F087AD"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i/>
                <w:iCs/>
                <w:sz w:val="18"/>
                <w:szCs w:val="18"/>
                <w:lang w:val="en-US"/>
              </w:rPr>
            </w:pPr>
            <w:r w:rsidRPr="00705903">
              <w:rPr>
                <w:i/>
                <w:iCs/>
                <w:sz w:val="18"/>
                <w:szCs w:val="18"/>
              </w:rPr>
              <w:t>2017-10 – 2018-03</w:t>
            </w:r>
          </w:p>
        </w:tc>
        <w:tc>
          <w:tcPr>
            <w:tcW w:w="882" w:type="dxa"/>
            <w:tcBorders>
              <w:top w:val="nil"/>
              <w:bottom w:val="nil"/>
            </w:tcBorders>
            <w:vAlign w:val="center"/>
            <w:hideMark/>
          </w:tcPr>
          <w:p w14:paraId="39009307"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5.9132</w:t>
            </w:r>
          </w:p>
        </w:tc>
        <w:tc>
          <w:tcPr>
            <w:tcW w:w="788" w:type="dxa"/>
            <w:tcBorders>
              <w:top w:val="nil"/>
              <w:bottom w:val="nil"/>
            </w:tcBorders>
            <w:vAlign w:val="center"/>
            <w:hideMark/>
          </w:tcPr>
          <w:p w14:paraId="661539D3"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0.000</w:t>
            </w:r>
          </w:p>
        </w:tc>
        <w:tc>
          <w:tcPr>
            <w:tcW w:w="787" w:type="dxa"/>
            <w:tcBorders>
              <w:top w:val="nil"/>
              <w:bottom w:val="nil"/>
            </w:tcBorders>
            <w:vAlign w:val="center"/>
            <w:hideMark/>
          </w:tcPr>
          <w:p w14:paraId="57583C07"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5.25</w:t>
            </w:r>
          </w:p>
        </w:tc>
        <w:tc>
          <w:tcPr>
            <w:tcW w:w="608" w:type="dxa"/>
            <w:tcBorders>
              <w:top w:val="nil"/>
              <w:bottom w:val="nil"/>
            </w:tcBorders>
            <w:vAlign w:val="center"/>
            <w:hideMark/>
          </w:tcPr>
          <w:p w14:paraId="6F03B35A"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1.00</w:t>
            </w:r>
          </w:p>
        </w:tc>
        <w:tc>
          <w:tcPr>
            <w:tcW w:w="990" w:type="dxa"/>
            <w:tcBorders>
              <w:top w:val="nil"/>
              <w:bottom w:val="nil"/>
            </w:tcBorders>
            <w:vAlign w:val="center"/>
            <w:hideMark/>
          </w:tcPr>
          <w:p w14:paraId="7C048997"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5.75</w:t>
            </w:r>
          </w:p>
        </w:tc>
        <w:tc>
          <w:tcPr>
            <w:tcW w:w="855" w:type="dxa"/>
            <w:tcBorders>
              <w:top w:val="nil"/>
              <w:bottom w:val="nil"/>
            </w:tcBorders>
            <w:vAlign w:val="center"/>
            <w:hideMark/>
          </w:tcPr>
          <w:p w14:paraId="2E453A19"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0.50</w:t>
            </w:r>
          </w:p>
        </w:tc>
        <w:tc>
          <w:tcPr>
            <w:tcW w:w="990" w:type="dxa"/>
            <w:tcBorders>
              <w:top w:val="nil"/>
              <w:bottom w:val="nil"/>
            </w:tcBorders>
            <w:vAlign w:val="center"/>
            <w:hideMark/>
          </w:tcPr>
          <w:p w14:paraId="30D29844"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1.03</w:t>
            </w:r>
          </w:p>
        </w:tc>
      </w:tr>
      <w:tr w:rsidR="00654400" w:rsidRPr="00705903" w14:paraId="6B1FC8BC" w14:textId="77777777" w:rsidTr="00654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Borders>
              <w:top w:val="nil"/>
              <w:bottom w:val="nil"/>
            </w:tcBorders>
          </w:tcPr>
          <w:p w14:paraId="6ED9EE18" w14:textId="07321BD6" w:rsidR="00654400" w:rsidRPr="00705903" w:rsidRDefault="00654400" w:rsidP="0097761F">
            <w:pPr>
              <w:spacing w:line="259" w:lineRule="auto"/>
              <w:ind w:firstLine="0"/>
              <w:jc w:val="both"/>
              <w:rPr>
                <w:b w:val="0"/>
                <w:bCs w:val="0"/>
                <w:i/>
                <w:iCs/>
                <w:sz w:val="18"/>
                <w:szCs w:val="18"/>
              </w:rPr>
            </w:pPr>
            <w:r w:rsidRPr="00705903">
              <w:rPr>
                <w:b w:val="0"/>
                <w:bCs w:val="0"/>
                <w:i/>
                <w:iCs/>
                <w:sz w:val="18"/>
                <w:szCs w:val="18"/>
              </w:rPr>
              <w:t>Post–First Plenary Session Regulatory Tightening</w:t>
            </w:r>
          </w:p>
        </w:tc>
        <w:tc>
          <w:tcPr>
            <w:tcW w:w="1620" w:type="dxa"/>
            <w:tcBorders>
              <w:top w:val="nil"/>
              <w:bottom w:val="nil"/>
            </w:tcBorders>
            <w:vAlign w:val="center"/>
            <w:hideMark/>
          </w:tcPr>
          <w:p w14:paraId="1303FD66" w14:textId="60DBE480"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i/>
                <w:iCs/>
                <w:sz w:val="18"/>
                <w:szCs w:val="18"/>
                <w:lang w:val="en-US"/>
              </w:rPr>
            </w:pPr>
            <w:r w:rsidRPr="00705903">
              <w:rPr>
                <w:i/>
                <w:iCs/>
                <w:sz w:val="18"/>
                <w:szCs w:val="18"/>
              </w:rPr>
              <w:t>2018-03 – 2018-10</w:t>
            </w:r>
          </w:p>
        </w:tc>
        <w:tc>
          <w:tcPr>
            <w:tcW w:w="882" w:type="dxa"/>
            <w:tcBorders>
              <w:top w:val="nil"/>
              <w:bottom w:val="nil"/>
            </w:tcBorders>
            <w:vAlign w:val="center"/>
            <w:hideMark/>
          </w:tcPr>
          <w:p w14:paraId="4025527D"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0.1597</w:t>
            </w:r>
          </w:p>
        </w:tc>
        <w:tc>
          <w:tcPr>
            <w:tcW w:w="788" w:type="dxa"/>
            <w:tcBorders>
              <w:top w:val="nil"/>
              <w:bottom w:val="nil"/>
            </w:tcBorders>
            <w:vAlign w:val="center"/>
            <w:hideMark/>
          </w:tcPr>
          <w:p w14:paraId="72DA6DC8"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0.000</w:t>
            </w:r>
          </w:p>
        </w:tc>
        <w:tc>
          <w:tcPr>
            <w:tcW w:w="787" w:type="dxa"/>
            <w:tcBorders>
              <w:top w:val="nil"/>
              <w:bottom w:val="nil"/>
            </w:tcBorders>
            <w:vAlign w:val="center"/>
            <w:hideMark/>
          </w:tcPr>
          <w:p w14:paraId="40B292D5"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4.73</w:t>
            </w:r>
          </w:p>
        </w:tc>
        <w:tc>
          <w:tcPr>
            <w:tcW w:w="608" w:type="dxa"/>
            <w:tcBorders>
              <w:top w:val="nil"/>
              <w:bottom w:val="nil"/>
            </w:tcBorders>
            <w:vAlign w:val="center"/>
            <w:hideMark/>
          </w:tcPr>
          <w:p w14:paraId="1DB7D4EA"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1.00</w:t>
            </w:r>
          </w:p>
        </w:tc>
        <w:tc>
          <w:tcPr>
            <w:tcW w:w="990" w:type="dxa"/>
            <w:tcBorders>
              <w:top w:val="nil"/>
              <w:bottom w:val="nil"/>
            </w:tcBorders>
            <w:vAlign w:val="center"/>
            <w:hideMark/>
          </w:tcPr>
          <w:p w14:paraId="306FDF30"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19.04</w:t>
            </w:r>
          </w:p>
        </w:tc>
        <w:tc>
          <w:tcPr>
            <w:tcW w:w="855" w:type="dxa"/>
            <w:tcBorders>
              <w:top w:val="nil"/>
              <w:bottom w:val="nil"/>
            </w:tcBorders>
            <w:vAlign w:val="center"/>
            <w:hideMark/>
          </w:tcPr>
          <w:p w14:paraId="6A77D71A"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2.77</w:t>
            </w:r>
          </w:p>
        </w:tc>
        <w:tc>
          <w:tcPr>
            <w:tcW w:w="990" w:type="dxa"/>
            <w:tcBorders>
              <w:top w:val="nil"/>
              <w:bottom w:val="nil"/>
            </w:tcBorders>
            <w:vAlign w:val="center"/>
            <w:hideMark/>
          </w:tcPr>
          <w:p w14:paraId="1283F377"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1.00</w:t>
            </w:r>
          </w:p>
        </w:tc>
      </w:tr>
      <w:tr w:rsidR="00654400" w:rsidRPr="00705903" w14:paraId="4BBAF97B" w14:textId="77777777" w:rsidTr="00654400">
        <w:tc>
          <w:tcPr>
            <w:cnfStyle w:val="001000000000" w:firstRow="0" w:lastRow="0" w:firstColumn="1" w:lastColumn="0" w:oddVBand="0" w:evenVBand="0" w:oddHBand="0" w:evenHBand="0" w:firstRowFirstColumn="0" w:firstRowLastColumn="0" w:lastRowFirstColumn="0" w:lastRowLastColumn="0"/>
            <w:tcW w:w="1620" w:type="dxa"/>
            <w:tcBorders>
              <w:top w:val="nil"/>
              <w:bottom w:val="nil"/>
            </w:tcBorders>
          </w:tcPr>
          <w:p w14:paraId="65A7D058" w14:textId="1490D88A" w:rsidR="00654400" w:rsidRPr="00705903" w:rsidRDefault="00654400" w:rsidP="0097761F">
            <w:pPr>
              <w:spacing w:line="259" w:lineRule="auto"/>
              <w:ind w:firstLine="0"/>
              <w:jc w:val="both"/>
              <w:rPr>
                <w:b w:val="0"/>
                <w:bCs w:val="0"/>
                <w:i/>
                <w:iCs/>
                <w:sz w:val="18"/>
                <w:szCs w:val="18"/>
              </w:rPr>
            </w:pPr>
            <w:r w:rsidRPr="00705903">
              <w:rPr>
                <w:b w:val="0"/>
                <w:bCs w:val="0"/>
                <w:i/>
                <w:iCs/>
                <w:sz w:val="18"/>
                <w:szCs w:val="18"/>
              </w:rPr>
              <w:t>Late-Cycle Environmental Rectification Phase</w:t>
            </w:r>
          </w:p>
        </w:tc>
        <w:tc>
          <w:tcPr>
            <w:tcW w:w="1620" w:type="dxa"/>
            <w:tcBorders>
              <w:top w:val="nil"/>
              <w:bottom w:val="nil"/>
            </w:tcBorders>
            <w:vAlign w:val="center"/>
          </w:tcPr>
          <w:p w14:paraId="3D64D074" w14:textId="399008A1"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i/>
                <w:iCs/>
                <w:sz w:val="18"/>
                <w:szCs w:val="18"/>
                <w:lang w:val="en-US"/>
              </w:rPr>
            </w:pPr>
            <w:r w:rsidRPr="00705903">
              <w:rPr>
                <w:i/>
                <w:iCs/>
                <w:sz w:val="18"/>
                <w:szCs w:val="18"/>
              </w:rPr>
              <w:t>2018-10 – 2019-09</w:t>
            </w:r>
          </w:p>
        </w:tc>
        <w:tc>
          <w:tcPr>
            <w:tcW w:w="882" w:type="dxa"/>
            <w:tcBorders>
              <w:top w:val="nil"/>
              <w:bottom w:val="nil"/>
            </w:tcBorders>
            <w:vAlign w:val="center"/>
          </w:tcPr>
          <w:p w14:paraId="438A6F26"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0.4582</w:t>
            </w:r>
          </w:p>
        </w:tc>
        <w:tc>
          <w:tcPr>
            <w:tcW w:w="788" w:type="dxa"/>
            <w:tcBorders>
              <w:top w:val="nil"/>
              <w:bottom w:val="nil"/>
            </w:tcBorders>
            <w:vAlign w:val="center"/>
          </w:tcPr>
          <w:p w14:paraId="30D6E10B"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0.380</w:t>
            </w:r>
          </w:p>
        </w:tc>
        <w:tc>
          <w:tcPr>
            <w:tcW w:w="787" w:type="dxa"/>
            <w:tcBorders>
              <w:top w:val="nil"/>
              <w:bottom w:val="nil"/>
            </w:tcBorders>
            <w:vAlign w:val="center"/>
          </w:tcPr>
          <w:p w14:paraId="3E842D7A"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0.88</w:t>
            </w:r>
          </w:p>
        </w:tc>
        <w:tc>
          <w:tcPr>
            <w:tcW w:w="608" w:type="dxa"/>
            <w:tcBorders>
              <w:top w:val="nil"/>
              <w:bottom w:val="nil"/>
            </w:tcBorders>
            <w:vAlign w:val="center"/>
          </w:tcPr>
          <w:p w14:paraId="6FD169EC"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0.47</w:t>
            </w:r>
          </w:p>
        </w:tc>
        <w:tc>
          <w:tcPr>
            <w:tcW w:w="990" w:type="dxa"/>
            <w:tcBorders>
              <w:top w:val="nil"/>
              <w:bottom w:val="nil"/>
            </w:tcBorders>
            <w:vAlign w:val="center"/>
          </w:tcPr>
          <w:p w14:paraId="4FD98350"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–4.05</w:t>
            </w:r>
          </w:p>
        </w:tc>
        <w:tc>
          <w:tcPr>
            <w:tcW w:w="855" w:type="dxa"/>
            <w:tcBorders>
              <w:top w:val="nil"/>
              <w:bottom w:val="nil"/>
            </w:tcBorders>
            <w:vAlign w:val="center"/>
          </w:tcPr>
          <w:p w14:paraId="25B79CC4"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–0.48</w:t>
            </w:r>
          </w:p>
        </w:tc>
        <w:tc>
          <w:tcPr>
            <w:tcW w:w="990" w:type="dxa"/>
            <w:tcBorders>
              <w:top w:val="nil"/>
              <w:bottom w:val="nil"/>
            </w:tcBorders>
            <w:vAlign w:val="center"/>
          </w:tcPr>
          <w:p w14:paraId="1005DB4E"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0.98</w:t>
            </w:r>
          </w:p>
        </w:tc>
      </w:tr>
      <w:tr w:rsidR="00654400" w:rsidRPr="00705903" w14:paraId="1FFFE0CD" w14:textId="77777777" w:rsidTr="00654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Borders>
              <w:top w:val="nil"/>
              <w:bottom w:val="nil"/>
            </w:tcBorders>
          </w:tcPr>
          <w:p w14:paraId="3765FF12" w14:textId="040E2CA7" w:rsidR="00654400" w:rsidRPr="00705903" w:rsidRDefault="00654400" w:rsidP="0097761F">
            <w:pPr>
              <w:spacing w:line="259" w:lineRule="auto"/>
              <w:ind w:firstLine="0"/>
              <w:jc w:val="both"/>
              <w:rPr>
                <w:b w:val="0"/>
                <w:bCs w:val="0"/>
                <w:i/>
                <w:iCs/>
                <w:sz w:val="18"/>
                <w:szCs w:val="18"/>
              </w:rPr>
            </w:pPr>
            <w:r w:rsidRPr="00705903">
              <w:rPr>
                <w:b w:val="0"/>
                <w:bCs w:val="0"/>
                <w:i/>
                <w:iCs/>
                <w:sz w:val="18"/>
                <w:szCs w:val="18"/>
              </w:rPr>
              <w:t>NEV (New Energy Vehicle) Sales Decline Phase</w:t>
            </w:r>
          </w:p>
        </w:tc>
        <w:tc>
          <w:tcPr>
            <w:tcW w:w="1620" w:type="dxa"/>
            <w:tcBorders>
              <w:top w:val="nil"/>
              <w:bottom w:val="nil"/>
            </w:tcBorders>
            <w:vAlign w:val="center"/>
          </w:tcPr>
          <w:p w14:paraId="5F01BBB9" w14:textId="71F0A139"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i/>
                <w:iCs/>
                <w:sz w:val="18"/>
                <w:szCs w:val="18"/>
                <w:lang w:val="en-US"/>
              </w:rPr>
            </w:pPr>
            <w:r w:rsidRPr="00705903">
              <w:rPr>
                <w:i/>
                <w:iCs/>
                <w:sz w:val="18"/>
                <w:szCs w:val="18"/>
              </w:rPr>
              <w:t>2019-09 – 2019-12</w:t>
            </w:r>
          </w:p>
        </w:tc>
        <w:tc>
          <w:tcPr>
            <w:tcW w:w="882" w:type="dxa"/>
            <w:tcBorders>
              <w:top w:val="nil"/>
              <w:bottom w:val="nil"/>
            </w:tcBorders>
            <w:vAlign w:val="center"/>
          </w:tcPr>
          <w:p w14:paraId="657E5BB5"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–0.5614</w:t>
            </w:r>
          </w:p>
        </w:tc>
        <w:tc>
          <w:tcPr>
            <w:tcW w:w="788" w:type="dxa"/>
            <w:tcBorders>
              <w:top w:val="nil"/>
              <w:bottom w:val="nil"/>
            </w:tcBorders>
            <w:vAlign w:val="center"/>
          </w:tcPr>
          <w:p w14:paraId="3B911A5A"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0.000</w:t>
            </w:r>
          </w:p>
        </w:tc>
        <w:tc>
          <w:tcPr>
            <w:tcW w:w="787" w:type="dxa"/>
            <w:tcBorders>
              <w:top w:val="nil"/>
              <w:bottom w:val="nil"/>
            </w:tcBorders>
            <w:vAlign w:val="center"/>
          </w:tcPr>
          <w:p w14:paraId="48ACC23D"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–4.58</w:t>
            </w:r>
          </w:p>
        </w:tc>
        <w:tc>
          <w:tcPr>
            <w:tcW w:w="608" w:type="dxa"/>
            <w:tcBorders>
              <w:top w:val="nil"/>
              <w:bottom w:val="nil"/>
            </w:tcBorders>
            <w:vAlign w:val="center"/>
          </w:tcPr>
          <w:p w14:paraId="26A48C4E"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1.00</w:t>
            </w:r>
          </w:p>
        </w:tc>
        <w:tc>
          <w:tcPr>
            <w:tcW w:w="990" w:type="dxa"/>
            <w:tcBorders>
              <w:top w:val="nil"/>
              <w:bottom w:val="nil"/>
            </w:tcBorders>
            <w:vAlign w:val="center"/>
          </w:tcPr>
          <w:p w14:paraId="11A766A1"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–9.56</w:t>
            </w:r>
          </w:p>
        </w:tc>
        <w:tc>
          <w:tcPr>
            <w:tcW w:w="855" w:type="dxa"/>
            <w:tcBorders>
              <w:top w:val="nil"/>
              <w:bottom w:val="nil"/>
            </w:tcBorders>
            <w:vAlign w:val="center"/>
          </w:tcPr>
          <w:p w14:paraId="7AEC7A8C"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–3.02</w:t>
            </w:r>
          </w:p>
        </w:tc>
        <w:tc>
          <w:tcPr>
            <w:tcW w:w="990" w:type="dxa"/>
            <w:tcBorders>
              <w:top w:val="nil"/>
              <w:bottom w:val="nil"/>
            </w:tcBorders>
            <w:vAlign w:val="center"/>
          </w:tcPr>
          <w:p w14:paraId="5D2643B2"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0.95</w:t>
            </w:r>
          </w:p>
        </w:tc>
      </w:tr>
      <w:tr w:rsidR="00654400" w:rsidRPr="00705903" w14:paraId="7ED553F4" w14:textId="77777777" w:rsidTr="00654400">
        <w:tc>
          <w:tcPr>
            <w:cnfStyle w:val="001000000000" w:firstRow="0" w:lastRow="0" w:firstColumn="1" w:lastColumn="0" w:oddVBand="0" w:evenVBand="0" w:oddHBand="0" w:evenHBand="0" w:firstRowFirstColumn="0" w:firstRowLastColumn="0" w:lastRowFirstColumn="0" w:lastRowLastColumn="0"/>
            <w:tcW w:w="1620" w:type="dxa"/>
            <w:tcBorders>
              <w:top w:val="nil"/>
              <w:bottom w:val="nil"/>
            </w:tcBorders>
          </w:tcPr>
          <w:p w14:paraId="482CD896" w14:textId="75ACC236" w:rsidR="00654400" w:rsidRPr="00705903" w:rsidRDefault="00654400" w:rsidP="0097761F">
            <w:pPr>
              <w:spacing w:line="259" w:lineRule="auto"/>
              <w:ind w:firstLine="0"/>
              <w:jc w:val="both"/>
              <w:rPr>
                <w:b w:val="0"/>
                <w:bCs w:val="0"/>
                <w:i/>
                <w:iCs/>
                <w:sz w:val="18"/>
                <w:szCs w:val="18"/>
              </w:rPr>
            </w:pPr>
            <w:r w:rsidRPr="00705903">
              <w:rPr>
                <w:b w:val="0"/>
                <w:bCs w:val="0"/>
                <w:i/>
                <w:iCs/>
                <w:sz w:val="18"/>
                <w:szCs w:val="18"/>
              </w:rPr>
              <w:t>Post-NEV Downturn Stabilization Phase</w:t>
            </w:r>
          </w:p>
        </w:tc>
        <w:tc>
          <w:tcPr>
            <w:tcW w:w="1620" w:type="dxa"/>
            <w:tcBorders>
              <w:top w:val="nil"/>
              <w:bottom w:val="nil"/>
            </w:tcBorders>
            <w:vAlign w:val="center"/>
          </w:tcPr>
          <w:p w14:paraId="365FE9D8" w14:textId="5EF716A6"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i/>
                <w:iCs/>
                <w:sz w:val="18"/>
                <w:szCs w:val="18"/>
                <w:lang w:val="en-US"/>
              </w:rPr>
            </w:pPr>
            <w:r w:rsidRPr="00705903">
              <w:rPr>
                <w:i/>
                <w:iCs/>
                <w:sz w:val="18"/>
                <w:szCs w:val="18"/>
              </w:rPr>
              <w:t>2019-12 – 2020-09</w:t>
            </w:r>
          </w:p>
        </w:tc>
        <w:tc>
          <w:tcPr>
            <w:tcW w:w="882" w:type="dxa"/>
            <w:tcBorders>
              <w:top w:val="nil"/>
              <w:bottom w:val="nil"/>
            </w:tcBorders>
            <w:vAlign w:val="center"/>
          </w:tcPr>
          <w:p w14:paraId="09AA200C"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0.1790</w:t>
            </w:r>
          </w:p>
        </w:tc>
        <w:tc>
          <w:tcPr>
            <w:tcW w:w="788" w:type="dxa"/>
            <w:tcBorders>
              <w:top w:val="nil"/>
              <w:bottom w:val="nil"/>
            </w:tcBorders>
            <w:vAlign w:val="center"/>
          </w:tcPr>
          <w:p w14:paraId="5E9C1040"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0.249</w:t>
            </w:r>
          </w:p>
        </w:tc>
        <w:tc>
          <w:tcPr>
            <w:tcW w:w="787" w:type="dxa"/>
            <w:tcBorders>
              <w:top w:val="nil"/>
              <w:bottom w:val="nil"/>
            </w:tcBorders>
            <w:vAlign w:val="center"/>
          </w:tcPr>
          <w:p w14:paraId="24284151"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1.15</w:t>
            </w:r>
          </w:p>
        </w:tc>
        <w:tc>
          <w:tcPr>
            <w:tcW w:w="608" w:type="dxa"/>
            <w:tcBorders>
              <w:top w:val="nil"/>
              <w:bottom w:val="nil"/>
            </w:tcBorders>
            <w:vAlign w:val="center"/>
          </w:tcPr>
          <w:p w14:paraId="375E80A4"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0.85</w:t>
            </w:r>
          </w:p>
        </w:tc>
        <w:tc>
          <w:tcPr>
            <w:tcW w:w="990" w:type="dxa"/>
            <w:tcBorders>
              <w:top w:val="nil"/>
              <w:bottom w:val="nil"/>
            </w:tcBorders>
            <w:vAlign w:val="center"/>
          </w:tcPr>
          <w:p w14:paraId="3F79E09B"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–6.33</w:t>
            </w:r>
          </w:p>
        </w:tc>
        <w:tc>
          <w:tcPr>
            <w:tcW w:w="855" w:type="dxa"/>
            <w:tcBorders>
              <w:top w:val="nil"/>
              <w:bottom w:val="nil"/>
            </w:tcBorders>
            <w:vAlign w:val="center"/>
          </w:tcPr>
          <w:p w14:paraId="41A43995"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–0.62</w:t>
            </w:r>
          </w:p>
        </w:tc>
        <w:tc>
          <w:tcPr>
            <w:tcW w:w="990" w:type="dxa"/>
            <w:tcBorders>
              <w:top w:val="nil"/>
              <w:bottom w:val="nil"/>
            </w:tcBorders>
            <w:vAlign w:val="center"/>
          </w:tcPr>
          <w:p w14:paraId="5441E404" w14:textId="77777777"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705903">
              <w:rPr>
                <w:sz w:val="18"/>
                <w:szCs w:val="18"/>
              </w:rPr>
              <w:t>0.90</w:t>
            </w:r>
          </w:p>
        </w:tc>
      </w:tr>
      <w:tr w:rsidR="00654400" w:rsidRPr="00705903" w14:paraId="41035DC4" w14:textId="77777777" w:rsidTr="00654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Borders>
              <w:top w:val="nil"/>
              <w:bottom w:val="nil"/>
            </w:tcBorders>
          </w:tcPr>
          <w:p w14:paraId="26988D95" w14:textId="2CA4CC70" w:rsidR="00654400" w:rsidRPr="00705903" w:rsidRDefault="00654400" w:rsidP="0097761F">
            <w:pPr>
              <w:spacing w:line="259" w:lineRule="auto"/>
              <w:ind w:firstLine="0"/>
              <w:jc w:val="both"/>
              <w:rPr>
                <w:b w:val="0"/>
                <w:bCs w:val="0"/>
                <w:i/>
                <w:iCs/>
                <w:sz w:val="18"/>
                <w:szCs w:val="18"/>
              </w:rPr>
            </w:pPr>
            <w:r w:rsidRPr="00705903">
              <w:rPr>
                <w:b w:val="0"/>
                <w:bCs w:val="0"/>
                <w:i/>
                <w:iCs/>
                <w:sz w:val="18"/>
                <w:szCs w:val="18"/>
              </w:rPr>
              <w:t>“Dual-Carbon Goals Announced”</w:t>
            </w:r>
          </w:p>
        </w:tc>
        <w:tc>
          <w:tcPr>
            <w:tcW w:w="1620" w:type="dxa"/>
            <w:tcBorders>
              <w:top w:val="nil"/>
              <w:bottom w:val="nil"/>
            </w:tcBorders>
            <w:vAlign w:val="center"/>
          </w:tcPr>
          <w:p w14:paraId="5902A410" w14:textId="7B7DDD1D"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i/>
                <w:iCs/>
                <w:sz w:val="18"/>
                <w:szCs w:val="18"/>
                <w:lang w:val="en-US"/>
              </w:rPr>
            </w:pPr>
            <w:r w:rsidRPr="00705903">
              <w:rPr>
                <w:i/>
                <w:iCs/>
                <w:sz w:val="18"/>
                <w:szCs w:val="18"/>
              </w:rPr>
              <w:t>2020-09 – 2021-04</w:t>
            </w:r>
          </w:p>
        </w:tc>
        <w:tc>
          <w:tcPr>
            <w:tcW w:w="882" w:type="dxa"/>
            <w:tcBorders>
              <w:top w:val="nil"/>
              <w:bottom w:val="nil"/>
            </w:tcBorders>
            <w:vAlign w:val="center"/>
          </w:tcPr>
          <w:p w14:paraId="643F0A34"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0.1097</w:t>
            </w:r>
          </w:p>
        </w:tc>
        <w:tc>
          <w:tcPr>
            <w:tcW w:w="788" w:type="dxa"/>
            <w:tcBorders>
              <w:top w:val="nil"/>
              <w:bottom w:val="nil"/>
            </w:tcBorders>
            <w:vAlign w:val="center"/>
          </w:tcPr>
          <w:p w14:paraId="6177472D"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0.000</w:t>
            </w:r>
          </w:p>
        </w:tc>
        <w:tc>
          <w:tcPr>
            <w:tcW w:w="787" w:type="dxa"/>
            <w:tcBorders>
              <w:top w:val="nil"/>
              <w:bottom w:val="nil"/>
            </w:tcBorders>
            <w:vAlign w:val="center"/>
          </w:tcPr>
          <w:p w14:paraId="37F284D5"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4.44</w:t>
            </w:r>
          </w:p>
        </w:tc>
        <w:tc>
          <w:tcPr>
            <w:tcW w:w="608" w:type="dxa"/>
            <w:tcBorders>
              <w:top w:val="nil"/>
              <w:bottom w:val="nil"/>
            </w:tcBorders>
            <w:vAlign w:val="center"/>
          </w:tcPr>
          <w:p w14:paraId="6DDEA00A"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1.00</w:t>
            </w:r>
          </w:p>
        </w:tc>
        <w:tc>
          <w:tcPr>
            <w:tcW w:w="990" w:type="dxa"/>
            <w:tcBorders>
              <w:top w:val="nil"/>
              <w:bottom w:val="nil"/>
            </w:tcBorders>
            <w:vAlign w:val="center"/>
          </w:tcPr>
          <w:p w14:paraId="10AE9679"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21.67</w:t>
            </w:r>
          </w:p>
        </w:tc>
        <w:tc>
          <w:tcPr>
            <w:tcW w:w="855" w:type="dxa"/>
            <w:tcBorders>
              <w:top w:val="nil"/>
              <w:bottom w:val="nil"/>
            </w:tcBorders>
            <w:vAlign w:val="center"/>
          </w:tcPr>
          <w:p w14:paraId="713F154E"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2.57</w:t>
            </w:r>
          </w:p>
        </w:tc>
        <w:tc>
          <w:tcPr>
            <w:tcW w:w="990" w:type="dxa"/>
            <w:tcBorders>
              <w:top w:val="nil"/>
              <w:bottom w:val="nil"/>
            </w:tcBorders>
            <w:vAlign w:val="center"/>
          </w:tcPr>
          <w:p w14:paraId="1C213538" w14:textId="77777777" w:rsidR="00654400" w:rsidRPr="00705903" w:rsidRDefault="00654400"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705903">
              <w:rPr>
                <w:sz w:val="18"/>
                <w:szCs w:val="18"/>
              </w:rPr>
              <w:t>0.90</w:t>
            </w:r>
          </w:p>
        </w:tc>
      </w:tr>
      <w:tr w:rsidR="00654400" w:rsidRPr="00705903" w14:paraId="54BD370C" w14:textId="77777777" w:rsidTr="00654400">
        <w:tc>
          <w:tcPr>
            <w:cnfStyle w:val="001000000000" w:firstRow="0" w:lastRow="0" w:firstColumn="1" w:lastColumn="0" w:oddVBand="0" w:evenVBand="0" w:oddHBand="0" w:evenHBand="0" w:firstRowFirstColumn="0" w:firstRowLastColumn="0" w:lastRowFirstColumn="0" w:lastRowLastColumn="0"/>
            <w:tcW w:w="1620" w:type="dxa"/>
            <w:tcBorders>
              <w:top w:val="nil"/>
            </w:tcBorders>
          </w:tcPr>
          <w:p w14:paraId="501F8E6C" w14:textId="1EC56D3D" w:rsidR="00654400" w:rsidRPr="00705903" w:rsidRDefault="00654400" w:rsidP="0097761F">
            <w:pPr>
              <w:spacing w:line="259" w:lineRule="auto"/>
              <w:ind w:firstLine="0"/>
              <w:jc w:val="both"/>
              <w:rPr>
                <w:b w:val="0"/>
                <w:bCs w:val="0"/>
                <w:i/>
                <w:iCs/>
                <w:sz w:val="18"/>
                <w:szCs w:val="18"/>
              </w:rPr>
            </w:pPr>
            <w:r w:rsidRPr="00705903">
              <w:rPr>
                <w:b w:val="0"/>
                <w:bCs w:val="0"/>
                <w:i/>
                <w:iCs/>
                <w:sz w:val="18"/>
                <w:szCs w:val="18"/>
              </w:rPr>
              <w:t>Stabilization Phase</w:t>
            </w:r>
          </w:p>
        </w:tc>
        <w:tc>
          <w:tcPr>
            <w:tcW w:w="1620" w:type="dxa"/>
            <w:tcBorders>
              <w:top w:val="nil"/>
            </w:tcBorders>
            <w:vAlign w:val="center"/>
          </w:tcPr>
          <w:p w14:paraId="3930F96D" w14:textId="457C6445"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i/>
                <w:iCs/>
                <w:sz w:val="18"/>
                <w:szCs w:val="18"/>
                <w:lang w:val="en-US"/>
              </w:rPr>
            </w:pPr>
            <w:r w:rsidRPr="00705903">
              <w:rPr>
                <w:i/>
                <w:iCs/>
                <w:sz w:val="18"/>
                <w:szCs w:val="18"/>
              </w:rPr>
              <w:t>2021-04 – 2022-11</w:t>
            </w:r>
          </w:p>
        </w:tc>
        <w:tc>
          <w:tcPr>
            <w:tcW w:w="882" w:type="dxa"/>
            <w:tcBorders>
              <w:top w:val="nil"/>
            </w:tcBorders>
            <w:vAlign w:val="center"/>
          </w:tcPr>
          <w:p w14:paraId="1F64B516" w14:textId="31C19676"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eastAsia="zh-CN"/>
              </w:rPr>
              <w:t>-0.4042</w:t>
            </w:r>
          </w:p>
        </w:tc>
        <w:tc>
          <w:tcPr>
            <w:tcW w:w="788" w:type="dxa"/>
            <w:tcBorders>
              <w:top w:val="nil"/>
            </w:tcBorders>
            <w:vAlign w:val="center"/>
          </w:tcPr>
          <w:p w14:paraId="7583D67E" w14:textId="1045231E"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rPr>
              <w:t>0.</w:t>
            </w:r>
            <w:r w:rsidRPr="00705903">
              <w:rPr>
                <w:sz w:val="18"/>
                <w:szCs w:val="18"/>
                <w:lang w:eastAsia="zh-CN"/>
              </w:rPr>
              <w:t>369</w:t>
            </w:r>
          </w:p>
        </w:tc>
        <w:tc>
          <w:tcPr>
            <w:tcW w:w="787" w:type="dxa"/>
            <w:tcBorders>
              <w:top w:val="nil"/>
            </w:tcBorders>
            <w:vAlign w:val="center"/>
          </w:tcPr>
          <w:p w14:paraId="5DC8A73E" w14:textId="6438F145"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lang w:eastAsia="zh-CN"/>
              </w:rPr>
              <w:t>-8.99</w:t>
            </w:r>
          </w:p>
        </w:tc>
        <w:tc>
          <w:tcPr>
            <w:tcW w:w="608" w:type="dxa"/>
            <w:tcBorders>
              <w:top w:val="nil"/>
            </w:tcBorders>
            <w:vAlign w:val="center"/>
          </w:tcPr>
          <w:p w14:paraId="75C4DEF2" w14:textId="778CD4AE"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rPr>
              <w:t>0.34</w:t>
            </w:r>
            <w:r w:rsidRPr="00705903">
              <w:rPr>
                <w:sz w:val="18"/>
                <w:szCs w:val="18"/>
                <w:lang w:eastAsia="zh-CN"/>
              </w:rPr>
              <w:t>3</w:t>
            </w:r>
          </w:p>
        </w:tc>
        <w:tc>
          <w:tcPr>
            <w:tcW w:w="990" w:type="dxa"/>
            <w:tcBorders>
              <w:top w:val="nil"/>
            </w:tcBorders>
            <w:vAlign w:val="center"/>
          </w:tcPr>
          <w:p w14:paraId="1CA9D98F" w14:textId="2EEB3991"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rPr>
              <w:t>–</w:t>
            </w:r>
            <w:r w:rsidRPr="00705903">
              <w:rPr>
                <w:sz w:val="18"/>
                <w:szCs w:val="18"/>
                <w:lang w:eastAsia="zh-CN"/>
              </w:rPr>
              <w:t>9.69</w:t>
            </w:r>
          </w:p>
        </w:tc>
        <w:tc>
          <w:tcPr>
            <w:tcW w:w="855" w:type="dxa"/>
            <w:tcBorders>
              <w:top w:val="nil"/>
            </w:tcBorders>
            <w:vAlign w:val="center"/>
          </w:tcPr>
          <w:p w14:paraId="58B3DA55" w14:textId="6C743666"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rPr>
              <w:t>–</w:t>
            </w:r>
            <w:r w:rsidRPr="00705903">
              <w:rPr>
                <w:sz w:val="18"/>
                <w:szCs w:val="18"/>
                <w:lang w:eastAsia="zh-CN"/>
              </w:rPr>
              <w:t>1.38</w:t>
            </w:r>
          </w:p>
        </w:tc>
        <w:tc>
          <w:tcPr>
            <w:tcW w:w="990" w:type="dxa"/>
            <w:tcBorders>
              <w:top w:val="nil"/>
            </w:tcBorders>
            <w:vAlign w:val="center"/>
          </w:tcPr>
          <w:p w14:paraId="06CBD529" w14:textId="61E59C74" w:rsidR="00654400" w:rsidRPr="00705903" w:rsidRDefault="00654400"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18"/>
                <w:szCs w:val="18"/>
                <w:lang w:val="en-US" w:eastAsia="zh-CN"/>
              </w:rPr>
            </w:pPr>
            <w:r w:rsidRPr="00705903">
              <w:rPr>
                <w:sz w:val="18"/>
                <w:szCs w:val="18"/>
              </w:rPr>
              <w:t>0.9</w:t>
            </w:r>
            <w:r w:rsidRPr="00705903">
              <w:rPr>
                <w:sz w:val="18"/>
                <w:szCs w:val="18"/>
                <w:lang w:eastAsia="zh-CN"/>
              </w:rPr>
              <w:t>3</w:t>
            </w:r>
          </w:p>
        </w:tc>
      </w:tr>
    </w:tbl>
    <w:p w14:paraId="239024F2" w14:textId="77777777" w:rsidR="00AB238E" w:rsidRPr="00705903" w:rsidRDefault="00AB238E" w:rsidP="0097761F">
      <w:pPr>
        <w:spacing w:line="259" w:lineRule="auto"/>
        <w:ind w:firstLine="0"/>
        <w:jc w:val="both"/>
        <w:rPr>
          <w:sz w:val="20"/>
          <w:szCs w:val="20"/>
        </w:rPr>
      </w:pPr>
    </w:p>
    <w:p w14:paraId="4B005AFA" w14:textId="77777777" w:rsidR="00AB238E" w:rsidRPr="00705903" w:rsidRDefault="00AB238E" w:rsidP="0097761F">
      <w:pPr>
        <w:spacing w:after="160" w:line="259" w:lineRule="auto"/>
        <w:ind w:firstLine="0"/>
        <w:jc w:val="both"/>
        <w:rPr>
          <w:sz w:val="20"/>
          <w:szCs w:val="20"/>
          <w:lang w:val="en-US"/>
        </w:rPr>
      </w:pPr>
      <w:r w:rsidRPr="00705903">
        <w:rPr>
          <w:sz w:val="20"/>
          <w:szCs w:val="20"/>
          <w:lang w:val="en-US"/>
        </w:rPr>
        <w:br w:type="page"/>
      </w:r>
    </w:p>
    <w:bookmarkEnd w:id="11"/>
    <w:p w14:paraId="67AF0FD8" w14:textId="77777777" w:rsidR="00AB238E" w:rsidRPr="00705903" w:rsidRDefault="00AB238E" w:rsidP="0097761F">
      <w:pPr>
        <w:pStyle w:val="Heading1"/>
      </w:pPr>
      <w:r w:rsidRPr="00705903">
        <w:t>Table 32. Calendar-Time Portfolio Regression Results for ESG Event Types</w:t>
      </w:r>
    </w:p>
    <w:p w14:paraId="41FFC84E" w14:textId="77777777" w:rsidR="00AB238E" w:rsidRPr="00705903" w:rsidRDefault="00AB238E" w:rsidP="0097761F">
      <w:pPr>
        <w:spacing w:line="259" w:lineRule="auto"/>
        <w:ind w:firstLine="0"/>
        <w:jc w:val="both"/>
        <w:rPr>
          <w:sz w:val="20"/>
          <w:szCs w:val="20"/>
          <w:lang w:val="en-US"/>
        </w:rPr>
      </w:pPr>
    </w:p>
    <w:p w14:paraId="0CB43553" w14:textId="77777777" w:rsidR="00AB238E" w:rsidRPr="00705903" w:rsidRDefault="00AB238E" w:rsidP="0097761F">
      <w:pPr>
        <w:spacing w:line="259" w:lineRule="auto"/>
        <w:ind w:firstLine="0"/>
        <w:jc w:val="both"/>
        <w:rPr>
          <w:sz w:val="20"/>
          <w:szCs w:val="20"/>
          <w:lang w:val="en-US"/>
        </w:rPr>
      </w:pPr>
      <w:r w:rsidRPr="00705903">
        <w:rPr>
          <w:sz w:val="20"/>
          <w:szCs w:val="20"/>
          <w:lang w:val="en-US"/>
        </w:rPr>
        <w:t>This table reports the results of monthly calendar-time portfolio regressions for ESG-related events (initiation, upgrade, and downgrade) from 2007 to 2022.</w:t>
      </w:r>
      <w:r w:rsidRPr="00705903">
        <w:rPr>
          <w:sz w:val="20"/>
          <w:szCs w:val="20"/>
          <w:lang w:val="en-US" w:eastAsia="zh-CN"/>
        </w:rPr>
        <w:t xml:space="preserve"> </w:t>
      </w:r>
      <w:r w:rsidRPr="00705903">
        <w:rPr>
          <w:sz w:val="20"/>
          <w:szCs w:val="20"/>
          <w:lang w:val="en-US"/>
        </w:rPr>
        <w:t xml:space="preserve">Each event type forms a time-series portfolio based on firms experiencing the respective ESG event </w:t>
      </w:r>
      <w:proofErr w:type="gramStart"/>
      <w:r w:rsidRPr="00705903">
        <w:rPr>
          <w:sz w:val="20"/>
          <w:szCs w:val="20"/>
          <w:lang w:val="en-US"/>
        </w:rPr>
        <w:t>in a given</w:t>
      </w:r>
      <w:proofErr w:type="gramEnd"/>
      <w:r w:rsidRPr="00705903">
        <w:rPr>
          <w:sz w:val="20"/>
          <w:szCs w:val="20"/>
          <w:lang w:val="en-US"/>
        </w:rPr>
        <w:t xml:space="preserve"> month,</w:t>
      </w:r>
      <w:r w:rsidRPr="00705903">
        <w:rPr>
          <w:sz w:val="20"/>
          <w:szCs w:val="20"/>
          <w:lang w:val="en-US" w:eastAsia="zh-CN"/>
        </w:rPr>
        <w:t xml:space="preserve"> </w:t>
      </w:r>
      <w:r w:rsidRPr="00705903">
        <w:rPr>
          <w:sz w:val="20"/>
          <w:szCs w:val="20"/>
          <w:lang w:val="en-US"/>
        </w:rPr>
        <w:t>and the portfolio’s subsequent excess returns are regressed on the Fama–French five factors.</w:t>
      </w:r>
      <w:r w:rsidRPr="00705903">
        <w:rPr>
          <w:sz w:val="20"/>
          <w:szCs w:val="20"/>
          <w:lang w:val="en-US" w:eastAsia="zh-CN"/>
        </w:rPr>
        <w:t xml:space="preserve"> </w:t>
      </w:r>
      <w:r w:rsidRPr="00705903">
        <w:rPr>
          <w:sz w:val="20"/>
          <w:szCs w:val="20"/>
          <w:lang w:val="en-US"/>
        </w:rPr>
        <w:t>Reported α coefficients represent monthly abnormal returns (in percent) adjusted using Newey–West standard errors with 12 lags.</w:t>
      </w:r>
    </w:p>
    <w:p w14:paraId="786E7496" w14:textId="77777777" w:rsidR="00AB238E" w:rsidRPr="00705903" w:rsidRDefault="00AB238E" w:rsidP="0097761F">
      <w:pPr>
        <w:spacing w:line="259" w:lineRule="auto"/>
        <w:ind w:firstLine="0"/>
        <w:jc w:val="both"/>
        <w:rPr>
          <w:sz w:val="20"/>
          <w:szCs w:val="20"/>
          <w:lang w:val="en-US"/>
        </w:rPr>
      </w:pPr>
    </w:p>
    <w:p w14:paraId="407B8A9D" w14:textId="77777777" w:rsidR="00AB238E" w:rsidRPr="00705903" w:rsidRDefault="00AB238E" w:rsidP="0097761F">
      <w:pPr>
        <w:spacing w:line="259" w:lineRule="auto"/>
        <w:ind w:firstLine="0"/>
        <w:jc w:val="both"/>
        <w:rPr>
          <w:sz w:val="20"/>
          <w:szCs w:val="20"/>
          <w:lang w:val="en-US" w:eastAsia="zh-CN"/>
        </w:rPr>
      </w:pPr>
      <w:r w:rsidRPr="00705903">
        <w:rPr>
          <w:sz w:val="20"/>
          <w:szCs w:val="20"/>
          <w:lang w:val="en-US"/>
        </w:rPr>
        <w:t>Initiation events exhibit the strongest positive and significant abnormal return, suggesting that the market interprets first-time ESG coverage as a favorable and value-relevant signal.</w:t>
      </w:r>
      <w:r w:rsidRPr="00705903">
        <w:rPr>
          <w:sz w:val="20"/>
          <w:szCs w:val="20"/>
          <w:lang w:val="en-US" w:eastAsia="zh-CN"/>
        </w:rPr>
        <w:t xml:space="preserve"> </w:t>
      </w:r>
      <w:r w:rsidRPr="00705903">
        <w:rPr>
          <w:sz w:val="20"/>
          <w:szCs w:val="20"/>
          <w:lang w:val="en-US"/>
        </w:rPr>
        <w:t>Both upgrades and downgrades show smaller yet still positive α values, indicating limited market sensitivity to minor ESG score revisions—possibly due to the high overall quality of rated firms or the reputational inertia of ESG classifications.</w:t>
      </w:r>
    </w:p>
    <w:p w14:paraId="5E818712" w14:textId="77777777" w:rsidR="00AB238E" w:rsidRPr="00705903" w:rsidRDefault="00AB238E" w:rsidP="0097761F">
      <w:pPr>
        <w:spacing w:line="259" w:lineRule="auto"/>
        <w:ind w:firstLine="0"/>
        <w:jc w:val="both"/>
        <w:rPr>
          <w:sz w:val="20"/>
          <w:szCs w:val="20"/>
          <w:lang w:val="en-US"/>
        </w:rPr>
      </w:pPr>
    </w:p>
    <w:p w14:paraId="2A2795CE" w14:textId="77777777" w:rsidR="00AB238E" w:rsidRPr="00705903" w:rsidRDefault="00AB238E" w:rsidP="0097761F">
      <w:pPr>
        <w:spacing w:line="259" w:lineRule="auto"/>
        <w:ind w:firstLine="0"/>
        <w:jc w:val="both"/>
        <w:rPr>
          <w:sz w:val="20"/>
          <w:szCs w:val="20"/>
          <w:lang w:val="en-US"/>
        </w:rPr>
      </w:pPr>
      <m:oMath>
        <m:r>
          <w:rPr>
            <w:rFonts w:ascii="Cambria Math" w:hAnsi="Cambria Math"/>
            <w:sz w:val="20"/>
            <w:szCs w:val="20"/>
          </w:rPr>
          <m:t>α</m:t>
        </m:r>
      </m:oMath>
      <w:r w:rsidRPr="00705903">
        <w:rPr>
          <w:sz w:val="20"/>
          <w:szCs w:val="20"/>
        </w:rPr>
        <w:t xml:space="preserve"> denotes the intercept (monthly abnormal return) relative to Fama–French five factors.</w:t>
      </w:r>
      <w:r w:rsidRPr="00705903">
        <w:rPr>
          <w:sz w:val="20"/>
          <w:szCs w:val="20"/>
          <w:lang w:eastAsia="zh-CN"/>
        </w:rPr>
        <w:t xml:space="preserve"> </w:t>
      </w:r>
      <w:r w:rsidRPr="00705903">
        <w:rPr>
          <w:sz w:val="20"/>
          <w:szCs w:val="20"/>
        </w:rPr>
        <w:t>Initiation effects are both statistically and economically larger than other event types, consistent with the hypothesis that initial ESG recognition carries higher informational content than subsequent revisions.</w:t>
      </w:r>
    </w:p>
    <w:p w14:paraId="4BAAD8A0" w14:textId="77777777" w:rsidR="00AB238E" w:rsidRPr="00705903" w:rsidRDefault="00AB238E" w:rsidP="0097761F">
      <w:pPr>
        <w:spacing w:line="259" w:lineRule="auto"/>
        <w:ind w:firstLine="0"/>
        <w:jc w:val="both"/>
        <w:rPr>
          <w:sz w:val="20"/>
          <w:szCs w:val="20"/>
        </w:rPr>
      </w:pPr>
    </w:p>
    <w:p w14:paraId="74455554" w14:textId="77777777" w:rsidR="00AB238E" w:rsidRPr="00705903" w:rsidRDefault="00AB238E" w:rsidP="0097761F">
      <w:pPr>
        <w:spacing w:line="259" w:lineRule="auto"/>
        <w:ind w:firstLine="0"/>
        <w:jc w:val="both"/>
        <w:rPr>
          <w:sz w:val="20"/>
          <w:szCs w:val="20"/>
        </w:rPr>
      </w:pPr>
    </w:p>
    <w:tbl>
      <w:tblPr>
        <w:tblStyle w:val="PlainTable2"/>
        <w:tblW w:w="0" w:type="auto"/>
        <w:tblLook w:val="04A0" w:firstRow="1" w:lastRow="0" w:firstColumn="1" w:lastColumn="0" w:noHBand="0" w:noVBand="1"/>
      </w:tblPr>
      <w:tblGrid>
        <w:gridCol w:w="1161"/>
        <w:gridCol w:w="2027"/>
        <w:gridCol w:w="2027"/>
        <w:gridCol w:w="2027"/>
        <w:gridCol w:w="2028"/>
      </w:tblGrid>
      <w:tr w:rsidR="00AB238E" w:rsidRPr="00705903" w14:paraId="3F65CE0B"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7643D"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Event Type</w:t>
            </w:r>
          </w:p>
        </w:tc>
        <w:tc>
          <w:tcPr>
            <w:tcW w:w="2027" w:type="dxa"/>
            <w:vAlign w:val="center"/>
            <w:hideMark/>
          </w:tcPr>
          <w:p w14:paraId="21FD4138"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Months</w:t>
            </w:r>
          </w:p>
        </w:tc>
        <w:tc>
          <w:tcPr>
            <w:tcW w:w="2027" w:type="dxa"/>
            <w:vAlign w:val="center"/>
            <w:hideMark/>
          </w:tcPr>
          <w:p w14:paraId="0BBBB8A5"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α</w:t>
            </w:r>
          </w:p>
        </w:tc>
        <w:tc>
          <w:tcPr>
            <w:tcW w:w="2027" w:type="dxa"/>
            <w:vAlign w:val="center"/>
            <w:hideMark/>
          </w:tcPr>
          <w:p w14:paraId="3BA7475E"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t(α)</w:t>
            </w:r>
          </w:p>
        </w:tc>
        <w:tc>
          <w:tcPr>
            <w:tcW w:w="2028" w:type="dxa"/>
            <w:vAlign w:val="center"/>
            <w:hideMark/>
          </w:tcPr>
          <w:p w14:paraId="1B69A82F"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R²</w:t>
            </w:r>
          </w:p>
        </w:tc>
      </w:tr>
      <w:tr w:rsidR="00AB238E" w:rsidRPr="00705903" w14:paraId="25720B7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3F9E53F6"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Downgrade</w:t>
            </w:r>
          </w:p>
        </w:tc>
        <w:tc>
          <w:tcPr>
            <w:tcW w:w="2027" w:type="dxa"/>
            <w:tcBorders>
              <w:bottom w:val="nil"/>
            </w:tcBorders>
            <w:vAlign w:val="center"/>
            <w:hideMark/>
          </w:tcPr>
          <w:p w14:paraId="3807E7A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174</w:t>
            </w:r>
          </w:p>
        </w:tc>
        <w:tc>
          <w:tcPr>
            <w:tcW w:w="2027" w:type="dxa"/>
            <w:tcBorders>
              <w:bottom w:val="nil"/>
            </w:tcBorders>
            <w:vAlign w:val="center"/>
            <w:hideMark/>
          </w:tcPr>
          <w:p w14:paraId="224E98A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0.0086</w:t>
            </w:r>
          </w:p>
        </w:tc>
        <w:tc>
          <w:tcPr>
            <w:tcW w:w="2027" w:type="dxa"/>
            <w:tcBorders>
              <w:bottom w:val="nil"/>
            </w:tcBorders>
            <w:vAlign w:val="center"/>
            <w:hideMark/>
          </w:tcPr>
          <w:p w14:paraId="3C4243B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4.71</w:t>
            </w:r>
          </w:p>
        </w:tc>
        <w:tc>
          <w:tcPr>
            <w:tcW w:w="2028" w:type="dxa"/>
            <w:tcBorders>
              <w:bottom w:val="nil"/>
            </w:tcBorders>
            <w:vAlign w:val="center"/>
            <w:hideMark/>
          </w:tcPr>
          <w:p w14:paraId="552C742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0.93</w:t>
            </w:r>
          </w:p>
        </w:tc>
      </w:tr>
      <w:tr w:rsidR="00AB238E" w:rsidRPr="00705903" w14:paraId="6D878C59"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32E8649"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Initiation</w:t>
            </w:r>
          </w:p>
        </w:tc>
        <w:tc>
          <w:tcPr>
            <w:tcW w:w="2027" w:type="dxa"/>
            <w:tcBorders>
              <w:top w:val="nil"/>
              <w:bottom w:val="nil"/>
            </w:tcBorders>
            <w:vAlign w:val="center"/>
            <w:hideMark/>
          </w:tcPr>
          <w:p w14:paraId="4AE25EE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174</w:t>
            </w:r>
          </w:p>
        </w:tc>
        <w:tc>
          <w:tcPr>
            <w:tcW w:w="2027" w:type="dxa"/>
            <w:tcBorders>
              <w:top w:val="nil"/>
              <w:bottom w:val="nil"/>
            </w:tcBorders>
            <w:vAlign w:val="center"/>
            <w:hideMark/>
          </w:tcPr>
          <w:p w14:paraId="695EDF1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0.0875</w:t>
            </w:r>
          </w:p>
        </w:tc>
        <w:tc>
          <w:tcPr>
            <w:tcW w:w="2027" w:type="dxa"/>
            <w:tcBorders>
              <w:top w:val="nil"/>
              <w:bottom w:val="nil"/>
            </w:tcBorders>
            <w:vAlign w:val="center"/>
            <w:hideMark/>
          </w:tcPr>
          <w:p w14:paraId="77A0564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4.54</w:t>
            </w:r>
          </w:p>
        </w:tc>
        <w:tc>
          <w:tcPr>
            <w:tcW w:w="2028" w:type="dxa"/>
            <w:tcBorders>
              <w:top w:val="nil"/>
              <w:bottom w:val="nil"/>
            </w:tcBorders>
            <w:vAlign w:val="center"/>
            <w:hideMark/>
          </w:tcPr>
          <w:p w14:paraId="5D1AF07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0.15</w:t>
            </w:r>
          </w:p>
        </w:tc>
      </w:tr>
      <w:tr w:rsidR="00AB238E" w:rsidRPr="00705903" w14:paraId="4375753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042015FE"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Upgrade</w:t>
            </w:r>
          </w:p>
        </w:tc>
        <w:tc>
          <w:tcPr>
            <w:tcW w:w="2027" w:type="dxa"/>
            <w:tcBorders>
              <w:top w:val="nil"/>
            </w:tcBorders>
            <w:vAlign w:val="center"/>
            <w:hideMark/>
          </w:tcPr>
          <w:p w14:paraId="5DF854D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174</w:t>
            </w:r>
          </w:p>
        </w:tc>
        <w:tc>
          <w:tcPr>
            <w:tcW w:w="2027" w:type="dxa"/>
            <w:tcBorders>
              <w:top w:val="nil"/>
            </w:tcBorders>
            <w:vAlign w:val="center"/>
            <w:hideMark/>
          </w:tcPr>
          <w:p w14:paraId="1ADC86D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0.0078</w:t>
            </w:r>
          </w:p>
        </w:tc>
        <w:tc>
          <w:tcPr>
            <w:tcW w:w="2027" w:type="dxa"/>
            <w:tcBorders>
              <w:top w:val="nil"/>
            </w:tcBorders>
            <w:vAlign w:val="center"/>
            <w:hideMark/>
          </w:tcPr>
          <w:p w14:paraId="192DB6C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5.16</w:t>
            </w:r>
          </w:p>
        </w:tc>
        <w:tc>
          <w:tcPr>
            <w:tcW w:w="2028" w:type="dxa"/>
            <w:tcBorders>
              <w:top w:val="nil"/>
            </w:tcBorders>
            <w:vAlign w:val="center"/>
            <w:hideMark/>
          </w:tcPr>
          <w:p w14:paraId="09CAC85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0.97</w:t>
            </w:r>
          </w:p>
        </w:tc>
      </w:tr>
    </w:tbl>
    <w:p w14:paraId="0C1ED298" w14:textId="77777777" w:rsidR="00AB238E" w:rsidRPr="00705903" w:rsidRDefault="00AB238E" w:rsidP="0097761F">
      <w:pPr>
        <w:spacing w:line="259" w:lineRule="auto"/>
        <w:ind w:firstLine="0"/>
        <w:jc w:val="both"/>
        <w:rPr>
          <w:sz w:val="20"/>
          <w:szCs w:val="20"/>
        </w:rPr>
      </w:pPr>
    </w:p>
    <w:p w14:paraId="1581BE41" w14:textId="77777777" w:rsidR="00AB238E" w:rsidRPr="00705903" w:rsidRDefault="00AB238E" w:rsidP="0097761F">
      <w:pPr>
        <w:spacing w:line="259" w:lineRule="auto"/>
        <w:ind w:firstLine="0"/>
        <w:jc w:val="both"/>
        <w:rPr>
          <w:sz w:val="20"/>
          <w:szCs w:val="20"/>
        </w:rPr>
      </w:pPr>
    </w:p>
    <w:p w14:paraId="2D6C7D76" w14:textId="77777777" w:rsidR="00AB238E" w:rsidRPr="00705903" w:rsidRDefault="00AB238E" w:rsidP="0097761F">
      <w:pPr>
        <w:spacing w:line="259" w:lineRule="auto"/>
        <w:ind w:firstLine="0"/>
        <w:jc w:val="both"/>
        <w:rPr>
          <w:sz w:val="20"/>
          <w:szCs w:val="20"/>
        </w:rPr>
      </w:pPr>
    </w:p>
    <w:p w14:paraId="3615D409" w14:textId="77777777" w:rsidR="00AB238E" w:rsidRPr="00705903" w:rsidRDefault="00AB238E" w:rsidP="0097761F">
      <w:pPr>
        <w:spacing w:after="160" w:line="259" w:lineRule="auto"/>
        <w:ind w:firstLine="0"/>
        <w:jc w:val="both"/>
        <w:rPr>
          <w:rStyle w:val="Heading1Char"/>
        </w:rPr>
      </w:pPr>
      <w:r w:rsidRPr="00705903">
        <w:rPr>
          <w:rStyle w:val="Heading1Char"/>
        </w:rPr>
        <w:br w:type="page"/>
      </w:r>
    </w:p>
    <w:p w14:paraId="7E7431A3" w14:textId="77777777" w:rsidR="00AB238E" w:rsidRPr="00705903" w:rsidRDefault="00AB238E" w:rsidP="0097761F">
      <w:pPr>
        <w:pStyle w:val="Heading1"/>
      </w:pPr>
      <w:r w:rsidRPr="00705903">
        <w:t>Table 33. Volatility Risk Comparison: ESG Factor vs. Major Market Indices</w:t>
      </w:r>
    </w:p>
    <w:p w14:paraId="4AA12849" w14:textId="77777777" w:rsidR="00AB238E" w:rsidRPr="00705903" w:rsidRDefault="00AB238E" w:rsidP="0097761F">
      <w:pPr>
        <w:spacing w:line="259" w:lineRule="auto"/>
        <w:ind w:firstLine="0"/>
        <w:jc w:val="both"/>
        <w:rPr>
          <w:sz w:val="20"/>
          <w:szCs w:val="20"/>
        </w:rPr>
      </w:pPr>
    </w:p>
    <w:p w14:paraId="23934BEB" w14:textId="77777777" w:rsidR="00AB238E" w:rsidRPr="00705903" w:rsidRDefault="00AB238E" w:rsidP="0097761F">
      <w:pPr>
        <w:spacing w:line="259" w:lineRule="auto"/>
        <w:ind w:firstLine="0"/>
        <w:jc w:val="both"/>
        <w:rPr>
          <w:sz w:val="20"/>
          <w:szCs w:val="20"/>
        </w:rPr>
      </w:pPr>
      <w:r w:rsidRPr="00705903">
        <w:rPr>
          <w:sz w:val="20"/>
          <w:szCs w:val="20"/>
        </w:rPr>
        <w:t xml:space="preserve">Based on the table comparing the monthly volatility characteristics of the ESG high-minus-low (H–L) factor with three major Chinese stock indices (CSI 300, SSE Composite, and SZSE Component), the ESG factor exhibits substantially lower mean volatility, standard deviation, and 95% </w:t>
      </w:r>
      <w:proofErr w:type="spellStart"/>
      <w:r w:rsidRPr="00705903">
        <w:rPr>
          <w:sz w:val="20"/>
          <w:szCs w:val="20"/>
        </w:rPr>
        <w:t>VaR</w:t>
      </w:r>
      <w:proofErr w:type="spellEnd"/>
      <w:r w:rsidRPr="00705903">
        <w:rPr>
          <w:sz w:val="20"/>
          <w:szCs w:val="20"/>
        </w:rPr>
        <w:t xml:space="preserve"> than the market benchmarks. This indicates its relatively stable and defensive profile, particularly in adverse market conditions. The lower 95% </w:t>
      </w:r>
      <w:proofErr w:type="spellStart"/>
      <w:r w:rsidRPr="00705903">
        <w:rPr>
          <w:sz w:val="20"/>
          <w:szCs w:val="20"/>
        </w:rPr>
        <w:t>VaR</w:t>
      </w:r>
      <w:proofErr w:type="spellEnd"/>
      <w:r w:rsidRPr="00705903">
        <w:rPr>
          <w:sz w:val="20"/>
          <w:szCs w:val="20"/>
        </w:rPr>
        <w:t xml:space="preserve"> of the ESG H–L factor (0.0028) compared to the indices (ranging from 0.0059 to 0.0084) further supports its resilience to extreme downside risk. These findings provide preliminary evidence that ESG portfolios carry lower systematic volatility and tail risks, complementing the subsequent analyses of downside and crash risks.</w:t>
      </w:r>
    </w:p>
    <w:p w14:paraId="64D43037" w14:textId="77777777" w:rsidR="00AB238E" w:rsidRPr="00705903" w:rsidRDefault="00AB238E" w:rsidP="0097761F">
      <w:pPr>
        <w:spacing w:line="259" w:lineRule="auto"/>
        <w:ind w:firstLine="0"/>
        <w:jc w:val="both"/>
        <w:rPr>
          <w:sz w:val="20"/>
          <w:szCs w:val="20"/>
        </w:rPr>
      </w:pPr>
    </w:p>
    <w:tbl>
      <w:tblPr>
        <w:tblStyle w:val="PlainTable2"/>
        <w:tblW w:w="0" w:type="auto"/>
        <w:tblLook w:val="04A0" w:firstRow="1" w:lastRow="0" w:firstColumn="1" w:lastColumn="0" w:noHBand="0" w:noVBand="1"/>
      </w:tblPr>
      <w:tblGrid>
        <w:gridCol w:w="1140"/>
        <w:gridCol w:w="1387"/>
        <w:gridCol w:w="1388"/>
        <w:gridCol w:w="1387"/>
        <w:gridCol w:w="1388"/>
        <w:gridCol w:w="1388"/>
        <w:gridCol w:w="1282"/>
      </w:tblGrid>
      <w:tr w:rsidR="00AB238E" w:rsidRPr="00705903" w14:paraId="46CAB6F9"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hideMark/>
          </w:tcPr>
          <w:p w14:paraId="3B4A9083"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Index</w:t>
            </w:r>
          </w:p>
        </w:tc>
        <w:tc>
          <w:tcPr>
            <w:tcW w:w="1387" w:type="dxa"/>
            <w:hideMark/>
          </w:tcPr>
          <w:p w14:paraId="3696C5F6"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Mean</w:t>
            </w:r>
          </w:p>
        </w:tc>
        <w:tc>
          <w:tcPr>
            <w:tcW w:w="1388" w:type="dxa"/>
            <w:hideMark/>
          </w:tcPr>
          <w:p w14:paraId="51353613"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Min</w:t>
            </w:r>
          </w:p>
        </w:tc>
        <w:tc>
          <w:tcPr>
            <w:tcW w:w="1387" w:type="dxa"/>
            <w:hideMark/>
          </w:tcPr>
          <w:p w14:paraId="01684A3A"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Max</w:t>
            </w:r>
          </w:p>
        </w:tc>
        <w:tc>
          <w:tcPr>
            <w:tcW w:w="1388" w:type="dxa"/>
            <w:hideMark/>
          </w:tcPr>
          <w:p w14:paraId="18F445F3"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Std</w:t>
            </w:r>
          </w:p>
        </w:tc>
        <w:tc>
          <w:tcPr>
            <w:tcW w:w="1388" w:type="dxa"/>
            <w:hideMark/>
          </w:tcPr>
          <w:p w14:paraId="6E2C3B9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Range</w:t>
            </w:r>
          </w:p>
        </w:tc>
        <w:tc>
          <w:tcPr>
            <w:tcW w:w="1282" w:type="dxa"/>
          </w:tcPr>
          <w:p w14:paraId="31F6092C"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proofErr w:type="spellStart"/>
            <w:r w:rsidRPr="00705903">
              <w:rPr>
                <w:b w:val="0"/>
                <w:bCs w:val="0"/>
                <w:i/>
                <w:iCs/>
                <w:sz w:val="20"/>
                <w:szCs w:val="20"/>
                <w:lang w:val="en-US"/>
              </w:rPr>
              <w:t>VaR</w:t>
            </w:r>
            <w:proofErr w:type="spellEnd"/>
            <w:r w:rsidRPr="00705903">
              <w:rPr>
                <w:b w:val="0"/>
                <w:bCs w:val="0"/>
                <w:i/>
                <w:iCs/>
                <w:sz w:val="20"/>
                <w:szCs w:val="20"/>
                <w:lang w:val="en-US" w:eastAsia="zh-CN"/>
              </w:rPr>
              <w:t xml:space="preserve"> </w:t>
            </w:r>
            <w:r w:rsidRPr="00705903">
              <w:rPr>
                <w:b w:val="0"/>
                <w:bCs w:val="0"/>
                <w:i/>
                <w:iCs/>
                <w:sz w:val="20"/>
                <w:szCs w:val="20"/>
                <w:lang w:val="en-US"/>
              </w:rPr>
              <w:t>95%</w:t>
            </w:r>
          </w:p>
        </w:tc>
      </w:tr>
      <w:tr w:rsidR="00AB238E" w:rsidRPr="00705903" w14:paraId="5820417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Borders>
              <w:bottom w:val="nil"/>
            </w:tcBorders>
            <w:hideMark/>
          </w:tcPr>
          <w:p w14:paraId="69DA4E10"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ESG H–L</w:t>
            </w:r>
          </w:p>
        </w:tc>
        <w:tc>
          <w:tcPr>
            <w:tcW w:w="1387" w:type="dxa"/>
            <w:tcBorders>
              <w:bottom w:val="nil"/>
            </w:tcBorders>
            <w:hideMark/>
          </w:tcPr>
          <w:p w14:paraId="76F1B35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0.0056</w:t>
            </w:r>
          </w:p>
        </w:tc>
        <w:tc>
          <w:tcPr>
            <w:tcW w:w="1388" w:type="dxa"/>
            <w:tcBorders>
              <w:bottom w:val="nil"/>
            </w:tcBorders>
            <w:hideMark/>
          </w:tcPr>
          <w:p w14:paraId="3179462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0.0021</w:t>
            </w:r>
          </w:p>
        </w:tc>
        <w:tc>
          <w:tcPr>
            <w:tcW w:w="1387" w:type="dxa"/>
            <w:tcBorders>
              <w:bottom w:val="nil"/>
            </w:tcBorders>
            <w:hideMark/>
          </w:tcPr>
          <w:p w14:paraId="148424D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0.0149</w:t>
            </w:r>
          </w:p>
        </w:tc>
        <w:tc>
          <w:tcPr>
            <w:tcW w:w="1388" w:type="dxa"/>
            <w:tcBorders>
              <w:bottom w:val="nil"/>
            </w:tcBorders>
            <w:hideMark/>
          </w:tcPr>
          <w:p w14:paraId="2C866FE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0.0022</w:t>
            </w:r>
          </w:p>
        </w:tc>
        <w:tc>
          <w:tcPr>
            <w:tcW w:w="1388" w:type="dxa"/>
            <w:tcBorders>
              <w:bottom w:val="nil"/>
            </w:tcBorders>
            <w:hideMark/>
          </w:tcPr>
          <w:p w14:paraId="3C7FA6F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0.0128</w:t>
            </w:r>
          </w:p>
        </w:tc>
        <w:tc>
          <w:tcPr>
            <w:tcW w:w="1282" w:type="dxa"/>
            <w:tcBorders>
              <w:bottom w:val="nil"/>
            </w:tcBorders>
          </w:tcPr>
          <w:p w14:paraId="083443F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0.0028</w:t>
            </w:r>
          </w:p>
        </w:tc>
      </w:tr>
      <w:tr w:rsidR="00AB238E" w:rsidRPr="00705903" w14:paraId="59D36978" w14:textId="77777777" w:rsidTr="00A4523E">
        <w:tc>
          <w:tcPr>
            <w:cnfStyle w:val="001000000000" w:firstRow="0" w:lastRow="0" w:firstColumn="1" w:lastColumn="0" w:oddVBand="0" w:evenVBand="0" w:oddHBand="0" w:evenHBand="0" w:firstRowFirstColumn="0" w:firstRowLastColumn="0" w:lastRowFirstColumn="0" w:lastRowLastColumn="0"/>
            <w:tcW w:w="1140" w:type="dxa"/>
            <w:tcBorders>
              <w:top w:val="nil"/>
              <w:bottom w:val="nil"/>
            </w:tcBorders>
            <w:hideMark/>
          </w:tcPr>
          <w:p w14:paraId="687C0077"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CSI 300</w:t>
            </w:r>
          </w:p>
        </w:tc>
        <w:tc>
          <w:tcPr>
            <w:tcW w:w="1387" w:type="dxa"/>
            <w:tcBorders>
              <w:top w:val="nil"/>
              <w:bottom w:val="nil"/>
            </w:tcBorders>
            <w:hideMark/>
          </w:tcPr>
          <w:p w14:paraId="782AC2B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0.0151</w:t>
            </w:r>
          </w:p>
        </w:tc>
        <w:tc>
          <w:tcPr>
            <w:tcW w:w="1388" w:type="dxa"/>
            <w:tcBorders>
              <w:top w:val="nil"/>
              <w:bottom w:val="nil"/>
            </w:tcBorders>
            <w:hideMark/>
          </w:tcPr>
          <w:p w14:paraId="1B7C355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0.0027</w:t>
            </w:r>
          </w:p>
        </w:tc>
        <w:tc>
          <w:tcPr>
            <w:tcW w:w="1387" w:type="dxa"/>
            <w:tcBorders>
              <w:top w:val="nil"/>
              <w:bottom w:val="nil"/>
            </w:tcBorders>
            <w:hideMark/>
          </w:tcPr>
          <w:p w14:paraId="0716AB5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0.0393</w:t>
            </w:r>
          </w:p>
        </w:tc>
        <w:tc>
          <w:tcPr>
            <w:tcW w:w="1388" w:type="dxa"/>
            <w:tcBorders>
              <w:top w:val="nil"/>
              <w:bottom w:val="nil"/>
            </w:tcBorders>
            <w:hideMark/>
          </w:tcPr>
          <w:p w14:paraId="0BB8CC1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0.0075</w:t>
            </w:r>
          </w:p>
        </w:tc>
        <w:tc>
          <w:tcPr>
            <w:tcW w:w="1388" w:type="dxa"/>
            <w:tcBorders>
              <w:top w:val="nil"/>
              <w:bottom w:val="nil"/>
            </w:tcBorders>
            <w:hideMark/>
          </w:tcPr>
          <w:p w14:paraId="4B79E51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0.0366</w:t>
            </w:r>
          </w:p>
        </w:tc>
        <w:tc>
          <w:tcPr>
            <w:tcW w:w="1282" w:type="dxa"/>
            <w:tcBorders>
              <w:top w:val="nil"/>
              <w:bottom w:val="nil"/>
            </w:tcBorders>
          </w:tcPr>
          <w:p w14:paraId="1E55BA2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rPr>
              <w:t>0.00</w:t>
            </w:r>
            <w:r w:rsidRPr="00705903">
              <w:rPr>
                <w:sz w:val="20"/>
                <w:szCs w:val="20"/>
                <w:lang w:val="en-US" w:eastAsia="zh-CN"/>
              </w:rPr>
              <w:t>65</w:t>
            </w:r>
          </w:p>
        </w:tc>
      </w:tr>
      <w:tr w:rsidR="00AB238E" w:rsidRPr="00705903" w14:paraId="256D0C9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Borders>
              <w:top w:val="nil"/>
              <w:bottom w:val="nil"/>
            </w:tcBorders>
            <w:hideMark/>
          </w:tcPr>
          <w:p w14:paraId="1E8211BD"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SSE Composite</w:t>
            </w:r>
          </w:p>
        </w:tc>
        <w:tc>
          <w:tcPr>
            <w:tcW w:w="1387" w:type="dxa"/>
            <w:tcBorders>
              <w:top w:val="nil"/>
              <w:bottom w:val="nil"/>
            </w:tcBorders>
            <w:hideMark/>
          </w:tcPr>
          <w:p w14:paraId="7EEF3DC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0.0138</w:t>
            </w:r>
          </w:p>
        </w:tc>
        <w:tc>
          <w:tcPr>
            <w:tcW w:w="1388" w:type="dxa"/>
            <w:tcBorders>
              <w:top w:val="nil"/>
              <w:bottom w:val="nil"/>
            </w:tcBorders>
            <w:hideMark/>
          </w:tcPr>
          <w:p w14:paraId="3B21C50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0.0028</w:t>
            </w:r>
          </w:p>
        </w:tc>
        <w:tc>
          <w:tcPr>
            <w:tcW w:w="1387" w:type="dxa"/>
            <w:tcBorders>
              <w:top w:val="nil"/>
              <w:bottom w:val="nil"/>
            </w:tcBorders>
            <w:hideMark/>
          </w:tcPr>
          <w:p w14:paraId="199046D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0.0387</w:t>
            </w:r>
          </w:p>
        </w:tc>
        <w:tc>
          <w:tcPr>
            <w:tcW w:w="1388" w:type="dxa"/>
            <w:tcBorders>
              <w:top w:val="nil"/>
              <w:bottom w:val="nil"/>
            </w:tcBorders>
            <w:hideMark/>
          </w:tcPr>
          <w:p w14:paraId="4EFA101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0.0074</w:t>
            </w:r>
          </w:p>
        </w:tc>
        <w:tc>
          <w:tcPr>
            <w:tcW w:w="1388" w:type="dxa"/>
            <w:tcBorders>
              <w:top w:val="nil"/>
              <w:bottom w:val="nil"/>
            </w:tcBorders>
            <w:hideMark/>
          </w:tcPr>
          <w:p w14:paraId="6A4799A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0.0359</w:t>
            </w:r>
          </w:p>
        </w:tc>
        <w:tc>
          <w:tcPr>
            <w:tcW w:w="1282" w:type="dxa"/>
            <w:tcBorders>
              <w:top w:val="nil"/>
              <w:bottom w:val="nil"/>
            </w:tcBorders>
          </w:tcPr>
          <w:p w14:paraId="57DF1D1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705903">
              <w:rPr>
                <w:sz w:val="20"/>
                <w:szCs w:val="20"/>
                <w:lang w:val="en-US"/>
              </w:rPr>
              <w:t>0.00</w:t>
            </w:r>
            <w:r w:rsidRPr="00705903">
              <w:rPr>
                <w:sz w:val="20"/>
                <w:szCs w:val="20"/>
                <w:lang w:val="en-US" w:eastAsia="zh-CN"/>
              </w:rPr>
              <w:t>59</w:t>
            </w:r>
          </w:p>
        </w:tc>
      </w:tr>
      <w:tr w:rsidR="00AB238E" w:rsidRPr="00705903" w14:paraId="268EF8DA" w14:textId="77777777" w:rsidTr="00A4523E">
        <w:tc>
          <w:tcPr>
            <w:cnfStyle w:val="001000000000" w:firstRow="0" w:lastRow="0" w:firstColumn="1" w:lastColumn="0" w:oddVBand="0" w:evenVBand="0" w:oddHBand="0" w:evenHBand="0" w:firstRowFirstColumn="0" w:firstRowLastColumn="0" w:lastRowFirstColumn="0" w:lastRowLastColumn="0"/>
            <w:tcW w:w="1140" w:type="dxa"/>
            <w:tcBorders>
              <w:top w:val="nil"/>
            </w:tcBorders>
            <w:hideMark/>
          </w:tcPr>
          <w:p w14:paraId="6389175B"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SZSE Component</w:t>
            </w:r>
          </w:p>
        </w:tc>
        <w:tc>
          <w:tcPr>
            <w:tcW w:w="1387" w:type="dxa"/>
            <w:tcBorders>
              <w:top w:val="nil"/>
            </w:tcBorders>
            <w:hideMark/>
          </w:tcPr>
          <w:p w14:paraId="1D51ECB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0.0166</w:t>
            </w:r>
          </w:p>
        </w:tc>
        <w:tc>
          <w:tcPr>
            <w:tcW w:w="1388" w:type="dxa"/>
            <w:tcBorders>
              <w:top w:val="nil"/>
            </w:tcBorders>
            <w:hideMark/>
          </w:tcPr>
          <w:p w14:paraId="6AF3804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0.0053</w:t>
            </w:r>
          </w:p>
        </w:tc>
        <w:tc>
          <w:tcPr>
            <w:tcW w:w="1387" w:type="dxa"/>
            <w:tcBorders>
              <w:top w:val="nil"/>
            </w:tcBorders>
            <w:hideMark/>
          </w:tcPr>
          <w:p w14:paraId="1A8CDC1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0.0413</w:t>
            </w:r>
          </w:p>
        </w:tc>
        <w:tc>
          <w:tcPr>
            <w:tcW w:w="1388" w:type="dxa"/>
            <w:tcBorders>
              <w:top w:val="nil"/>
            </w:tcBorders>
            <w:hideMark/>
          </w:tcPr>
          <w:p w14:paraId="28E33B8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0.0076</w:t>
            </w:r>
          </w:p>
        </w:tc>
        <w:tc>
          <w:tcPr>
            <w:tcW w:w="1388" w:type="dxa"/>
            <w:tcBorders>
              <w:top w:val="nil"/>
            </w:tcBorders>
            <w:hideMark/>
          </w:tcPr>
          <w:p w14:paraId="306FDBE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0.0360</w:t>
            </w:r>
          </w:p>
        </w:tc>
        <w:tc>
          <w:tcPr>
            <w:tcW w:w="1282" w:type="dxa"/>
            <w:tcBorders>
              <w:top w:val="nil"/>
            </w:tcBorders>
          </w:tcPr>
          <w:p w14:paraId="4E54CED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705903">
              <w:rPr>
                <w:sz w:val="20"/>
                <w:szCs w:val="20"/>
                <w:lang w:val="en-US"/>
              </w:rPr>
              <w:t>0.00</w:t>
            </w:r>
            <w:r w:rsidRPr="00705903">
              <w:rPr>
                <w:sz w:val="20"/>
                <w:szCs w:val="20"/>
                <w:lang w:val="en-US" w:eastAsia="zh-CN"/>
              </w:rPr>
              <w:t>84</w:t>
            </w:r>
          </w:p>
        </w:tc>
      </w:tr>
    </w:tbl>
    <w:p w14:paraId="55ED7D44" w14:textId="77777777" w:rsidR="00AB238E" w:rsidRPr="00705903" w:rsidRDefault="00AB238E" w:rsidP="0097761F">
      <w:pPr>
        <w:spacing w:line="259" w:lineRule="auto"/>
        <w:ind w:firstLine="0"/>
        <w:jc w:val="both"/>
        <w:rPr>
          <w:sz w:val="20"/>
          <w:szCs w:val="20"/>
        </w:rPr>
      </w:pPr>
    </w:p>
    <w:p w14:paraId="12EB6AC7" w14:textId="77777777" w:rsidR="00AB238E" w:rsidRPr="00705903" w:rsidRDefault="00AB238E" w:rsidP="0097761F">
      <w:pPr>
        <w:spacing w:line="259" w:lineRule="auto"/>
        <w:ind w:firstLine="0"/>
        <w:jc w:val="both"/>
        <w:rPr>
          <w:sz w:val="20"/>
          <w:szCs w:val="20"/>
        </w:rPr>
      </w:pPr>
    </w:p>
    <w:p w14:paraId="6C6C1C4C" w14:textId="77777777" w:rsidR="00AB238E" w:rsidRPr="00705903" w:rsidRDefault="00AB238E" w:rsidP="0097761F">
      <w:pPr>
        <w:spacing w:line="259" w:lineRule="auto"/>
        <w:ind w:firstLine="0"/>
        <w:jc w:val="both"/>
        <w:rPr>
          <w:sz w:val="20"/>
          <w:szCs w:val="20"/>
        </w:rPr>
      </w:pPr>
    </w:p>
    <w:p w14:paraId="0A867ECE" w14:textId="77777777" w:rsidR="00AB238E" w:rsidRPr="00705903" w:rsidRDefault="00AB238E" w:rsidP="0097761F">
      <w:pPr>
        <w:spacing w:after="160" w:line="259" w:lineRule="auto"/>
        <w:ind w:firstLine="0"/>
        <w:jc w:val="both"/>
        <w:rPr>
          <w:sz w:val="20"/>
          <w:szCs w:val="20"/>
        </w:rPr>
      </w:pPr>
      <w:r w:rsidRPr="00705903">
        <w:rPr>
          <w:sz w:val="20"/>
          <w:szCs w:val="20"/>
        </w:rPr>
        <w:br w:type="page"/>
      </w:r>
    </w:p>
    <w:p w14:paraId="64BB6D97" w14:textId="77777777" w:rsidR="00AB238E" w:rsidRPr="00705903" w:rsidRDefault="00AB238E" w:rsidP="0097761F">
      <w:pPr>
        <w:pStyle w:val="Heading1"/>
      </w:pPr>
      <w:r w:rsidRPr="00705903">
        <w:t>Table 34. Downside and Crash Risk Comparison: ESG and Sub-Pillar Factors vs. Market Indices</w:t>
      </w:r>
    </w:p>
    <w:p w14:paraId="05682202" w14:textId="77777777" w:rsidR="00AB238E" w:rsidRPr="00705903" w:rsidRDefault="00AB238E" w:rsidP="0097761F">
      <w:pPr>
        <w:spacing w:line="259" w:lineRule="auto"/>
        <w:ind w:firstLine="0"/>
        <w:jc w:val="both"/>
        <w:rPr>
          <w:sz w:val="20"/>
          <w:szCs w:val="20"/>
        </w:rPr>
      </w:pPr>
    </w:p>
    <w:p w14:paraId="06ED6CA3" w14:textId="77777777" w:rsidR="00AB238E" w:rsidRPr="00705903" w:rsidRDefault="00AB238E" w:rsidP="0097761F">
      <w:pPr>
        <w:spacing w:line="259" w:lineRule="auto"/>
        <w:ind w:firstLine="0"/>
        <w:jc w:val="both"/>
        <w:rPr>
          <w:sz w:val="20"/>
          <w:szCs w:val="20"/>
        </w:rPr>
      </w:pPr>
      <w:r w:rsidRPr="00705903">
        <w:rPr>
          <w:sz w:val="20"/>
          <w:szCs w:val="20"/>
        </w:rPr>
        <w:t>This table presents the mean returns, total volatility, downside risk, and Sortino ratios for the ESG high-minus-low (H–L) portfolio, its sub-pillars (E, S, and G), and three major Chinese stock indices (CSI 300, SSE Composite, and SZSE Component).</w:t>
      </w:r>
    </w:p>
    <w:p w14:paraId="5D6D6EBF" w14:textId="77777777" w:rsidR="00AB238E" w:rsidRPr="00705903" w:rsidRDefault="00AB238E" w:rsidP="0097761F">
      <w:pPr>
        <w:spacing w:line="259" w:lineRule="auto"/>
        <w:ind w:firstLine="0"/>
        <w:jc w:val="both"/>
        <w:rPr>
          <w:sz w:val="20"/>
          <w:szCs w:val="20"/>
        </w:rPr>
      </w:pPr>
    </w:p>
    <w:p w14:paraId="4A3E84CE" w14:textId="77777777" w:rsidR="00AB238E" w:rsidRPr="00705903" w:rsidRDefault="00AB238E" w:rsidP="0097761F">
      <w:pPr>
        <w:spacing w:line="259" w:lineRule="auto"/>
        <w:ind w:firstLine="0"/>
        <w:jc w:val="both"/>
        <w:rPr>
          <w:sz w:val="20"/>
          <w:szCs w:val="20"/>
        </w:rPr>
      </w:pPr>
      <w:r w:rsidRPr="00705903">
        <w:rPr>
          <w:sz w:val="20"/>
          <w:szCs w:val="20"/>
        </w:rPr>
        <w:t>The ESG and sub-pillar factors exhibit substantially lower volatility and downside risk compared to market indices, consistent with a defensive return profile. However, all ESG-related portfolios yield slightly negative average returns and Sortino ratios, indicating that while ESG exposures reduce downside fluctuations, they do not necessarily enhance risk-adjusted performance during normal market conditions. The Governance (G) factor</w:t>
      </w:r>
      <w:proofErr w:type="gramStart"/>
      <w:r w:rsidRPr="00705903">
        <w:rPr>
          <w:sz w:val="20"/>
          <w:szCs w:val="20"/>
        </w:rPr>
        <w:t>, in particular, shows</w:t>
      </w:r>
      <w:proofErr w:type="gramEnd"/>
      <w:r w:rsidRPr="00705903">
        <w:rPr>
          <w:sz w:val="20"/>
          <w:szCs w:val="20"/>
        </w:rPr>
        <w:t xml:space="preserve"> the highest volatility and downside sensitivity, suggesting stronger exposure to firm-level regulatory or structural shocks.</w:t>
      </w:r>
    </w:p>
    <w:p w14:paraId="5B79B07F" w14:textId="77777777" w:rsidR="00AB238E" w:rsidRPr="00705903" w:rsidRDefault="00AB238E" w:rsidP="0097761F">
      <w:pPr>
        <w:spacing w:line="259" w:lineRule="auto"/>
        <w:ind w:firstLine="0"/>
        <w:jc w:val="both"/>
        <w:rPr>
          <w:sz w:val="20"/>
          <w:szCs w:val="20"/>
        </w:rPr>
      </w:pPr>
    </w:p>
    <w:tbl>
      <w:tblPr>
        <w:tblStyle w:val="PlainTable2"/>
        <w:tblW w:w="0" w:type="auto"/>
        <w:tblLook w:val="04A0" w:firstRow="1" w:lastRow="0" w:firstColumn="1" w:lastColumn="0" w:noHBand="0" w:noVBand="1"/>
      </w:tblPr>
      <w:tblGrid>
        <w:gridCol w:w="2116"/>
        <w:gridCol w:w="1797"/>
        <w:gridCol w:w="1797"/>
        <w:gridCol w:w="1797"/>
        <w:gridCol w:w="1797"/>
      </w:tblGrid>
      <w:tr w:rsidR="00AB238E" w:rsidRPr="00705903" w14:paraId="0E04BD05"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4D3EC"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Portfolio</w:t>
            </w:r>
          </w:p>
        </w:tc>
        <w:tc>
          <w:tcPr>
            <w:tcW w:w="1797" w:type="dxa"/>
            <w:vAlign w:val="center"/>
            <w:hideMark/>
          </w:tcPr>
          <w:p w14:paraId="2AF2F222"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Mean Return</w:t>
            </w:r>
          </w:p>
        </w:tc>
        <w:tc>
          <w:tcPr>
            <w:tcW w:w="1797" w:type="dxa"/>
            <w:vAlign w:val="center"/>
            <w:hideMark/>
          </w:tcPr>
          <w:p w14:paraId="453FBD52"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Volatility</w:t>
            </w:r>
          </w:p>
        </w:tc>
        <w:tc>
          <w:tcPr>
            <w:tcW w:w="1797" w:type="dxa"/>
            <w:vAlign w:val="center"/>
            <w:hideMark/>
          </w:tcPr>
          <w:p w14:paraId="394ECAC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Downside Risk</w:t>
            </w:r>
          </w:p>
        </w:tc>
        <w:tc>
          <w:tcPr>
            <w:tcW w:w="1797" w:type="dxa"/>
            <w:vAlign w:val="center"/>
            <w:hideMark/>
          </w:tcPr>
          <w:p w14:paraId="1EC53165"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Sortino Ratio</w:t>
            </w:r>
          </w:p>
        </w:tc>
      </w:tr>
      <w:tr w:rsidR="00AB238E" w:rsidRPr="00705903" w14:paraId="256E46A0"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66D42DAC"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ESG H–L</w:t>
            </w:r>
          </w:p>
        </w:tc>
        <w:tc>
          <w:tcPr>
            <w:tcW w:w="1797" w:type="dxa"/>
            <w:tcBorders>
              <w:bottom w:val="nil"/>
            </w:tcBorders>
            <w:vAlign w:val="center"/>
            <w:hideMark/>
          </w:tcPr>
          <w:p w14:paraId="74E91CE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-0.0032</w:t>
            </w:r>
          </w:p>
        </w:tc>
        <w:tc>
          <w:tcPr>
            <w:tcW w:w="1797" w:type="dxa"/>
            <w:tcBorders>
              <w:bottom w:val="nil"/>
            </w:tcBorders>
            <w:vAlign w:val="center"/>
            <w:hideMark/>
          </w:tcPr>
          <w:p w14:paraId="2E07196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0.0305</w:t>
            </w:r>
          </w:p>
        </w:tc>
        <w:tc>
          <w:tcPr>
            <w:tcW w:w="1797" w:type="dxa"/>
            <w:tcBorders>
              <w:bottom w:val="nil"/>
            </w:tcBorders>
            <w:vAlign w:val="center"/>
            <w:hideMark/>
          </w:tcPr>
          <w:p w14:paraId="6166102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0.0328</w:t>
            </w:r>
          </w:p>
        </w:tc>
        <w:tc>
          <w:tcPr>
            <w:tcW w:w="1797" w:type="dxa"/>
            <w:tcBorders>
              <w:bottom w:val="nil"/>
            </w:tcBorders>
            <w:vAlign w:val="center"/>
            <w:hideMark/>
          </w:tcPr>
          <w:p w14:paraId="2387A26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-0.0980</w:t>
            </w:r>
          </w:p>
        </w:tc>
      </w:tr>
      <w:tr w:rsidR="00AB238E" w:rsidRPr="00705903" w14:paraId="27C662BF"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2982F9C"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rPr>
              <w:t>E Factor</w:t>
            </w:r>
            <w:r w:rsidRPr="00705903">
              <w:rPr>
                <w:b w:val="0"/>
                <w:bCs w:val="0"/>
                <w:i/>
                <w:iCs/>
                <w:sz w:val="20"/>
                <w:szCs w:val="20"/>
                <w:lang w:val="en-US" w:eastAsia="zh-CN"/>
              </w:rPr>
              <w:t xml:space="preserve"> H-L</w:t>
            </w:r>
          </w:p>
        </w:tc>
        <w:tc>
          <w:tcPr>
            <w:tcW w:w="1797" w:type="dxa"/>
            <w:tcBorders>
              <w:top w:val="nil"/>
              <w:bottom w:val="nil"/>
            </w:tcBorders>
            <w:vAlign w:val="center"/>
            <w:hideMark/>
          </w:tcPr>
          <w:p w14:paraId="7367321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-0.0016</w:t>
            </w:r>
          </w:p>
        </w:tc>
        <w:tc>
          <w:tcPr>
            <w:tcW w:w="1797" w:type="dxa"/>
            <w:tcBorders>
              <w:top w:val="nil"/>
              <w:bottom w:val="nil"/>
            </w:tcBorders>
            <w:vAlign w:val="center"/>
            <w:hideMark/>
          </w:tcPr>
          <w:p w14:paraId="58F95B9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0.0286</w:t>
            </w:r>
          </w:p>
        </w:tc>
        <w:tc>
          <w:tcPr>
            <w:tcW w:w="1797" w:type="dxa"/>
            <w:tcBorders>
              <w:top w:val="nil"/>
              <w:bottom w:val="nil"/>
            </w:tcBorders>
            <w:vAlign w:val="center"/>
            <w:hideMark/>
          </w:tcPr>
          <w:p w14:paraId="713BBBB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0.0299</w:t>
            </w:r>
          </w:p>
        </w:tc>
        <w:tc>
          <w:tcPr>
            <w:tcW w:w="1797" w:type="dxa"/>
            <w:tcBorders>
              <w:top w:val="nil"/>
              <w:bottom w:val="nil"/>
            </w:tcBorders>
            <w:vAlign w:val="center"/>
            <w:hideMark/>
          </w:tcPr>
          <w:p w14:paraId="1B9E6CF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-0.0521</w:t>
            </w:r>
          </w:p>
        </w:tc>
      </w:tr>
      <w:tr w:rsidR="00AB238E" w:rsidRPr="00705903" w14:paraId="2C7961C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0C70345"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rPr>
              <w:t>S Factor</w:t>
            </w:r>
            <w:r w:rsidRPr="00705903">
              <w:rPr>
                <w:b w:val="0"/>
                <w:bCs w:val="0"/>
                <w:i/>
                <w:iCs/>
                <w:sz w:val="20"/>
                <w:szCs w:val="20"/>
                <w:lang w:val="en-US" w:eastAsia="zh-CN"/>
              </w:rPr>
              <w:t xml:space="preserve"> H-L</w:t>
            </w:r>
          </w:p>
        </w:tc>
        <w:tc>
          <w:tcPr>
            <w:tcW w:w="1797" w:type="dxa"/>
            <w:tcBorders>
              <w:top w:val="nil"/>
              <w:bottom w:val="nil"/>
            </w:tcBorders>
            <w:vAlign w:val="center"/>
            <w:hideMark/>
          </w:tcPr>
          <w:p w14:paraId="6DD5254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-0.0039</w:t>
            </w:r>
          </w:p>
        </w:tc>
        <w:tc>
          <w:tcPr>
            <w:tcW w:w="1797" w:type="dxa"/>
            <w:tcBorders>
              <w:top w:val="nil"/>
              <w:bottom w:val="nil"/>
            </w:tcBorders>
            <w:vAlign w:val="center"/>
            <w:hideMark/>
          </w:tcPr>
          <w:p w14:paraId="25045CB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0.0356</w:t>
            </w:r>
          </w:p>
        </w:tc>
        <w:tc>
          <w:tcPr>
            <w:tcW w:w="1797" w:type="dxa"/>
            <w:tcBorders>
              <w:top w:val="nil"/>
              <w:bottom w:val="nil"/>
            </w:tcBorders>
            <w:vAlign w:val="center"/>
            <w:hideMark/>
          </w:tcPr>
          <w:p w14:paraId="33653C1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0.0342</w:t>
            </w:r>
          </w:p>
        </w:tc>
        <w:tc>
          <w:tcPr>
            <w:tcW w:w="1797" w:type="dxa"/>
            <w:tcBorders>
              <w:top w:val="nil"/>
              <w:bottom w:val="nil"/>
            </w:tcBorders>
            <w:vAlign w:val="center"/>
            <w:hideMark/>
          </w:tcPr>
          <w:p w14:paraId="4DBED18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-0.1136</w:t>
            </w:r>
          </w:p>
        </w:tc>
      </w:tr>
      <w:tr w:rsidR="00AB238E" w:rsidRPr="00705903" w14:paraId="4F569D05"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7A9673C" w14:textId="77777777" w:rsidR="00AB238E" w:rsidRPr="00705903" w:rsidRDefault="00AB238E" w:rsidP="0097761F">
            <w:pPr>
              <w:spacing w:line="259" w:lineRule="auto"/>
              <w:ind w:firstLine="0"/>
              <w:jc w:val="both"/>
              <w:rPr>
                <w:b w:val="0"/>
                <w:bCs w:val="0"/>
                <w:i/>
                <w:iCs/>
                <w:sz w:val="20"/>
                <w:szCs w:val="20"/>
                <w:lang w:val="en-US" w:eastAsia="zh-CN"/>
              </w:rPr>
            </w:pPr>
            <w:r w:rsidRPr="00705903">
              <w:rPr>
                <w:b w:val="0"/>
                <w:bCs w:val="0"/>
                <w:i/>
                <w:iCs/>
                <w:sz w:val="20"/>
                <w:szCs w:val="20"/>
                <w:lang w:val="en-US"/>
              </w:rPr>
              <w:t>G Factor</w:t>
            </w:r>
            <w:r w:rsidRPr="00705903">
              <w:rPr>
                <w:b w:val="0"/>
                <w:bCs w:val="0"/>
                <w:i/>
                <w:iCs/>
                <w:sz w:val="20"/>
                <w:szCs w:val="20"/>
                <w:lang w:val="en-US" w:eastAsia="zh-CN"/>
              </w:rPr>
              <w:t xml:space="preserve"> H-L</w:t>
            </w:r>
          </w:p>
        </w:tc>
        <w:tc>
          <w:tcPr>
            <w:tcW w:w="1797" w:type="dxa"/>
            <w:tcBorders>
              <w:top w:val="nil"/>
              <w:bottom w:val="nil"/>
            </w:tcBorders>
            <w:vAlign w:val="center"/>
            <w:hideMark/>
          </w:tcPr>
          <w:p w14:paraId="48EA555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-0.0092</w:t>
            </w:r>
          </w:p>
        </w:tc>
        <w:tc>
          <w:tcPr>
            <w:tcW w:w="1797" w:type="dxa"/>
            <w:tcBorders>
              <w:top w:val="nil"/>
              <w:bottom w:val="nil"/>
            </w:tcBorders>
            <w:vAlign w:val="center"/>
            <w:hideMark/>
          </w:tcPr>
          <w:p w14:paraId="60D9D88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0.0510</w:t>
            </w:r>
          </w:p>
        </w:tc>
        <w:tc>
          <w:tcPr>
            <w:tcW w:w="1797" w:type="dxa"/>
            <w:tcBorders>
              <w:top w:val="nil"/>
              <w:bottom w:val="nil"/>
            </w:tcBorders>
            <w:vAlign w:val="center"/>
            <w:hideMark/>
          </w:tcPr>
          <w:p w14:paraId="20559E8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0.0539</w:t>
            </w:r>
          </w:p>
        </w:tc>
        <w:tc>
          <w:tcPr>
            <w:tcW w:w="1797" w:type="dxa"/>
            <w:tcBorders>
              <w:top w:val="nil"/>
              <w:bottom w:val="nil"/>
            </w:tcBorders>
            <w:vAlign w:val="center"/>
            <w:hideMark/>
          </w:tcPr>
          <w:p w14:paraId="0FAF337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-0.1702</w:t>
            </w:r>
          </w:p>
        </w:tc>
      </w:tr>
      <w:tr w:rsidR="00AB238E" w:rsidRPr="00705903" w14:paraId="7FE6443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8D2B084"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CSI 300 Index</w:t>
            </w:r>
          </w:p>
        </w:tc>
        <w:tc>
          <w:tcPr>
            <w:tcW w:w="1797" w:type="dxa"/>
            <w:tcBorders>
              <w:top w:val="nil"/>
              <w:bottom w:val="nil"/>
            </w:tcBorders>
            <w:vAlign w:val="center"/>
            <w:hideMark/>
          </w:tcPr>
          <w:p w14:paraId="55CAA0C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0.0067</w:t>
            </w:r>
          </w:p>
        </w:tc>
        <w:tc>
          <w:tcPr>
            <w:tcW w:w="1797" w:type="dxa"/>
            <w:tcBorders>
              <w:top w:val="nil"/>
              <w:bottom w:val="nil"/>
            </w:tcBorders>
            <w:vAlign w:val="center"/>
            <w:hideMark/>
          </w:tcPr>
          <w:p w14:paraId="5986D08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0.0825</w:t>
            </w:r>
          </w:p>
        </w:tc>
        <w:tc>
          <w:tcPr>
            <w:tcW w:w="1797" w:type="dxa"/>
            <w:tcBorders>
              <w:top w:val="nil"/>
              <w:bottom w:val="nil"/>
            </w:tcBorders>
            <w:vAlign w:val="center"/>
            <w:hideMark/>
          </w:tcPr>
          <w:p w14:paraId="23FB9E6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0.0825</w:t>
            </w:r>
          </w:p>
        </w:tc>
        <w:tc>
          <w:tcPr>
            <w:tcW w:w="1797" w:type="dxa"/>
            <w:tcBorders>
              <w:top w:val="nil"/>
              <w:bottom w:val="nil"/>
            </w:tcBorders>
            <w:vAlign w:val="center"/>
            <w:hideMark/>
          </w:tcPr>
          <w:p w14:paraId="06F8551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0.0811</w:t>
            </w:r>
          </w:p>
        </w:tc>
      </w:tr>
      <w:tr w:rsidR="00AB238E" w:rsidRPr="00705903" w14:paraId="3006E003"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FD4473A"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SSE Composite Index</w:t>
            </w:r>
          </w:p>
        </w:tc>
        <w:tc>
          <w:tcPr>
            <w:tcW w:w="1797" w:type="dxa"/>
            <w:tcBorders>
              <w:top w:val="nil"/>
              <w:bottom w:val="nil"/>
            </w:tcBorders>
            <w:vAlign w:val="center"/>
            <w:hideMark/>
          </w:tcPr>
          <w:p w14:paraId="4DBD541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0.0035</w:t>
            </w:r>
          </w:p>
        </w:tc>
        <w:tc>
          <w:tcPr>
            <w:tcW w:w="1797" w:type="dxa"/>
            <w:tcBorders>
              <w:top w:val="nil"/>
              <w:bottom w:val="nil"/>
            </w:tcBorders>
            <w:vAlign w:val="center"/>
            <w:hideMark/>
          </w:tcPr>
          <w:p w14:paraId="7350A06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0.0744</w:t>
            </w:r>
          </w:p>
        </w:tc>
        <w:tc>
          <w:tcPr>
            <w:tcW w:w="1797" w:type="dxa"/>
            <w:tcBorders>
              <w:top w:val="nil"/>
              <w:bottom w:val="nil"/>
            </w:tcBorders>
            <w:vAlign w:val="center"/>
            <w:hideMark/>
          </w:tcPr>
          <w:p w14:paraId="7727187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0.0773</w:t>
            </w:r>
          </w:p>
        </w:tc>
        <w:tc>
          <w:tcPr>
            <w:tcW w:w="1797" w:type="dxa"/>
            <w:tcBorders>
              <w:top w:val="nil"/>
              <w:bottom w:val="nil"/>
            </w:tcBorders>
            <w:vAlign w:val="center"/>
            <w:hideMark/>
          </w:tcPr>
          <w:p w14:paraId="31E16C5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0.0452</w:t>
            </w:r>
          </w:p>
        </w:tc>
      </w:tr>
      <w:tr w:rsidR="00AB238E" w:rsidRPr="00705903" w14:paraId="2286A73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12CC9DB9"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SZSE Component Index</w:t>
            </w:r>
          </w:p>
        </w:tc>
        <w:tc>
          <w:tcPr>
            <w:tcW w:w="1797" w:type="dxa"/>
            <w:tcBorders>
              <w:top w:val="nil"/>
            </w:tcBorders>
            <w:vAlign w:val="center"/>
            <w:hideMark/>
          </w:tcPr>
          <w:p w14:paraId="4ECB726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0.0064</w:t>
            </w:r>
          </w:p>
        </w:tc>
        <w:tc>
          <w:tcPr>
            <w:tcW w:w="1797" w:type="dxa"/>
            <w:tcBorders>
              <w:top w:val="nil"/>
            </w:tcBorders>
            <w:vAlign w:val="center"/>
            <w:hideMark/>
          </w:tcPr>
          <w:p w14:paraId="6DF011E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0.0867</w:t>
            </w:r>
          </w:p>
        </w:tc>
        <w:tc>
          <w:tcPr>
            <w:tcW w:w="1797" w:type="dxa"/>
            <w:tcBorders>
              <w:top w:val="nil"/>
            </w:tcBorders>
            <w:vAlign w:val="center"/>
            <w:hideMark/>
          </w:tcPr>
          <w:p w14:paraId="2DECF31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0.0863</w:t>
            </w:r>
          </w:p>
        </w:tc>
        <w:tc>
          <w:tcPr>
            <w:tcW w:w="1797" w:type="dxa"/>
            <w:tcBorders>
              <w:top w:val="nil"/>
            </w:tcBorders>
            <w:vAlign w:val="center"/>
            <w:hideMark/>
          </w:tcPr>
          <w:p w14:paraId="7636772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0.0737</w:t>
            </w:r>
          </w:p>
        </w:tc>
      </w:tr>
    </w:tbl>
    <w:p w14:paraId="22C95607" w14:textId="77777777" w:rsidR="00AB238E" w:rsidRPr="00705903" w:rsidRDefault="00AB238E" w:rsidP="0097761F">
      <w:pPr>
        <w:spacing w:line="259" w:lineRule="auto"/>
        <w:ind w:firstLine="0"/>
        <w:jc w:val="both"/>
        <w:rPr>
          <w:sz w:val="20"/>
          <w:szCs w:val="20"/>
        </w:rPr>
      </w:pPr>
    </w:p>
    <w:p w14:paraId="20F5FFBF" w14:textId="77777777" w:rsidR="00AB238E" w:rsidRPr="00705903" w:rsidRDefault="00AB238E" w:rsidP="0097761F">
      <w:pPr>
        <w:spacing w:line="259" w:lineRule="auto"/>
        <w:ind w:firstLine="0"/>
        <w:jc w:val="both"/>
        <w:rPr>
          <w:sz w:val="20"/>
          <w:szCs w:val="20"/>
        </w:rPr>
      </w:pPr>
    </w:p>
    <w:p w14:paraId="1860F484" w14:textId="77777777" w:rsidR="00AB238E" w:rsidRPr="00705903" w:rsidRDefault="00AB238E" w:rsidP="0097761F">
      <w:pPr>
        <w:spacing w:line="259" w:lineRule="auto"/>
        <w:ind w:firstLine="0"/>
        <w:jc w:val="both"/>
        <w:rPr>
          <w:sz w:val="20"/>
          <w:szCs w:val="20"/>
        </w:rPr>
      </w:pPr>
    </w:p>
    <w:p w14:paraId="5A913349" w14:textId="77777777" w:rsidR="00AB238E" w:rsidRPr="00705903" w:rsidRDefault="00AB238E" w:rsidP="0097761F">
      <w:pPr>
        <w:spacing w:line="259" w:lineRule="auto"/>
        <w:ind w:firstLine="0"/>
        <w:jc w:val="both"/>
        <w:rPr>
          <w:sz w:val="20"/>
          <w:szCs w:val="20"/>
        </w:rPr>
      </w:pPr>
    </w:p>
    <w:p w14:paraId="0F694E5D" w14:textId="77777777" w:rsidR="00AB238E" w:rsidRPr="00705903" w:rsidRDefault="00AB238E" w:rsidP="0097761F">
      <w:pPr>
        <w:spacing w:after="160" w:line="259" w:lineRule="auto"/>
        <w:ind w:firstLine="0"/>
        <w:jc w:val="both"/>
        <w:rPr>
          <w:sz w:val="20"/>
          <w:szCs w:val="20"/>
        </w:rPr>
      </w:pPr>
      <w:r w:rsidRPr="00705903">
        <w:rPr>
          <w:sz w:val="20"/>
          <w:szCs w:val="20"/>
        </w:rPr>
        <w:br w:type="page"/>
      </w:r>
    </w:p>
    <w:p w14:paraId="55F00D44" w14:textId="77777777" w:rsidR="00AB238E" w:rsidRPr="00705903" w:rsidRDefault="00AB238E" w:rsidP="0097761F">
      <w:pPr>
        <w:pStyle w:val="Heading1"/>
      </w:pPr>
      <w:r w:rsidRPr="00705903">
        <w:rPr>
          <w:rStyle w:val="Heading1Char"/>
          <w:b/>
          <w:bCs/>
        </w:rPr>
        <w:t>Table 35. Crash Risk and ESG Resilience under Extreme Market Conditions</w:t>
      </w:r>
      <w:r w:rsidRPr="00705903">
        <w:rPr>
          <w:rStyle w:val="Heading1Char"/>
          <w:b/>
          <w:bCs/>
        </w:rPr>
        <w:br/>
      </w:r>
    </w:p>
    <w:p w14:paraId="7539CE7B" w14:textId="77777777" w:rsidR="00AB238E" w:rsidRPr="00705903" w:rsidRDefault="00AB238E" w:rsidP="0097761F">
      <w:pPr>
        <w:spacing w:line="259" w:lineRule="auto"/>
        <w:ind w:firstLine="0"/>
        <w:jc w:val="both"/>
        <w:rPr>
          <w:sz w:val="20"/>
          <w:szCs w:val="20"/>
        </w:rPr>
      </w:pPr>
      <w:r w:rsidRPr="00705903">
        <w:rPr>
          <w:sz w:val="20"/>
          <w:szCs w:val="20"/>
        </w:rPr>
        <w:t>This table reports the estimated market crash sensitivities (</w:t>
      </w:r>
      <m:oMath>
        <m:sSubSup>
          <m:sSubSupPr>
            <m:ctrlPr>
              <w:rPr>
                <w:rFonts w:ascii="Cambria Math" w:hAnsi="Cambria Math"/>
                <w:i/>
                <w:iCs/>
                <w:sz w:val="20"/>
                <w:szCs w:val="20"/>
                <w:lang w:val="en-US"/>
              </w:rPr>
            </m:ctrlPr>
          </m:sSubSupPr>
          <m:e>
            <m:r>
              <w:rPr>
                <w:rFonts w:ascii="Cambria Math" w:hAnsi="Cambria Math"/>
                <w:sz w:val="20"/>
                <w:szCs w:val="20"/>
                <w:lang w:val="en-US"/>
              </w:rPr>
              <m:t>β</m:t>
            </m:r>
          </m:e>
          <m:sub>
            <m:r>
              <w:rPr>
                <w:rFonts w:ascii="Cambria Math" w:hAnsi="Cambria Math"/>
                <w:sz w:val="20"/>
                <w:szCs w:val="20"/>
                <w:lang w:val="en-US"/>
              </w:rPr>
              <m:t>cr</m:t>
            </m:r>
            <m:r>
              <m:rPr>
                <m:sty m:val="bi"/>
              </m:rPr>
              <w:rPr>
                <w:rFonts w:ascii="Cambria Math" w:hAnsi="Cambria Math"/>
                <w:sz w:val="20"/>
                <w:szCs w:val="20"/>
                <w:lang w:val="en-US"/>
              </w:rPr>
              <m:t>as</m:t>
            </m:r>
            <m:r>
              <w:rPr>
                <w:rFonts w:ascii="Cambria Math" w:hAnsi="Cambria Math"/>
                <w:sz w:val="20"/>
                <w:szCs w:val="20"/>
                <w:lang w:val="en-US"/>
              </w:rPr>
              <m:t>h</m:t>
            </m:r>
          </m:sub>
          <m:sup>
            <m:r>
              <w:rPr>
                <w:rFonts w:ascii="Cambria Math" w:hAnsi="Cambria Math"/>
                <w:sz w:val="20"/>
                <w:szCs w:val="20"/>
                <w:lang w:val="en-US"/>
              </w:rPr>
              <m:t>Mkt</m:t>
            </m:r>
          </m:sup>
        </m:sSubSup>
      </m:oMath>
      <w:r w:rsidRPr="00705903">
        <w:rPr>
          <w:sz w:val="20"/>
          <w:szCs w:val="20"/>
        </w:rPr>
        <w:t>) and associated p-values for ESG-related portfolios under varying downside thresholds (–5% to –11%). Each panel compares the average portfolio returns during normal and crash periods.</w:t>
      </w:r>
      <w:r w:rsidRPr="00705903">
        <w:rPr>
          <w:sz w:val="20"/>
          <w:szCs w:val="20"/>
          <w:lang w:eastAsia="zh-CN"/>
        </w:rPr>
        <w:t xml:space="preserve"> </w:t>
      </w:r>
      <w:r w:rsidRPr="00705903">
        <w:rPr>
          <w:sz w:val="20"/>
          <w:szCs w:val="20"/>
        </w:rPr>
        <w:t>The results reveal that the aggregate ESG factor exhibits overall crash resilience, with limited co-movement during systemic selloffs. Sub-pillar analyses demonstrate heterogeneity: the Environmental (E) factor shows mild short-term fragility, the Social (S) factor displays strong defensive performance, and the Governance (G) factor appears most exposed to crisis-related risks.</w:t>
      </w:r>
    </w:p>
    <w:p w14:paraId="45B32A49" w14:textId="77777777" w:rsidR="00AB238E" w:rsidRPr="00705903" w:rsidRDefault="00AB238E" w:rsidP="0097761F">
      <w:pPr>
        <w:spacing w:line="259" w:lineRule="auto"/>
        <w:ind w:firstLine="0"/>
        <w:jc w:val="both"/>
        <w:rPr>
          <w:sz w:val="20"/>
          <w:szCs w:val="20"/>
        </w:rPr>
      </w:pPr>
    </w:p>
    <w:p w14:paraId="056A180D"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 xml:space="preserve">Panel A reports </w:t>
      </w:r>
      <w:proofErr w:type="gramStart"/>
      <w:r w:rsidRPr="00705903">
        <w:rPr>
          <w:sz w:val="20"/>
          <w:szCs w:val="20"/>
          <w:lang w:eastAsia="zh-CN"/>
        </w:rPr>
        <w:t>results</w:t>
      </w:r>
      <w:proofErr w:type="gramEnd"/>
      <w:r w:rsidRPr="00705903">
        <w:rPr>
          <w:sz w:val="20"/>
          <w:szCs w:val="20"/>
          <w:lang w:eastAsia="zh-CN"/>
        </w:rPr>
        <w:t xml:space="preserve"> for the aggregate ESG (H–L) factor. The ESG H–L factor exhibits consistently small and statistically insignificant crash betas across all thresholds, confirming its resilience during extreme market downturns. Even under severe cutoffs (–9% and –11%), the negative but weak </w:t>
      </w:r>
      <m:oMath>
        <m:sSubSup>
          <m:sSubSupPr>
            <m:ctrlPr>
              <w:rPr>
                <w:rFonts w:ascii="Cambria Math" w:hAnsi="Cambria Math"/>
                <w:i/>
                <w:iCs/>
                <w:sz w:val="20"/>
                <w:szCs w:val="20"/>
                <w:lang w:val="en-US"/>
              </w:rPr>
            </m:ctrlPr>
          </m:sSubSupPr>
          <m:e>
            <m:r>
              <w:rPr>
                <w:rFonts w:ascii="Cambria Math" w:hAnsi="Cambria Math"/>
                <w:sz w:val="20"/>
                <w:szCs w:val="20"/>
                <w:lang w:val="en-US"/>
              </w:rPr>
              <m:t>β</m:t>
            </m:r>
          </m:e>
          <m:sub>
            <m:r>
              <w:rPr>
                <w:rFonts w:ascii="Cambria Math" w:hAnsi="Cambria Math"/>
                <w:sz w:val="20"/>
                <w:szCs w:val="20"/>
                <w:lang w:val="en-US"/>
              </w:rPr>
              <m:t>crash</m:t>
            </m:r>
          </m:sub>
          <m:sup>
            <m:r>
              <w:rPr>
                <w:rFonts w:ascii="Cambria Math" w:hAnsi="Cambria Math"/>
                <w:sz w:val="20"/>
                <w:szCs w:val="20"/>
                <w:lang w:val="en-US"/>
              </w:rPr>
              <m:t>Mkt</m:t>
            </m:r>
          </m:sup>
        </m:sSubSup>
      </m:oMath>
      <w:r w:rsidRPr="00705903">
        <w:rPr>
          <w:sz w:val="20"/>
          <w:szCs w:val="20"/>
          <w:lang w:eastAsia="zh-CN"/>
        </w:rPr>
        <w:t xml:space="preserve"> suggests limited co-movement with systemic selloffs, highlighting ESG portfolios’ defensive risk characteristics.</w:t>
      </w:r>
    </w:p>
    <w:p w14:paraId="522962EB" w14:textId="77777777" w:rsidR="00AB238E" w:rsidRPr="00705903" w:rsidRDefault="00AB238E" w:rsidP="0097761F">
      <w:pPr>
        <w:spacing w:line="259" w:lineRule="auto"/>
        <w:ind w:firstLine="0"/>
        <w:jc w:val="both"/>
        <w:rPr>
          <w:sz w:val="20"/>
          <w:szCs w:val="20"/>
          <w:lang w:eastAsia="zh-CN"/>
        </w:rPr>
      </w:pPr>
    </w:p>
    <w:p w14:paraId="18C4B40E"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Panel B summarizes the crash sensitivity of the Environmental (E) factor. The E-factor displays significantly positive crash betas at milder thresholds (–5% to –7%), indicating mild vulnerability to moderate market stress. This pattern likely reflects investors’ tendency to de-risk green assets during liquidity crunches. However, the effect dissipates under severe crashes, suggesting environmental portfolios remain relatively robust when systemic stress peaks.</w:t>
      </w:r>
    </w:p>
    <w:p w14:paraId="4D3C3907" w14:textId="77777777" w:rsidR="00AB238E" w:rsidRPr="00705903" w:rsidRDefault="00AB238E" w:rsidP="0097761F">
      <w:pPr>
        <w:spacing w:line="259" w:lineRule="auto"/>
        <w:ind w:firstLine="0"/>
        <w:jc w:val="both"/>
        <w:rPr>
          <w:sz w:val="20"/>
          <w:szCs w:val="20"/>
          <w:lang w:eastAsia="zh-CN"/>
        </w:rPr>
      </w:pPr>
    </w:p>
    <w:p w14:paraId="1A64A760"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 xml:space="preserve">Panel C illustrates the behaviour of the Social (S) factor under crash conditions. The S-factor remains largely unaffected by market crashes and even shows positive returns during stress periods, consistent with the notion that socially responsible firms possess stronger stakeholder support and liquidity resilience. The near-zero </w:t>
      </w:r>
      <w:proofErr w:type="gramStart"/>
      <w:r w:rsidRPr="00705903">
        <w:rPr>
          <w:sz w:val="20"/>
          <w:szCs w:val="20"/>
          <w:lang w:eastAsia="zh-CN"/>
        </w:rPr>
        <w:t>crash</w:t>
      </w:r>
      <w:proofErr w:type="gramEnd"/>
      <w:r w:rsidRPr="00705903">
        <w:rPr>
          <w:sz w:val="20"/>
          <w:szCs w:val="20"/>
          <w:lang w:eastAsia="zh-CN"/>
        </w:rPr>
        <w:t xml:space="preserve"> β values confirm the defensive and low-correlation nature of the social pillar.</w:t>
      </w:r>
    </w:p>
    <w:p w14:paraId="2275BB95" w14:textId="77777777" w:rsidR="00AB238E" w:rsidRPr="00705903" w:rsidRDefault="00AB238E" w:rsidP="0097761F">
      <w:pPr>
        <w:spacing w:line="259" w:lineRule="auto"/>
        <w:ind w:firstLine="0"/>
        <w:jc w:val="both"/>
        <w:rPr>
          <w:sz w:val="20"/>
          <w:szCs w:val="20"/>
          <w:lang w:eastAsia="zh-CN"/>
        </w:rPr>
      </w:pPr>
    </w:p>
    <w:p w14:paraId="19AA1554"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 xml:space="preserve">Panel D reports </w:t>
      </w:r>
      <w:proofErr w:type="gramStart"/>
      <w:r w:rsidRPr="00705903">
        <w:rPr>
          <w:sz w:val="20"/>
          <w:szCs w:val="20"/>
          <w:lang w:eastAsia="zh-CN"/>
        </w:rPr>
        <w:t>results</w:t>
      </w:r>
      <w:proofErr w:type="gramEnd"/>
      <w:r w:rsidRPr="00705903">
        <w:rPr>
          <w:sz w:val="20"/>
          <w:szCs w:val="20"/>
          <w:lang w:eastAsia="zh-CN"/>
        </w:rPr>
        <w:t xml:space="preserve"> for the Governance (G) factor. The G-factor exhibits the most consistently negative crash betas among all sub-pillars, with near-significant coefficients (p ≈ 0.10) under stricter thresholds. This implies that governance-related portfolios are more exposed to systemic stress, possibly due to their concentration in financial and real estate sectors, which are more sensitive to liquidity shocks and policy tightening.</w:t>
      </w:r>
    </w:p>
    <w:p w14:paraId="2D00F4F5" w14:textId="77777777" w:rsidR="00AB238E" w:rsidRPr="00705903" w:rsidRDefault="00AB238E" w:rsidP="0097761F">
      <w:pPr>
        <w:spacing w:line="259" w:lineRule="auto"/>
        <w:ind w:firstLine="0"/>
        <w:jc w:val="both"/>
        <w:rPr>
          <w:sz w:val="20"/>
          <w:szCs w:val="20"/>
          <w:lang w:eastAsia="zh-CN"/>
        </w:rPr>
      </w:pPr>
    </w:p>
    <w:p w14:paraId="18C232BF" w14:textId="77777777" w:rsidR="00AB238E" w:rsidRPr="00705903" w:rsidRDefault="00AB238E" w:rsidP="0097761F">
      <w:pPr>
        <w:spacing w:line="259" w:lineRule="auto"/>
        <w:ind w:firstLine="0"/>
        <w:jc w:val="both"/>
        <w:rPr>
          <w:sz w:val="20"/>
          <w:szCs w:val="20"/>
          <w:lang w:eastAsia="zh-CN"/>
        </w:rPr>
      </w:pPr>
    </w:p>
    <w:p w14:paraId="6D2197C2"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Panel A. ESG (H–L) Factor</w:t>
      </w:r>
    </w:p>
    <w:tbl>
      <w:tblPr>
        <w:tblStyle w:val="PlainTable2"/>
        <w:tblW w:w="0" w:type="auto"/>
        <w:tblLook w:val="04A0" w:firstRow="1" w:lastRow="0" w:firstColumn="1" w:lastColumn="0" w:noHBand="0" w:noVBand="1"/>
      </w:tblPr>
      <w:tblGrid>
        <w:gridCol w:w="1027"/>
        <w:gridCol w:w="2060"/>
        <w:gridCol w:w="2061"/>
        <w:gridCol w:w="2061"/>
        <w:gridCol w:w="2061"/>
      </w:tblGrid>
      <w:tr w:rsidR="00AB238E" w:rsidRPr="00705903" w14:paraId="251718A6"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7ED88"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Threshold</w:t>
            </w:r>
          </w:p>
        </w:tc>
        <w:tc>
          <w:tcPr>
            <w:tcW w:w="2060" w:type="dxa"/>
            <w:vAlign w:val="center"/>
            <w:hideMark/>
          </w:tcPr>
          <w:p w14:paraId="5CF03E37" w14:textId="77777777" w:rsidR="00AB238E" w:rsidRPr="00705903" w:rsidRDefault="00000000"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m:oMathPara>
              <m:oMath>
                <m:sSubSup>
                  <m:sSubSupPr>
                    <m:ctrlPr>
                      <w:rPr>
                        <w:rFonts w:ascii="Cambria Math" w:hAnsi="Cambria Math"/>
                        <w:b w:val="0"/>
                        <w:bCs w:val="0"/>
                        <w:i/>
                        <w:iCs/>
                        <w:sz w:val="20"/>
                        <w:szCs w:val="20"/>
                        <w:lang w:val="en-US"/>
                      </w:rPr>
                    </m:ctrlPr>
                  </m:sSubSupPr>
                  <m:e>
                    <m:r>
                      <m:rPr>
                        <m:sty m:val="bi"/>
                      </m:rPr>
                      <w:rPr>
                        <w:rFonts w:ascii="Cambria Math" w:hAnsi="Cambria Math"/>
                        <w:sz w:val="20"/>
                        <w:szCs w:val="20"/>
                        <w:lang w:val="en-US"/>
                      </w:rPr>
                      <m:t>β</m:t>
                    </m:r>
                  </m:e>
                  <m:sub>
                    <m:r>
                      <m:rPr>
                        <m:sty m:val="bi"/>
                      </m:rPr>
                      <w:rPr>
                        <w:rFonts w:ascii="Cambria Math" w:hAnsi="Cambria Math"/>
                        <w:sz w:val="20"/>
                        <w:szCs w:val="20"/>
                        <w:lang w:val="en-US"/>
                      </w:rPr>
                      <m:t>crash</m:t>
                    </m:r>
                  </m:sub>
                  <m:sup>
                    <m:r>
                      <m:rPr>
                        <m:sty m:val="bi"/>
                      </m:rPr>
                      <w:rPr>
                        <w:rFonts w:ascii="Cambria Math" w:hAnsi="Cambria Math"/>
                        <w:sz w:val="20"/>
                        <w:szCs w:val="20"/>
                        <w:lang w:val="en-US"/>
                      </w:rPr>
                      <m:t>Mkt</m:t>
                    </m:r>
                  </m:sup>
                </m:sSubSup>
              </m:oMath>
            </m:oMathPara>
          </w:p>
        </w:tc>
        <w:tc>
          <w:tcPr>
            <w:tcW w:w="2061" w:type="dxa"/>
            <w:vAlign w:val="center"/>
            <w:hideMark/>
          </w:tcPr>
          <w:p w14:paraId="078FAC96"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p-value</w:t>
            </w:r>
          </w:p>
        </w:tc>
        <w:tc>
          <w:tcPr>
            <w:tcW w:w="2061" w:type="dxa"/>
            <w:vAlign w:val="center"/>
            <w:hideMark/>
          </w:tcPr>
          <w:p w14:paraId="2DDC997C"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ESG (Normal)</w:t>
            </w:r>
          </w:p>
        </w:tc>
        <w:tc>
          <w:tcPr>
            <w:tcW w:w="2061" w:type="dxa"/>
            <w:vAlign w:val="center"/>
            <w:hideMark/>
          </w:tcPr>
          <w:p w14:paraId="02F8FD3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ESG (Crash)</w:t>
            </w:r>
          </w:p>
        </w:tc>
      </w:tr>
      <w:tr w:rsidR="00AB238E" w:rsidRPr="00705903" w14:paraId="55F0B09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021960D7"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–0.05</w:t>
            </w:r>
          </w:p>
        </w:tc>
        <w:tc>
          <w:tcPr>
            <w:tcW w:w="2060" w:type="dxa"/>
            <w:tcBorders>
              <w:bottom w:val="nil"/>
            </w:tcBorders>
            <w:vAlign w:val="center"/>
            <w:hideMark/>
          </w:tcPr>
          <w:p w14:paraId="22A4DBF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–0.0168</w:t>
            </w:r>
          </w:p>
        </w:tc>
        <w:tc>
          <w:tcPr>
            <w:tcW w:w="2061" w:type="dxa"/>
            <w:tcBorders>
              <w:bottom w:val="nil"/>
            </w:tcBorders>
            <w:vAlign w:val="center"/>
            <w:hideMark/>
          </w:tcPr>
          <w:p w14:paraId="2998687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0.808</w:t>
            </w:r>
          </w:p>
        </w:tc>
        <w:tc>
          <w:tcPr>
            <w:tcW w:w="2061" w:type="dxa"/>
            <w:tcBorders>
              <w:bottom w:val="nil"/>
            </w:tcBorders>
            <w:vAlign w:val="center"/>
            <w:hideMark/>
          </w:tcPr>
          <w:p w14:paraId="56ED12E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–0.0035</w:t>
            </w:r>
          </w:p>
        </w:tc>
        <w:tc>
          <w:tcPr>
            <w:tcW w:w="2061" w:type="dxa"/>
            <w:tcBorders>
              <w:bottom w:val="nil"/>
            </w:tcBorders>
            <w:vAlign w:val="center"/>
            <w:hideMark/>
          </w:tcPr>
          <w:p w14:paraId="5FFBB23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–0.0024</w:t>
            </w:r>
          </w:p>
        </w:tc>
      </w:tr>
      <w:tr w:rsidR="00AB238E" w:rsidRPr="00705903" w14:paraId="2345F23B"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DB344B6"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–0.06</w:t>
            </w:r>
          </w:p>
        </w:tc>
        <w:tc>
          <w:tcPr>
            <w:tcW w:w="2060" w:type="dxa"/>
            <w:tcBorders>
              <w:top w:val="nil"/>
              <w:bottom w:val="nil"/>
            </w:tcBorders>
            <w:vAlign w:val="center"/>
            <w:hideMark/>
          </w:tcPr>
          <w:p w14:paraId="315FA1E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–0.0492</w:t>
            </w:r>
          </w:p>
        </w:tc>
        <w:tc>
          <w:tcPr>
            <w:tcW w:w="2061" w:type="dxa"/>
            <w:tcBorders>
              <w:top w:val="nil"/>
              <w:bottom w:val="nil"/>
            </w:tcBorders>
            <w:vAlign w:val="center"/>
            <w:hideMark/>
          </w:tcPr>
          <w:p w14:paraId="3CD3061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0.455</w:t>
            </w:r>
          </w:p>
        </w:tc>
        <w:tc>
          <w:tcPr>
            <w:tcW w:w="2061" w:type="dxa"/>
            <w:tcBorders>
              <w:top w:val="nil"/>
              <w:bottom w:val="nil"/>
            </w:tcBorders>
            <w:vAlign w:val="center"/>
            <w:hideMark/>
          </w:tcPr>
          <w:p w14:paraId="069C8A4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–0.0041</w:t>
            </w:r>
          </w:p>
        </w:tc>
        <w:tc>
          <w:tcPr>
            <w:tcW w:w="2061" w:type="dxa"/>
            <w:tcBorders>
              <w:top w:val="nil"/>
              <w:bottom w:val="nil"/>
            </w:tcBorders>
            <w:vAlign w:val="center"/>
            <w:hideMark/>
          </w:tcPr>
          <w:p w14:paraId="3E717FF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0.0008</w:t>
            </w:r>
          </w:p>
        </w:tc>
      </w:tr>
      <w:tr w:rsidR="00AB238E" w:rsidRPr="00705903" w14:paraId="459E893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D6A8551"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–0.07</w:t>
            </w:r>
          </w:p>
        </w:tc>
        <w:tc>
          <w:tcPr>
            <w:tcW w:w="2060" w:type="dxa"/>
            <w:tcBorders>
              <w:top w:val="nil"/>
              <w:bottom w:val="nil"/>
            </w:tcBorders>
            <w:vAlign w:val="center"/>
            <w:hideMark/>
          </w:tcPr>
          <w:p w14:paraId="0A8963F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–0.0047</w:t>
            </w:r>
          </w:p>
        </w:tc>
        <w:tc>
          <w:tcPr>
            <w:tcW w:w="2061" w:type="dxa"/>
            <w:tcBorders>
              <w:top w:val="nil"/>
              <w:bottom w:val="nil"/>
            </w:tcBorders>
            <w:vAlign w:val="center"/>
            <w:hideMark/>
          </w:tcPr>
          <w:p w14:paraId="53CDF2D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0.941</w:t>
            </w:r>
          </w:p>
        </w:tc>
        <w:tc>
          <w:tcPr>
            <w:tcW w:w="2061" w:type="dxa"/>
            <w:tcBorders>
              <w:top w:val="nil"/>
              <w:bottom w:val="nil"/>
            </w:tcBorders>
            <w:vAlign w:val="center"/>
            <w:hideMark/>
          </w:tcPr>
          <w:p w14:paraId="1EEB288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–0.0031</w:t>
            </w:r>
          </w:p>
        </w:tc>
        <w:tc>
          <w:tcPr>
            <w:tcW w:w="2061" w:type="dxa"/>
            <w:tcBorders>
              <w:top w:val="nil"/>
              <w:bottom w:val="nil"/>
            </w:tcBorders>
            <w:vAlign w:val="center"/>
            <w:hideMark/>
          </w:tcPr>
          <w:p w14:paraId="3E7FBDB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–0.0042</w:t>
            </w:r>
          </w:p>
        </w:tc>
      </w:tr>
      <w:tr w:rsidR="00AB238E" w:rsidRPr="00705903" w14:paraId="041614CA"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E0324D3"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–0.08</w:t>
            </w:r>
          </w:p>
        </w:tc>
        <w:tc>
          <w:tcPr>
            <w:tcW w:w="2060" w:type="dxa"/>
            <w:tcBorders>
              <w:top w:val="nil"/>
              <w:bottom w:val="nil"/>
            </w:tcBorders>
            <w:vAlign w:val="center"/>
            <w:hideMark/>
          </w:tcPr>
          <w:p w14:paraId="09A899A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–0.0951</w:t>
            </w:r>
          </w:p>
        </w:tc>
        <w:tc>
          <w:tcPr>
            <w:tcW w:w="2061" w:type="dxa"/>
            <w:tcBorders>
              <w:top w:val="nil"/>
              <w:bottom w:val="nil"/>
            </w:tcBorders>
            <w:vAlign w:val="center"/>
            <w:hideMark/>
          </w:tcPr>
          <w:p w14:paraId="241C78C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0.122</w:t>
            </w:r>
          </w:p>
        </w:tc>
        <w:tc>
          <w:tcPr>
            <w:tcW w:w="2061" w:type="dxa"/>
            <w:tcBorders>
              <w:top w:val="nil"/>
              <w:bottom w:val="nil"/>
            </w:tcBorders>
            <w:vAlign w:val="center"/>
            <w:hideMark/>
          </w:tcPr>
          <w:p w14:paraId="73518E6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–0.0045</w:t>
            </w:r>
          </w:p>
        </w:tc>
        <w:tc>
          <w:tcPr>
            <w:tcW w:w="2061" w:type="dxa"/>
            <w:tcBorders>
              <w:top w:val="nil"/>
              <w:bottom w:val="nil"/>
            </w:tcBorders>
            <w:vAlign w:val="center"/>
            <w:hideMark/>
          </w:tcPr>
          <w:p w14:paraId="1AD1F7A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0.0103</w:t>
            </w:r>
          </w:p>
        </w:tc>
      </w:tr>
      <w:tr w:rsidR="00AB238E" w:rsidRPr="00705903" w14:paraId="5F2E423A"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E28446D"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–0.09</w:t>
            </w:r>
          </w:p>
        </w:tc>
        <w:tc>
          <w:tcPr>
            <w:tcW w:w="2060" w:type="dxa"/>
            <w:tcBorders>
              <w:top w:val="nil"/>
              <w:bottom w:val="nil"/>
            </w:tcBorders>
            <w:vAlign w:val="center"/>
            <w:hideMark/>
          </w:tcPr>
          <w:p w14:paraId="49D5E88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–0.1025</w:t>
            </w:r>
          </w:p>
        </w:tc>
        <w:tc>
          <w:tcPr>
            <w:tcW w:w="2061" w:type="dxa"/>
            <w:tcBorders>
              <w:top w:val="nil"/>
              <w:bottom w:val="nil"/>
            </w:tcBorders>
            <w:vAlign w:val="center"/>
            <w:hideMark/>
          </w:tcPr>
          <w:p w14:paraId="2E46889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0.095</w:t>
            </w:r>
          </w:p>
        </w:tc>
        <w:tc>
          <w:tcPr>
            <w:tcW w:w="2061" w:type="dxa"/>
            <w:tcBorders>
              <w:top w:val="nil"/>
              <w:bottom w:val="nil"/>
            </w:tcBorders>
            <w:vAlign w:val="center"/>
            <w:hideMark/>
          </w:tcPr>
          <w:p w14:paraId="62F1F06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–0.0046</w:t>
            </w:r>
          </w:p>
        </w:tc>
        <w:tc>
          <w:tcPr>
            <w:tcW w:w="2061" w:type="dxa"/>
            <w:tcBorders>
              <w:top w:val="nil"/>
              <w:bottom w:val="nil"/>
            </w:tcBorders>
            <w:vAlign w:val="center"/>
            <w:hideMark/>
          </w:tcPr>
          <w:p w14:paraId="769F7A9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0.0139</w:t>
            </w:r>
          </w:p>
        </w:tc>
      </w:tr>
      <w:tr w:rsidR="00AB238E" w:rsidRPr="00705903" w14:paraId="78CACB2B"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CAF8969"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–0.10</w:t>
            </w:r>
          </w:p>
        </w:tc>
        <w:tc>
          <w:tcPr>
            <w:tcW w:w="2060" w:type="dxa"/>
            <w:tcBorders>
              <w:top w:val="nil"/>
              <w:bottom w:val="nil"/>
            </w:tcBorders>
            <w:vAlign w:val="center"/>
            <w:hideMark/>
          </w:tcPr>
          <w:p w14:paraId="4537288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–0.0932</w:t>
            </w:r>
          </w:p>
        </w:tc>
        <w:tc>
          <w:tcPr>
            <w:tcW w:w="2061" w:type="dxa"/>
            <w:tcBorders>
              <w:top w:val="nil"/>
              <w:bottom w:val="nil"/>
            </w:tcBorders>
            <w:vAlign w:val="center"/>
            <w:hideMark/>
          </w:tcPr>
          <w:p w14:paraId="701BBE4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0.130</w:t>
            </w:r>
          </w:p>
        </w:tc>
        <w:tc>
          <w:tcPr>
            <w:tcW w:w="2061" w:type="dxa"/>
            <w:tcBorders>
              <w:top w:val="nil"/>
              <w:bottom w:val="nil"/>
            </w:tcBorders>
            <w:vAlign w:val="center"/>
            <w:hideMark/>
          </w:tcPr>
          <w:p w14:paraId="735EA85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–0.0044</w:t>
            </w:r>
          </w:p>
        </w:tc>
        <w:tc>
          <w:tcPr>
            <w:tcW w:w="2061" w:type="dxa"/>
            <w:tcBorders>
              <w:top w:val="nil"/>
              <w:bottom w:val="nil"/>
            </w:tcBorders>
            <w:vAlign w:val="center"/>
            <w:hideMark/>
          </w:tcPr>
          <w:p w14:paraId="116C0A1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0.0139</w:t>
            </w:r>
          </w:p>
        </w:tc>
      </w:tr>
      <w:tr w:rsidR="00AB238E" w:rsidRPr="00705903" w14:paraId="6FAE41F4"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16E13C24"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–0.11</w:t>
            </w:r>
          </w:p>
        </w:tc>
        <w:tc>
          <w:tcPr>
            <w:tcW w:w="2060" w:type="dxa"/>
            <w:tcBorders>
              <w:top w:val="nil"/>
            </w:tcBorders>
            <w:vAlign w:val="center"/>
            <w:hideMark/>
          </w:tcPr>
          <w:p w14:paraId="59CCECF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–0.1023</w:t>
            </w:r>
          </w:p>
        </w:tc>
        <w:tc>
          <w:tcPr>
            <w:tcW w:w="2061" w:type="dxa"/>
            <w:tcBorders>
              <w:top w:val="nil"/>
            </w:tcBorders>
            <w:vAlign w:val="center"/>
            <w:hideMark/>
          </w:tcPr>
          <w:p w14:paraId="25AADEC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0.097</w:t>
            </w:r>
          </w:p>
        </w:tc>
        <w:tc>
          <w:tcPr>
            <w:tcW w:w="2061" w:type="dxa"/>
            <w:tcBorders>
              <w:top w:val="nil"/>
            </w:tcBorders>
            <w:vAlign w:val="center"/>
            <w:hideMark/>
          </w:tcPr>
          <w:p w14:paraId="27312A1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–0.0044</w:t>
            </w:r>
          </w:p>
        </w:tc>
        <w:tc>
          <w:tcPr>
            <w:tcW w:w="2061" w:type="dxa"/>
            <w:tcBorders>
              <w:top w:val="nil"/>
            </w:tcBorders>
            <w:vAlign w:val="center"/>
            <w:hideMark/>
          </w:tcPr>
          <w:p w14:paraId="2429B91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0.0169</w:t>
            </w:r>
          </w:p>
        </w:tc>
      </w:tr>
    </w:tbl>
    <w:p w14:paraId="0B2519FE" w14:textId="77777777" w:rsidR="00AB238E" w:rsidRPr="00705903" w:rsidRDefault="00AB238E" w:rsidP="0097761F">
      <w:pPr>
        <w:spacing w:line="259" w:lineRule="auto"/>
        <w:ind w:firstLine="0"/>
        <w:jc w:val="both"/>
        <w:rPr>
          <w:sz w:val="20"/>
          <w:szCs w:val="20"/>
        </w:rPr>
      </w:pPr>
    </w:p>
    <w:p w14:paraId="2962CB90" w14:textId="77777777" w:rsidR="00AB238E" w:rsidRPr="00705903" w:rsidRDefault="00AB238E" w:rsidP="0097761F">
      <w:pPr>
        <w:spacing w:line="259" w:lineRule="auto"/>
        <w:ind w:firstLine="0"/>
        <w:jc w:val="both"/>
        <w:rPr>
          <w:sz w:val="20"/>
          <w:szCs w:val="20"/>
        </w:rPr>
      </w:pPr>
      <w:r w:rsidRPr="00705903">
        <w:rPr>
          <w:sz w:val="20"/>
          <w:szCs w:val="20"/>
        </w:rPr>
        <w:t>Panel B. E (Environmental) Factor</w:t>
      </w:r>
    </w:p>
    <w:tbl>
      <w:tblPr>
        <w:tblStyle w:val="PlainTable2"/>
        <w:tblW w:w="0" w:type="auto"/>
        <w:tblLook w:val="04A0" w:firstRow="1" w:lastRow="0" w:firstColumn="1" w:lastColumn="0" w:noHBand="0" w:noVBand="1"/>
      </w:tblPr>
      <w:tblGrid>
        <w:gridCol w:w="1027"/>
        <w:gridCol w:w="2060"/>
        <w:gridCol w:w="2061"/>
        <w:gridCol w:w="2061"/>
        <w:gridCol w:w="2061"/>
      </w:tblGrid>
      <w:tr w:rsidR="00AB238E" w:rsidRPr="00705903" w14:paraId="041217D1"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8262F"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Threshold</w:t>
            </w:r>
          </w:p>
        </w:tc>
        <w:tc>
          <w:tcPr>
            <w:tcW w:w="2060" w:type="dxa"/>
            <w:vAlign w:val="center"/>
            <w:hideMark/>
          </w:tcPr>
          <w:p w14:paraId="754DAEDD" w14:textId="77777777" w:rsidR="00AB238E" w:rsidRPr="00705903" w:rsidRDefault="00000000"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m:oMathPara>
              <m:oMath>
                <m:sSubSup>
                  <m:sSubSupPr>
                    <m:ctrlPr>
                      <w:rPr>
                        <w:rFonts w:ascii="Cambria Math" w:hAnsi="Cambria Math"/>
                        <w:b w:val="0"/>
                        <w:bCs w:val="0"/>
                        <w:i/>
                        <w:iCs/>
                        <w:sz w:val="20"/>
                        <w:szCs w:val="20"/>
                        <w:lang w:val="en-US"/>
                      </w:rPr>
                    </m:ctrlPr>
                  </m:sSubSupPr>
                  <m:e>
                    <m:r>
                      <m:rPr>
                        <m:sty m:val="bi"/>
                      </m:rPr>
                      <w:rPr>
                        <w:rFonts w:ascii="Cambria Math" w:hAnsi="Cambria Math"/>
                        <w:sz w:val="20"/>
                        <w:szCs w:val="20"/>
                        <w:lang w:val="en-US"/>
                      </w:rPr>
                      <m:t>β</m:t>
                    </m:r>
                  </m:e>
                  <m:sub>
                    <m:r>
                      <m:rPr>
                        <m:sty m:val="bi"/>
                      </m:rPr>
                      <w:rPr>
                        <w:rFonts w:ascii="Cambria Math" w:hAnsi="Cambria Math"/>
                        <w:sz w:val="20"/>
                        <w:szCs w:val="20"/>
                        <w:lang w:val="en-US"/>
                      </w:rPr>
                      <m:t>crash</m:t>
                    </m:r>
                  </m:sub>
                  <m:sup>
                    <m:r>
                      <m:rPr>
                        <m:sty m:val="bi"/>
                      </m:rPr>
                      <w:rPr>
                        <w:rFonts w:ascii="Cambria Math" w:hAnsi="Cambria Math"/>
                        <w:sz w:val="20"/>
                        <w:szCs w:val="20"/>
                        <w:lang w:val="en-US"/>
                      </w:rPr>
                      <m:t>Mkt</m:t>
                    </m:r>
                  </m:sup>
                </m:sSubSup>
              </m:oMath>
            </m:oMathPara>
          </w:p>
        </w:tc>
        <w:tc>
          <w:tcPr>
            <w:tcW w:w="2061" w:type="dxa"/>
            <w:vAlign w:val="center"/>
            <w:hideMark/>
          </w:tcPr>
          <w:p w14:paraId="403A53AA"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p-value</w:t>
            </w:r>
          </w:p>
        </w:tc>
        <w:tc>
          <w:tcPr>
            <w:tcW w:w="2061" w:type="dxa"/>
            <w:vAlign w:val="center"/>
            <w:hideMark/>
          </w:tcPr>
          <w:p w14:paraId="18A87282"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E (Normal)</w:t>
            </w:r>
          </w:p>
        </w:tc>
        <w:tc>
          <w:tcPr>
            <w:tcW w:w="2061" w:type="dxa"/>
            <w:vAlign w:val="center"/>
            <w:hideMark/>
          </w:tcPr>
          <w:p w14:paraId="113D9F3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E (Crash)</w:t>
            </w:r>
          </w:p>
        </w:tc>
      </w:tr>
      <w:tr w:rsidR="00AB238E" w:rsidRPr="00705903" w14:paraId="7671047A"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hideMark/>
          </w:tcPr>
          <w:p w14:paraId="452852B1"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–0.05</w:t>
            </w:r>
          </w:p>
        </w:tc>
        <w:tc>
          <w:tcPr>
            <w:tcW w:w="2060" w:type="dxa"/>
            <w:tcBorders>
              <w:bottom w:val="nil"/>
            </w:tcBorders>
            <w:vAlign w:val="center"/>
            <w:hideMark/>
          </w:tcPr>
          <w:p w14:paraId="36F918C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0.1694</w:t>
            </w:r>
          </w:p>
        </w:tc>
        <w:tc>
          <w:tcPr>
            <w:tcW w:w="2061" w:type="dxa"/>
            <w:tcBorders>
              <w:bottom w:val="nil"/>
            </w:tcBorders>
            <w:vAlign w:val="center"/>
            <w:hideMark/>
          </w:tcPr>
          <w:p w14:paraId="0D3796C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0.008</w:t>
            </w:r>
          </w:p>
        </w:tc>
        <w:tc>
          <w:tcPr>
            <w:tcW w:w="2061" w:type="dxa"/>
            <w:tcBorders>
              <w:bottom w:val="nil"/>
            </w:tcBorders>
            <w:vAlign w:val="center"/>
            <w:hideMark/>
          </w:tcPr>
          <w:p w14:paraId="289F408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–0.0011</w:t>
            </w:r>
          </w:p>
        </w:tc>
        <w:tc>
          <w:tcPr>
            <w:tcW w:w="2061" w:type="dxa"/>
            <w:tcBorders>
              <w:bottom w:val="nil"/>
            </w:tcBorders>
            <w:vAlign w:val="center"/>
            <w:hideMark/>
          </w:tcPr>
          <w:p w14:paraId="007A7F4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–0.0032</w:t>
            </w:r>
          </w:p>
        </w:tc>
      </w:tr>
      <w:tr w:rsidR="00AB238E" w:rsidRPr="00705903" w14:paraId="236EA502"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68C5C60A"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–0.06</w:t>
            </w:r>
          </w:p>
        </w:tc>
        <w:tc>
          <w:tcPr>
            <w:tcW w:w="2060" w:type="dxa"/>
            <w:tcBorders>
              <w:top w:val="nil"/>
              <w:bottom w:val="nil"/>
            </w:tcBorders>
            <w:vAlign w:val="center"/>
            <w:hideMark/>
          </w:tcPr>
          <w:p w14:paraId="064B4D7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0.1310</w:t>
            </w:r>
          </w:p>
        </w:tc>
        <w:tc>
          <w:tcPr>
            <w:tcW w:w="2061" w:type="dxa"/>
            <w:tcBorders>
              <w:top w:val="nil"/>
              <w:bottom w:val="nil"/>
            </w:tcBorders>
            <w:vAlign w:val="center"/>
            <w:hideMark/>
          </w:tcPr>
          <w:p w14:paraId="11E7B44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0.032</w:t>
            </w:r>
          </w:p>
        </w:tc>
        <w:tc>
          <w:tcPr>
            <w:tcW w:w="2061" w:type="dxa"/>
            <w:tcBorders>
              <w:top w:val="nil"/>
              <w:bottom w:val="nil"/>
            </w:tcBorders>
            <w:vAlign w:val="center"/>
            <w:hideMark/>
          </w:tcPr>
          <w:p w14:paraId="00FC172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–0.0015</w:t>
            </w:r>
          </w:p>
        </w:tc>
        <w:tc>
          <w:tcPr>
            <w:tcW w:w="2061" w:type="dxa"/>
            <w:tcBorders>
              <w:top w:val="nil"/>
              <w:bottom w:val="nil"/>
            </w:tcBorders>
            <w:vAlign w:val="center"/>
            <w:hideMark/>
          </w:tcPr>
          <w:p w14:paraId="6210392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–0.0019</w:t>
            </w:r>
          </w:p>
        </w:tc>
      </w:tr>
      <w:tr w:rsidR="00AB238E" w:rsidRPr="00705903" w14:paraId="48A3AD88"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66BCF000"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–0.07</w:t>
            </w:r>
          </w:p>
        </w:tc>
        <w:tc>
          <w:tcPr>
            <w:tcW w:w="2060" w:type="dxa"/>
            <w:tcBorders>
              <w:top w:val="nil"/>
              <w:bottom w:val="nil"/>
            </w:tcBorders>
            <w:vAlign w:val="center"/>
            <w:hideMark/>
          </w:tcPr>
          <w:p w14:paraId="79502BA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0.1425</w:t>
            </w:r>
          </w:p>
        </w:tc>
        <w:tc>
          <w:tcPr>
            <w:tcW w:w="2061" w:type="dxa"/>
            <w:tcBorders>
              <w:top w:val="nil"/>
              <w:bottom w:val="nil"/>
            </w:tcBorders>
            <w:vAlign w:val="center"/>
            <w:hideMark/>
          </w:tcPr>
          <w:p w14:paraId="13A6B47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0.015</w:t>
            </w:r>
          </w:p>
        </w:tc>
        <w:tc>
          <w:tcPr>
            <w:tcW w:w="2061" w:type="dxa"/>
            <w:tcBorders>
              <w:top w:val="nil"/>
              <w:bottom w:val="nil"/>
            </w:tcBorders>
            <w:vAlign w:val="center"/>
            <w:hideMark/>
          </w:tcPr>
          <w:p w14:paraId="7D658E7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–0.0008</w:t>
            </w:r>
          </w:p>
        </w:tc>
        <w:tc>
          <w:tcPr>
            <w:tcW w:w="2061" w:type="dxa"/>
            <w:tcBorders>
              <w:top w:val="nil"/>
              <w:bottom w:val="nil"/>
            </w:tcBorders>
            <w:vAlign w:val="center"/>
            <w:hideMark/>
          </w:tcPr>
          <w:p w14:paraId="3C16901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–0.0063</w:t>
            </w:r>
          </w:p>
        </w:tc>
      </w:tr>
      <w:tr w:rsidR="00AB238E" w:rsidRPr="00705903" w14:paraId="48491C96"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4A45240E"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–0.08</w:t>
            </w:r>
          </w:p>
        </w:tc>
        <w:tc>
          <w:tcPr>
            <w:tcW w:w="2060" w:type="dxa"/>
            <w:tcBorders>
              <w:top w:val="nil"/>
              <w:bottom w:val="nil"/>
            </w:tcBorders>
            <w:vAlign w:val="center"/>
            <w:hideMark/>
          </w:tcPr>
          <w:p w14:paraId="59850B4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0.0865</w:t>
            </w:r>
          </w:p>
        </w:tc>
        <w:tc>
          <w:tcPr>
            <w:tcW w:w="2061" w:type="dxa"/>
            <w:tcBorders>
              <w:top w:val="nil"/>
              <w:bottom w:val="nil"/>
            </w:tcBorders>
            <w:vAlign w:val="center"/>
            <w:hideMark/>
          </w:tcPr>
          <w:p w14:paraId="600E3C4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0.132</w:t>
            </w:r>
          </w:p>
        </w:tc>
        <w:tc>
          <w:tcPr>
            <w:tcW w:w="2061" w:type="dxa"/>
            <w:tcBorders>
              <w:top w:val="nil"/>
              <w:bottom w:val="nil"/>
            </w:tcBorders>
            <w:vAlign w:val="center"/>
            <w:hideMark/>
          </w:tcPr>
          <w:p w14:paraId="1D2AF39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–0.0015</w:t>
            </w:r>
          </w:p>
        </w:tc>
        <w:tc>
          <w:tcPr>
            <w:tcW w:w="2061" w:type="dxa"/>
            <w:tcBorders>
              <w:top w:val="nil"/>
              <w:bottom w:val="nil"/>
            </w:tcBorders>
            <w:vAlign w:val="center"/>
            <w:hideMark/>
          </w:tcPr>
          <w:p w14:paraId="13D0B1F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–0.0023</w:t>
            </w:r>
          </w:p>
        </w:tc>
      </w:tr>
      <w:tr w:rsidR="00AB238E" w:rsidRPr="00705903" w14:paraId="43204366"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37DA92FD"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–0.09</w:t>
            </w:r>
          </w:p>
        </w:tc>
        <w:tc>
          <w:tcPr>
            <w:tcW w:w="2060" w:type="dxa"/>
            <w:tcBorders>
              <w:top w:val="nil"/>
              <w:bottom w:val="nil"/>
            </w:tcBorders>
            <w:vAlign w:val="center"/>
            <w:hideMark/>
          </w:tcPr>
          <w:p w14:paraId="5745CE5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0.0672</w:t>
            </w:r>
          </w:p>
        </w:tc>
        <w:tc>
          <w:tcPr>
            <w:tcW w:w="2061" w:type="dxa"/>
            <w:tcBorders>
              <w:top w:val="nil"/>
              <w:bottom w:val="nil"/>
            </w:tcBorders>
            <w:vAlign w:val="center"/>
            <w:hideMark/>
          </w:tcPr>
          <w:p w14:paraId="2C0A0F6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0.242</w:t>
            </w:r>
          </w:p>
        </w:tc>
        <w:tc>
          <w:tcPr>
            <w:tcW w:w="2061" w:type="dxa"/>
            <w:tcBorders>
              <w:top w:val="nil"/>
              <w:bottom w:val="nil"/>
            </w:tcBorders>
            <w:vAlign w:val="center"/>
            <w:hideMark/>
          </w:tcPr>
          <w:p w14:paraId="18FD27C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–0.0017</w:t>
            </w:r>
          </w:p>
        </w:tc>
        <w:tc>
          <w:tcPr>
            <w:tcW w:w="2061" w:type="dxa"/>
            <w:tcBorders>
              <w:top w:val="nil"/>
              <w:bottom w:val="nil"/>
            </w:tcBorders>
            <w:vAlign w:val="center"/>
            <w:hideMark/>
          </w:tcPr>
          <w:p w14:paraId="42EAC1F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0.0006</w:t>
            </w:r>
          </w:p>
        </w:tc>
      </w:tr>
      <w:tr w:rsidR="00AB238E" w:rsidRPr="00705903" w14:paraId="0E2CB6A4"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47C68702"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–0.10</w:t>
            </w:r>
          </w:p>
        </w:tc>
        <w:tc>
          <w:tcPr>
            <w:tcW w:w="2060" w:type="dxa"/>
            <w:tcBorders>
              <w:top w:val="nil"/>
              <w:bottom w:val="nil"/>
            </w:tcBorders>
            <w:vAlign w:val="center"/>
            <w:hideMark/>
          </w:tcPr>
          <w:p w14:paraId="2636213C"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0.0713</w:t>
            </w:r>
          </w:p>
        </w:tc>
        <w:tc>
          <w:tcPr>
            <w:tcW w:w="2061" w:type="dxa"/>
            <w:tcBorders>
              <w:top w:val="nil"/>
              <w:bottom w:val="nil"/>
            </w:tcBorders>
            <w:vAlign w:val="center"/>
            <w:hideMark/>
          </w:tcPr>
          <w:p w14:paraId="05A5B58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0.215</w:t>
            </w:r>
          </w:p>
        </w:tc>
        <w:tc>
          <w:tcPr>
            <w:tcW w:w="2061" w:type="dxa"/>
            <w:tcBorders>
              <w:top w:val="nil"/>
              <w:bottom w:val="nil"/>
            </w:tcBorders>
            <w:vAlign w:val="center"/>
            <w:hideMark/>
          </w:tcPr>
          <w:p w14:paraId="4132588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–0.0016</w:t>
            </w:r>
          </w:p>
        </w:tc>
        <w:tc>
          <w:tcPr>
            <w:tcW w:w="2061" w:type="dxa"/>
            <w:tcBorders>
              <w:top w:val="nil"/>
              <w:bottom w:val="nil"/>
            </w:tcBorders>
            <w:vAlign w:val="center"/>
            <w:hideMark/>
          </w:tcPr>
          <w:p w14:paraId="437C2F3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–0.0007</w:t>
            </w:r>
          </w:p>
        </w:tc>
      </w:tr>
      <w:tr w:rsidR="00AB238E" w:rsidRPr="00705903" w14:paraId="09D54AC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hideMark/>
          </w:tcPr>
          <w:p w14:paraId="64675AA3"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–0.11</w:t>
            </w:r>
          </w:p>
        </w:tc>
        <w:tc>
          <w:tcPr>
            <w:tcW w:w="2060" w:type="dxa"/>
            <w:tcBorders>
              <w:top w:val="nil"/>
            </w:tcBorders>
            <w:vAlign w:val="center"/>
            <w:hideMark/>
          </w:tcPr>
          <w:p w14:paraId="6C0D0DB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0.0645</w:t>
            </w:r>
          </w:p>
        </w:tc>
        <w:tc>
          <w:tcPr>
            <w:tcW w:w="2061" w:type="dxa"/>
            <w:tcBorders>
              <w:top w:val="nil"/>
            </w:tcBorders>
            <w:vAlign w:val="center"/>
            <w:hideMark/>
          </w:tcPr>
          <w:p w14:paraId="4BD4BC1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0.264</w:t>
            </w:r>
          </w:p>
        </w:tc>
        <w:tc>
          <w:tcPr>
            <w:tcW w:w="2061" w:type="dxa"/>
            <w:tcBorders>
              <w:top w:val="nil"/>
            </w:tcBorders>
            <w:vAlign w:val="center"/>
            <w:hideMark/>
          </w:tcPr>
          <w:p w14:paraId="3B3F98D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–0.0017</w:t>
            </w:r>
          </w:p>
        </w:tc>
        <w:tc>
          <w:tcPr>
            <w:tcW w:w="2061" w:type="dxa"/>
            <w:tcBorders>
              <w:top w:val="nil"/>
            </w:tcBorders>
            <w:vAlign w:val="center"/>
            <w:hideMark/>
          </w:tcPr>
          <w:p w14:paraId="11D7409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0.0004</w:t>
            </w:r>
          </w:p>
        </w:tc>
      </w:tr>
    </w:tbl>
    <w:p w14:paraId="56A1918C" w14:textId="77777777" w:rsidR="00AB238E" w:rsidRPr="00705903" w:rsidRDefault="00AB238E" w:rsidP="0097761F">
      <w:pPr>
        <w:spacing w:line="259" w:lineRule="auto"/>
        <w:ind w:firstLine="0"/>
        <w:jc w:val="both"/>
        <w:rPr>
          <w:sz w:val="20"/>
          <w:szCs w:val="20"/>
        </w:rPr>
      </w:pPr>
    </w:p>
    <w:p w14:paraId="0F5993FC" w14:textId="77777777" w:rsidR="00AB238E" w:rsidRPr="00705903" w:rsidRDefault="00AB238E" w:rsidP="0097761F">
      <w:pPr>
        <w:spacing w:line="259" w:lineRule="auto"/>
        <w:ind w:firstLine="0"/>
        <w:jc w:val="both"/>
        <w:rPr>
          <w:sz w:val="20"/>
          <w:szCs w:val="20"/>
        </w:rPr>
      </w:pPr>
      <w:r w:rsidRPr="00705903">
        <w:rPr>
          <w:sz w:val="20"/>
          <w:szCs w:val="20"/>
        </w:rPr>
        <w:t>Panel C. S (Social) Factor</w:t>
      </w:r>
    </w:p>
    <w:tbl>
      <w:tblPr>
        <w:tblStyle w:val="PlainTable2"/>
        <w:tblW w:w="0" w:type="auto"/>
        <w:tblLook w:val="04A0" w:firstRow="1" w:lastRow="0" w:firstColumn="1" w:lastColumn="0" w:noHBand="0" w:noVBand="1"/>
      </w:tblPr>
      <w:tblGrid>
        <w:gridCol w:w="1027"/>
        <w:gridCol w:w="2060"/>
        <w:gridCol w:w="2061"/>
        <w:gridCol w:w="2061"/>
        <w:gridCol w:w="2061"/>
      </w:tblGrid>
      <w:tr w:rsidR="00AB238E" w:rsidRPr="00705903" w14:paraId="3E04989E"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EE224"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Threshold</w:t>
            </w:r>
          </w:p>
        </w:tc>
        <w:tc>
          <w:tcPr>
            <w:tcW w:w="2060" w:type="dxa"/>
            <w:vAlign w:val="center"/>
            <w:hideMark/>
          </w:tcPr>
          <w:p w14:paraId="568676BD" w14:textId="77777777" w:rsidR="00AB238E" w:rsidRPr="00705903" w:rsidRDefault="00000000"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m:oMathPara>
              <m:oMath>
                <m:sSubSup>
                  <m:sSubSupPr>
                    <m:ctrlPr>
                      <w:rPr>
                        <w:rFonts w:ascii="Cambria Math" w:hAnsi="Cambria Math"/>
                        <w:b w:val="0"/>
                        <w:bCs w:val="0"/>
                        <w:i/>
                        <w:iCs/>
                        <w:sz w:val="20"/>
                        <w:szCs w:val="20"/>
                        <w:lang w:val="en-US"/>
                      </w:rPr>
                    </m:ctrlPr>
                  </m:sSubSupPr>
                  <m:e>
                    <m:r>
                      <m:rPr>
                        <m:sty m:val="bi"/>
                      </m:rPr>
                      <w:rPr>
                        <w:rFonts w:ascii="Cambria Math" w:hAnsi="Cambria Math"/>
                        <w:sz w:val="20"/>
                        <w:szCs w:val="20"/>
                        <w:lang w:val="en-US"/>
                      </w:rPr>
                      <m:t>β</m:t>
                    </m:r>
                  </m:e>
                  <m:sub>
                    <m:r>
                      <m:rPr>
                        <m:sty m:val="bi"/>
                      </m:rPr>
                      <w:rPr>
                        <w:rFonts w:ascii="Cambria Math" w:hAnsi="Cambria Math"/>
                        <w:sz w:val="20"/>
                        <w:szCs w:val="20"/>
                        <w:lang w:val="en-US"/>
                      </w:rPr>
                      <m:t>crash</m:t>
                    </m:r>
                  </m:sub>
                  <m:sup>
                    <m:r>
                      <m:rPr>
                        <m:sty m:val="bi"/>
                      </m:rPr>
                      <w:rPr>
                        <w:rFonts w:ascii="Cambria Math" w:hAnsi="Cambria Math"/>
                        <w:sz w:val="20"/>
                        <w:szCs w:val="20"/>
                        <w:lang w:val="en-US"/>
                      </w:rPr>
                      <m:t>Mkt</m:t>
                    </m:r>
                  </m:sup>
                </m:sSubSup>
              </m:oMath>
            </m:oMathPara>
          </w:p>
        </w:tc>
        <w:tc>
          <w:tcPr>
            <w:tcW w:w="2061" w:type="dxa"/>
            <w:vAlign w:val="center"/>
            <w:hideMark/>
          </w:tcPr>
          <w:p w14:paraId="7F860DA5"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p-value</w:t>
            </w:r>
          </w:p>
        </w:tc>
        <w:tc>
          <w:tcPr>
            <w:tcW w:w="2061" w:type="dxa"/>
            <w:vAlign w:val="center"/>
            <w:hideMark/>
          </w:tcPr>
          <w:p w14:paraId="54C65CBD"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ESG (Normal)</w:t>
            </w:r>
          </w:p>
        </w:tc>
        <w:tc>
          <w:tcPr>
            <w:tcW w:w="2061" w:type="dxa"/>
            <w:vAlign w:val="center"/>
            <w:hideMark/>
          </w:tcPr>
          <w:p w14:paraId="58E0AAC8"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ESG (Crash)</w:t>
            </w:r>
          </w:p>
        </w:tc>
      </w:tr>
      <w:tr w:rsidR="00AB238E" w:rsidRPr="00705903" w14:paraId="3E5D012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515FB6B2"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–0.05</w:t>
            </w:r>
          </w:p>
        </w:tc>
        <w:tc>
          <w:tcPr>
            <w:tcW w:w="2060" w:type="dxa"/>
            <w:tcBorders>
              <w:bottom w:val="nil"/>
            </w:tcBorders>
            <w:vAlign w:val="center"/>
            <w:hideMark/>
          </w:tcPr>
          <w:p w14:paraId="5FF0A79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–0.0611</w:t>
            </w:r>
          </w:p>
        </w:tc>
        <w:tc>
          <w:tcPr>
            <w:tcW w:w="2061" w:type="dxa"/>
            <w:tcBorders>
              <w:bottom w:val="nil"/>
            </w:tcBorders>
            <w:vAlign w:val="center"/>
            <w:hideMark/>
          </w:tcPr>
          <w:p w14:paraId="2E59953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0.437</w:t>
            </w:r>
          </w:p>
        </w:tc>
        <w:tc>
          <w:tcPr>
            <w:tcW w:w="2061" w:type="dxa"/>
            <w:tcBorders>
              <w:bottom w:val="nil"/>
            </w:tcBorders>
            <w:vAlign w:val="center"/>
            <w:hideMark/>
          </w:tcPr>
          <w:p w14:paraId="3DBEE8A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–0.0084</w:t>
            </w:r>
          </w:p>
        </w:tc>
        <w:tc>
          <w:tcPr>
            <w:tcW w:w="2061" w:type="dxa"/>
            <w:tcBorders>
              <w:bottom w:val="nil"/>
            </w:tcBorders>
            <w:vAlign w:val="center"/>
            <w:hideMark/>
          </w:tcPr>
          <w:p w14:paraId="5FF1126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0.0108</w:t>
            </w:r>
          </w:p>
        </w:tc>
      </w:tr>
      <w:tr w:rsidR="00AB238E" w:rsidRPr="00705903" w14:paraId="4D4E77FF"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101B399"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–0.06</w:t>
            </w:r>
          </w:p>
        </w:tc>
        <w:tc>
          <w:tcPr>
            <w:tcW w:w="2060" w:type="dxa"/>
            <w:tcBorders>
              <w:top w:val="nil"/>
              <w:bottom w:val="nil"/>
            </w:tcBorders>
            <w:vAlign w:val="center"/>
            <w:hideMark/>
          </w:tcPr>
          <w:p w14:paraId="0953AF2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eastAsia="zh-CN"/>
              </w:rPr>
              <w:t>–0.0520</w:t>
            </w:r>
          </w:p>
        </w:tc>
        <w:tc>
          <w:tcPr>
            <w:tcW w:w="2061" w:type="dxa"/>
            <w:tcBorders>
              <w:top w:val="nil"/>
              <w:bottom w:val="nil"/>
            </w:tcBorders>
            <w:vAlign w:val="center"/>
            <w:hideMark/>
          </w:tcPr>
          <w:p w14:paraId="6A742CD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eastAsia="zh-CN"/>
              </w:rPr>
              <w:t>0.486</w:t>
            </w:r>
          </w:p>
        </w:tc>
        <w:tc>
          <w:tcPr>
            <w:tcW w:w="2061" w:type="dxa"/>
            <w:tcBorders>
              <w:top w:val="nil"/>
              <w:bottom w:val="nil"/>
            </w:tcBorders>
            <w:vAlign w:val="center"/>
            <w:hideMark/>
          </w:tcPr>
          <w:p w14:paraId="05E8DF4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eastAsia="zh-CN"/>
              </w:rPr>
              <w:t>–0.0076</w:t>
            </w:r>
          </w:p>
        </w:tc>
        <w:tc>
          <w:tcPr>
            <w:tcW w:w="2061" w:type="dxa"/>
            <w:tcBorders>
              <w:top w:val="nil"/>
              <w:bottom w:val="nil"/>
            </w:tcBorders>
            <w:vAlign w:val="center"/>
            <w:hideMark/>
          </w:tcPr>
          <w:p w14:paraId="51C9FF2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eastAsia="zh-CN"/>
              </w:rPr>
              <w:t>0.0121</w:t>
            </w:r>
          </w:p>
        </w:tc>
      </w:tr>
      <w:tr w:rsidR="00AB238E" w:rsidRPr="00705903" w14:paraId="14B5E777"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65E6301"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–0.07</w:t>
            </w:r>
          </w:p>
        </w:tc>
        <w:tc>
          <w:tcPr>
            <w:tcW w:w="2060" w:type="dxa"/>
            <w:tcBorders>
              <w:top w:val="nil"/>
              <w:bottom w:val="nil"/>
            </w:tcBorders>
            <w:vAlign w:val="center"/>
            <w:hideMark/>
          </w:tcPr>
          <w:p w14:paraId="7E08F06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–0.0080</w:t>
            </w:r>
          </w:p>
        </w:tc>
        <w:tc>
          <w:tcPr>
            <w:tcW w:w="2061" w:type="dxa"/>
            <w:tcBorders>
              <w:top w:val="nil"/>
              <w:bottom w:val="nil"/>
            </w:tcBorders>
            <w:vAlign w:val="center"/>
            <w:hideMark/>
          </w:tcPr>
          <w:p w14:paraId="37FAC35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0.911</w:t>
            </w:r>
          </w:p>
        </w:tc>
        <w:tc>
          <w:tcPr>
            <w:tcW w:w="2061" w:type="dxa"/>
            <w:tcBorders>
              <w:top w:val="nil"/>
              <w:bottom w:val="nil"/>
            </w:tcBorders>
            <w:vAlign w:val="center"/>
            <w:hideMark/>
          </w:tcPr>
          <w:p w14:paraId="2A2464B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–0.0061</w:t>
            </w:r>
          </w:p>
        </w:tc>
        <w:tc>
          <w:tcPr>
            <w:tcW w:w="2061" w:type="dxa"/>
            <w:tcBorders>
              <w:top w:val="nil"/>
              <w:bottom w:val="nil"/>
            </w:tcBorders>
            <w:vAlign w:val="center"/>
            <w:hideMark/>
          </w:tcPr>
          <w:p w14:paraId="51390D0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0.0096</w:t>
            </w:r>
          </w:p>
        </w:tc>
      </w:tr>
      <w:tr w:rsidR="00AB238E" w:rsidRPr="00705903" w14:paraId="2CF62D47"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17D87DD"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–0.08</w:t>
            </w:r>
          </w:p>
        </w:tc>
        <w:tc>
          <w:tcPr>
            <w:tcW w:w="2060" w:type="dxa"/>
            <w:tcBorders>
              <w:top w:val="nil"/>
              <w:bottom w:val="nil"/>
            </w:tcBorders>
            <w:vAlign w:val="center"/>
            <w:hideMark/>
          </w:tcPr>
          <w:p w14:paraId="67D1F5A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eastAsia="zh-CN"/>
              </w:rPr>
              <w:t>–0.0050</w:t>
            </w:r>
          </w:p>
        </w:tc>
        <w:tc>
          <w:tcPr>
            <w:tcW w:w="2061" w:type="dxa"/>
            <w:tcBorders>
              <w:top w:val="nil"/>
              <w:bottom w:val="nil"/>
            </w:tcBorders>
            <w:vAlign w:val="center"/>
            <w:hideMark/>
          </w:tcPr>
          <w:p w14:paraId="7CC94B9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eastAsia="zh-CN"/>
              </w:rPr>
              <w:t>0.943</w:t>
            </w:r>
          </w:p>
        </w:tc>
        <w:tc>
          <w:tcPr>
            <w:tcW w:w="2061" w:type="dxa"/>
            <w:tcBorders>
              <w:top w:val="nil"/>
              <w:bottom w:val="nil"/>
            </w:tcBorders>
            <w:vAlign w:val="center"/>
            <w:hideMark/>
          </w:tcPr>
          <w:p w14:paraId="51652CA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eastAsia="zh-CN"/>
              </w:rPr>
              <w:t>–0.0054</w:t>
            </w:r>
          </w:p>
        </w:tc>
        <w:tc>
          <w:tcPr>
            <w:tcW w:w="2061" w:type="dxa"/>
            <w:tcBorders>
              <w:top w:val="nil"/>
              <w:bottom w:val="nil"/>
            </w:tcBorders>
            <w:vAlign w:val="center"/>
            <w:hideMark/>
          </w:tcPr>
          <w:p w14:paraId="316FE6C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eastAsia="zh-CN"/>
              </w:rPr>
              <w:t>0.0116</w:t>
            </w:r>
          </w:p>
        </w:tc>
      </w:tr>
      <w:tr w:rsidR="00AB238E" w:rsidRPr="00705903" w14:paraId="474BAB2F"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B33B85C"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–0.09</w:t>
            </w:r>
          </w:p>
        </w:tc>
        <w:tc>
          <w:tcPr>
            <w:tcW w:w="2060" w:type="dxa"/>
            <w:tcBorders>
              <w:top w:val="nil"/>
              <w:bottom w:val="nil"/>
            </w:tcBorders>
            <w:vAlign w:val="center"/>
            <w:hideMark/>
          </w:tcPr>
          <w:p w14:paraId="0A348AC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–0.0214</w:t>
            </w:r>
          </w:p>
        </w:tc>
        <w:tc>
          <w:tcPr>
            <w:tcW w:w="2061" w:type="dxa"/>
            <w:tcBorders>
              <w:top w:val="nil"/>
              <w:bottom w:val="nil"/>
            </w:tcBorders>
            <w:vAlign w:val="center"/>
            <w:hideMark/>
          </w:tcPr>
          <w:p w14:paraId="1CBC906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0.759</w:t>
            </w:r>
          </w:p>
        </w:tc>
        <w:tc>
          <w:tcPr>
            <w:tcW w:w="2061" w:type="dxa"/>
            <w:tcBorders>
              <w:top w:val="nil"/>
              <w:bottom w:val="nil"/>
            </w:tcBorders>
            <w:vAlign w:val="center"/>
            <w:hideMark/>
          </w:tcPr>
          <w:p w14:paraId="08FC2A9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–0.0054</w:t>
            </w:r>
          </w:p>
        </w:tc>
        <w:tc>
          <w:tcPr>
            <w:tcW w:w="2061" w:type="dxa"/>
            <w:tcBorders>
              <w:top w:val="nil"/>
              <w:bottom w:val="nil"/>
            </w:tcBorders>
            <w:vAlign w:val="center"/>
            <w:hideMark/>
          </w:tcPr>
          <w:p w14:paraId="4CFAA9A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0.0160</w:t>
            </w:r>
          </w:p>
        </w:tc>
      </w:tr>
      <w:tr w:rsidR="00AB238E" w:rsidRPr="00705903" w14:paraId="6C2F0389"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CF30E67"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–0.10</w:t>
            </w:r>
          </w:p>
        </w:tc>
        <w:tc>
          <w:tcPr>
            <w:tcW w:w="2060" w:type="dxa"/>
            <w:tcBorders>
              <w:top w:val="nil"/>
              <w:bottom w:val="nil"/>
            </w:tcBorders>
            <w:vAlign w:val="center"/>
            <w:hideMark/>
          </w:tcPr>
          <w:p w14:paraId="537C679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eastAsia="zh-CN"/>
              </w:rPr>
              <w:t>–0.0152</w:t>
            </w:r>
          </w:p>
        </w:tc>
        <w:tc>
          <w:tcPr>
            <w:tcW w:w="2061" w:type="dxa"/>
            <w:tcBorders>
              <w:top w:val="nil"/>
              <w:bottom w:val="nil"/>
            </w:tcBorders>
            <w:vAlign w:val="center"/>
            <w:hideMark/>
          </w:tcPr>
          <w:p w14:paraId="669E4A4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eastAsia="zh-CN"/>
              </w:rPr>
              <w:t>0.828</w:t>
            </w:r>
          </w:p>
        </w:tc>
        <w:tc>
          <w:tcPr>
            <w:tcW w:w="2061" w:type="dxa"/>
            <w:tcBorders>
              <w:top w:val="nil"/>
              <w:bottom w:val="nil"/>
            </w:tcBorders>
            <w:vAlign w:val="center"/>
            <w:hideMark/>
          </w:tcPr>
          <w:p w14:paraId="6194FB8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eastAsia="zh-CN"/>
              </w:rPr>
              <w:t>–0.0052</w:t>
            </w:r>
          </w:p>
        </w:tc>
        <w:tc>
          <w:tcPr>
            <w:tcW w:w="2061" w:type="dxa"/>
            <w:tcBorders>
              <w:top w:val="nil"/>
              <w:bottom w:val="nil"/>
            </w:tcBorders>
            <w:vAlign w:val="center"/>
            <w:hideMark/>
          </w:tcPr>
          <w:p w14:paraId="2B836E6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eastAsia="zh-CN"/>
              </w:rPr>
              <w:t>0.0160</w:t>
            </w:r>
          </w:p>
        </w:tc>
      </w:tr>
      <w:tr w:rsidR="00AB238E" w:rsidRPr="00705903" w14:paraId="6C26721B"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62A79FB8"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–0.11</w:t>
            </w:r>
          </w:p>
        </w:tc>
        <w:tc>
          <w:tcPr>
            <w:tcW w:w="2060" w:type="dxa"/>
            <w:tcBorders>
              <w:top w:val="nil"/>
            </w:tcBorders>
            <w:vAlign w:val="center"/>
            <w:hideMark/>
          </w:tcPr>
          <w:p w14:paraId="53A746E9"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–0.0453</w:t>
            </w:r>
          </w:p>
        </w:tc>
        <w:tc>
          <w:tcPr>
            <w:tcW w:w="2061" w:type="dxa"/>
            <w:tcBorders>
              <w:top w:val="nil"/>
            </w:tcBorders>
            <w:vAlign w:val="center"/>
            <w:hideMark/>
          </w:tcPr>
          <w:p w14:paraId="5358362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0.519</w:t>
            </w:r>
          </w:p>
        </w:tc>
        <w:tc>
          <w:tcPr>
            <w:tcW w:w="2061" w:type="dxa"/>
            <w:tcBorders>
              <w:top w:val="nil"/>
            </w:tcBorders>
            <w:vAlign w:val="center"/>
            <w:hideMark/>
          </w:tcPr>
          <w:p w14:paraId="7A226A6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–0.0055</w:t>
            </w:r>
          </w:p>
        </w:tc>
        <w:tc>
          <w:tcPr>
            <w:tcW w:w="2061" w:type="dxa"/>
            <w:tcBorders>
              <w:top w:val="nil"/>
            </w:tcBorders>
            <w:vAlign w:val="center"/>
            <w:hideMark/>
          </w:tcPr>
          <w:p w14:paraId="155800E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eastAsia="zh-CN"/>
              </w:rPr>
              <w:t>0.0230</w:t>
            </w:r>
          </w:p>
        </w:tc>
      </w:tr>
    </w:tbl>
    <w:p w14:paraId="19F462C2" w14:textId="77777777" w:rsidR="00AB238E" w:rsidRPr="00705903" w:rsidRDefault="00AB238E" w:rsidP="0097761F">
      <w:pPr>
        <w:spacing w:line="259" w:lineRule="auto"/>
        <w:ind w:firstLine="0"/>
        <w:jc w:val="both"/>
        <w:rPr>
          <w:sz w:val="20"/>
          <w:szCs w:val="20"/>
        </w:rPr>
      </w:pPr>
    </w:p>
    <w:p w14:paraId="4F7D6426" w14:textId="77777777" w:rsidR="00AB238E" w:rsidRPr="00705903" w:rsidRDefault="00AB238E" w:rsidP="0097761F">
      <w:pPr>
        <w:spacing w:line="259" w:lineRule="auto"/>
        <w:ind w:firstLine="0"/>
        <w:jc w:val="both"/>
        <w:rPr>
          <w:sz w:val="20"/>
          <w:szCs w:val="20"/>
        </w:rPr>
      </w:pPr>
      <w:r w:rsidRPr="00705903">
        <w:rPr>
          <w:sz w:val="20"/>
          <w:szCs w:val="20"/>
        </w:rPr>
        <w:t>Panel D. G (Governance) Factor</w:t>
      </w:r>
    </w:p>
    <w:tbl>
      <w:tblPr>
        <w:tblStyle w:val="PlainTable2"/>
        <w:tblW w:w="0" w:type="auto"/>
        <w:tblLook w:val="04A0" w:firstRow="1" w:lastRow="0" w:firstColumn="1" w:lastColumn="0" w:noHBand="0" w:noVBand="1"/>
      </w:tblPr>
      <w:tblGrid>
        <w:gridCol w:w="1027"/>
        <w:gridCol w:w="2060"/>
        <w:gridCol w:w="2061"/>
        <w:gridCol w:w="2061"/>
        <w:gridCol w:w="2061"/>
      </w:tblGrid>
      <w:tr w:rsidR="00AB238E" w:rsidRPr="00705903" w14:paraId="0355AFBA"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7DE13"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Threshold</w:t>
            </w:r>
          </w:p>
        </w:tc>
        <w:tc>
          <w:tcPr>
            <w:tcW w:w="2060" w:type="dxa"/>
            <w:vAlign w:val="center"/>
            <w:hideMark/>
          </w:tcPr>
          <w:p w14:paraId="498F3154" w14:textId="77777777" w:rsidR="00AB238E" w:rsidRPr="00705903" w:rsidRDefault="00000000"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m:oMathPara>
              <m:oMath>
                <m:sSubSup>
                  <m:sSubSupPr>
                    <m:ctrlPr>
                      <w:rPr>
                        <w:rFonts w:ascii="Cambria Math" w:hAnsi="Cambria Math"/>
                        <w:b w:val="0"/>
                        <w:bCs w:val="0"/>
                        <w:i/>
                        <w:iCs/>
                        <w:sz w:val="20"/>
                        <w:szCs w:val="20"/>
                        <w:lang w:val="en-US"/>
                      </w:rPr>
                    </m:ctrlPr>
                  </m:sSubSupPr>
                  <m:e>
                    <m:r>
                      <m:rPr>
                        <m:sty m:val="bi"/>
                      </m:rPr>
                      <w:rPr>
                        <w:rFonts w:ascii="Cambria Math" w:hAnsi="Cambria Math"/>
                        <w:sz w:val="20"/>
                        <w:szCs w:val="20"/>
                        <w:lang w:val="en-US"/>
                      </w:rPr>
                      <m:t>β</m:t>
                    </m:r>
                  </m:e>
                  <m:sub>
                    <m:r>
                      <m:rPr>
                        <m:sty m:val="bi"/>
                      </m:rPr>
                      <w:rPr>
                        <w:rFonts w:ascii="Cambria Math" w:hAnsi="Cambria Math"/>
                        <w:sz w:val="20"/>
                        <w:szCs w:val="20"/>
                        <w:lang w:val="en-US"/>
                      </w:rPr>
                      <m:t>crash</m:t>
                    </m:r>
                  </m:sub>
                  <m:sup>
                    <m:r>
                      <m:rPr>
                        <m:sty m:val="bi"/>
                      </m:rPr>
                      <w:rPr>
                        <w:rFonts w:ascii="Cambria Math" w:hAnsi="Cambria Math"/>
                        <w:sz w:val="20"/>
                        <w:szCs w:val="20"/>
                        <w:lang w:val="en-US"/>
                      </w:rPr>
                      <m:t>Mkt</m:t>
                    </m:r>
                  </m:sup>
                </m:sSubSup>
              </m:oMath>
            </m:oMathPara>
          </w:p>
        </w:tc>
        <w:tc>
          <w:tcPr>
            <w:tcW w:w="2061" w:type="dxa"/>
            <w:vAlign w:val="center"/>
            <w:hideMark/>
          </w:tcPr>
          <w:p w14:paraId="156446B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p-value</w:t>
            </w:r>
          </w:p>
        </w:tc>
        <w:tc>
          <w:tcPr>
            <w:tcW w:w="2061" w:type="dxa"/>
            <w:vAlign w:val="center"/>
            <w:hideMark/>
          </w:tcPr>
          <w:p w14:paraId="42F9ED9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ESG (Normal)</w:t>
            </w:r>
          </w:p>
        </w:tc>
        <w:tc>
          <w:tcPr>
            <w:tcW w:w="2061" w:type="dxa"/>
            <w:vAlign w:val="center"/>
            <w:hideMark/>
          </w:tcPr>
          <w:p w14:paraId="091B9CA9"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ESG (Crash)</w:t>
            </w:r>
          </w:p>
        </w:tc>
      </w:tr>
      <w:tr w:rsidR="00AB238E" w:rsidRPr="00705903" w14:paraId="6D86FD77"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09432C1E"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–0.05</w:t>
            </w:r>
          </w:p>
        </w:tc>
        <w:tc>
          <w:tcPr>
            <w:tcW w:w="2060" w:type="dxa"/>
            <w:tcBorders>
              <w:bottom w:val="nil"/>
            </w:tcBorders>
            <w:vAlign w:val="center"/>
            <w:hideMark/>
          </w:tcPr>
          <w:p w14:paraId="7100418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–0.2237</w:t>
            </w:r>
          </w:p>
        </w:tc>
        <w:tc>
          <w:tcPr>
            <w:tcW w:w="2061" w:type="dxa"/>
            <w:tcBorders>
              <w:bottom w:val="nil"/>
            </w:tcBorders>
            <w:vAlign w:val="center"/>
            <w:hideMark/>
          </w:tcPr>
          <w:p w14:paraId="31DFC97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0.055</w:t>
            </w:r>
          </w:p>
        </w:tc>
        <w:tc>
          <w:tcPr>
            <w:tcW w:w="2061" w:type="dxa"/>
            <w:tcBorders>
              <w:bottom w:val="nil"/>
            </w:tcBorders>
            <w:vAlign w:val="center"/>
            <w:hideMark/>
          </w:tcPr>
          <w:p w14:paraId="713FBA6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–0.0113</w:t>
            </w:r>
          </w:p>
        </w:tc>
        <w:tc>
          <w:tcPr>
            <w:tcW w:w="2061" w:type="dxa"/>
            <w:tcBorders>
              <w:bottom w:val="nil"/>
            </w:tcBorders>
            <w:vAlign w:val="center"/>
            <w:hideMark/>
          </w:tcPr>
          <w:p w14:paraId="34DF172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–0.0023</w:t>
            </w:r>
          </w:p>
        </w:tc>
      </w:tr>
      <w:tr w:rsidR="00AB238E" w:rsidRPr="00705903" w14:paraId="63CC2685"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EB6AC13"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–0.06</w:t>
            </w:r>
          </w:p>
        </w:tc>
        <w:tc>
          <w:tcPr>
            <w:tcW w:w="2060" w:type="dxa"/>
            <w:tcBorders>
              <w:top w:val="nil"/>
              <w:bottom w:val="nil"/>
            </w:tcBorders>
            <w:vAlign w:val="center"/>
            <w:hideMark/>
          </w:tcPr>
          <w:p w14:paraId="70F439D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–0.1930</w:t>
            </w:r>
          </w:p>
        </w:tc>
        <w:tc>
          <w:tcPr>
            <w:tcW w:w="2061" w:type="dxa"/>
            <w:tcBorders>
              <w:top w:val="nil"/>
              <w:bottom w:val="nil"/>
            </w:tcBorders>
            <w:vAlign w:val="center"/>
            <w:hideMark/>
          </w:tcPr>
          <w:p w14:paraId="645B6DA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0.081</w:t>
            </w:r>
          </w:p>
        </w:tc>
        <w:tc>
          <w:tcPr>
            <w:tcW w:w="2061" w:type="dxa"/>
            <w:tcBorders>
              <w:top w:val="nil"/>
              <w:bottom w:val="nil"/>
            </w:tcBorders>
            <w:vAlign w:val="center"/>
            <w:hideMark/>
          </w:tcPr>
          <w:p w14:paraId="22899DD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–0.0108</w:t>
            </w:r>
          </w:p>
        </w:tc>
        <w:tc>
          <w:tcPr>
            <w:tcW w:w="2061" w:type="dxa"/>
            <w:tcBorders>
              <w:top w:val="nil"/>
              <w:bottom w:val="nil"/>
            </w:tcBorders>
            <w:vAlign w:val="center"/>
            <w:hideMark/>
          </w:tcPr>
          <w:p w14:paraId="14783D1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–0.0019</w:t>
            </w:r>
          </w:p>
        </w:tc>
      </w:tr>
      <w:tr w:rsidR="00AB238E" w:rsidRPr="00705903" w14:paraId="71E3D7D1"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9EE98A1"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–0.07</w:t>
            </w:r>
          </w:p>
        </w:tc>
        <w:tc>
          <w:tcPr>
            <w:tcW w:w="2060" w:type="dxa"/>
            <w:tcBorders>
              <w:top w:val="nil"/>
              <w:bottom w:val="nil"/>
            </w:tcBorders>
            <w:vAlign w:val="center"/>
            <w:hideMark/>
          </w:tcPr>
          <w:p w14:paraId="416229F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–0.1265</w:t>
            </w:r>
          </w:p>
        </w:tc>
        <w:tc>
          <w:tcPr>
            <w:tcW w:w="2061" w:type="dxa"/>
            <w:tcBorders>
              <w:top w:val="nil"/>
              <w:bottom w:val="nil"/>
            </w:tcBorders>
            <w:vAlign w:val="center"/>
            <w:hideMark/>
          </w:tcPr>
          <w:p w14:paraId="6DEFA0A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0.235</w:t>
            </w:r>
          </w:p>
        </w:tc>
        <w:tc>
          <w:tcPr>
            <w:tcW w:w="2061" w:type="dxa"/>
            <w:tcBorders>
              <w:top w:val="nil"/>
              <w:bottom w:val="nil"/>
            </w:tcBorders>
            <w:vAlign w:val="center"/>
            <w:hideMark/>
          </w:tcPr>
          <w:p w14:paraId="1CF3C11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–0.0097</w:t>
            </w:r>
          </w:p>
        </w:tc>
        <w:tc>
          <w:tcPr>
            <w:tcW w:w="2061" w:type="dxa"/>
            <w:tcBorders>
              <w:top w:val="nil"/>
              <w:bottom w:val="nil"/>
            </w:tcBorders>
            <w:vAlign w:val="center"/>
            <w:hideMark/>
          </w:tcPr>
          <w:p w14:paraId="4E42C09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–0.0061</w:t>
            </w:r>
          </w:p>
        </w:tc>
      </w:tr>
      <w:tr w:rsidR="00AB238E" w:rsidRPr="00705903" w14:paraId="7CC93EE4"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CDB6124"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–0.08</w:t>
            </w:r>
          </w:p>
        </w:tc>
        <w:tc>
          <w:tcPr>
            <w:tcW w:w="2060" w:type="dxa"/>
            <w:tcBorders>
              <w:top w:val="nil"/>
              <w:bottom w:val="nil"/>
            </w:tcBorders>
            <w:vAlign w:val="center"/>
            <w:hideMark/>
          </w:tcPr>
          <w:p w14:paraId="172A716E"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–0.1689</w:t>
            </w:r>
          </w:p>
        </w:tc>
        <w:tc>
          <w:tcPr>
            <w:tcW w:w="2061" w:type="dxa"/>
            <w:tcBorders>
              <w:top w:val="nil"/>
              <w:bottom w:val="nil"/>
            </w:tcBorders>
            <w:vAlign w:val="center"/>
            <w:hideMark/>
          </w:tcPr>
          <w:p w14:paraId="524E4A2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0.103</w:t>
            </w:r>
          </w:p>
        </w:tc>
        <w:tc>
          <w:tcPr>
            <w:tcW w:w="2061" w:type="dxa"/>
            <w:tcBorders>
              <w:top w:val="nil"/>
              <w:bottom w:val="nil"/>
            </w:tcBorders>
            <w:vAlign w:val="center"/>
            <w:hideMark/>
          </w:tcPr>
          <w:p w14:paraId="207F6EB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–0.0105</w:t>
            </w:r>
          </w:p>
        </w:tc>
        <w:tc>
          <w:tcPr>
            <w:tcW w:w="2061" w:type="dxa"/>
            <w:tcBorders>
              <w:top w:val="nil"/>
              <w:bottom w:val="nil"/>
            </w:tcBorders>
            <w:vAlign w:val="center"/>
            <w:hideMark/>
          </w:tcPr>
          <w:p w14:paraId="53C662C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0.0047</w:t>
            </w:r>
          </w:p>
        </w:tc>
      </w:tr>
      <w:tr w:rsidR="00AB238E" w:rsidRPr="00705903" w14:paraId="5E65311A"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F7EAAA9"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–0.09</w:t>
            </w:r>
          </w:p>
        </w:tc>
        <w:tc>
          <w:tcPr>
            <w:tcW w:w="2060" w:type="dxa"/>
            <w:tcBorders>
              <w:top w:val="nil"/>
              <w:bottom w:val="nil"/>
            </w:tcBorders>
            <w:vAlign w:val="center"/>
            <w:hideMark/>
          </w:tcPr>
          <w:p w14:paraId="4965FCB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–0.1605</w:t>
            </w:r>
          </w:p>
        </w:tc>
        <w:tc>
          <w:tcPr>
            <w:tcW w:w="2061" w:type="dxa"/>
            <w:tcBorders>
              <w:top w:val="nil"/>
              <w:bottom w:val="nil"/>
            </w:tcBorders>
            <w:vAlign w:val="center"/>
            <w:hideMark/>
          </w:tcPr>
          <w:p w14:paraId="689D0B3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0.121</w:t>
            </w:r>
          </w:p>
        </w:tc>
        <w:tc>
          <w:tcPr>
            <w:tcW w:w="2061" w:type="dxa"/>
            <w:tcBorders>
              <w:top w:val="nil"/>
              <w:bottom w:val="nil"/>
            </w:tcBorders>
            <w:vAlign w:val="center"/>
            <w:hideMark/>
          </w:tcPr>
          <w:p w14:paraId="6BC3234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–0.0103</w:t>
            </w:r>
          </w:p>
        </w:tc>
        <w:tc>
          <w:tcPr>
            <w:tcW w:w="2061" w:type="dxa"/>
            <w:tcBorders>
              <w:top w:val="nil"/>
              <w:bottom w:val="nil"/>
            </w:tcBorders>
            <w:vAlign w:val="center"/>
            <w:hideMark/>
          </w:tcPr>
          <w:p w14:paraId="382E2C4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0.0058</w:t>
            </w:r>
          </w:p>
        </w:tc>
      </w:tr>
      <w:tr w:rsidR="00AB238E" w:rsidRPr="00705903" w14:paraId="3C8F43C1"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B198AB5"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–0.10</w:t>
            </w:r>
          </w:p>
        </w:tc>
        <w:tc>
          <w:tcPr>
            <w:tcW w:w="2060" w:type="dxa"/>
            <w:tcBorders>
              <w:top w:val="nil"/>
              <w:bottom w:val="nil"/>
            </w:tcBorders>
            <w:vAlign w:val="center"/>
            <w:hideMark/>
          </w:tcPr>
          <w:p w14:paraId="4DEB40E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–0.1613</w:t>
            </w:r>
          </w:p>
        </w:tc>
        <w:tc>
          <w:tcPr>
            <w:tcW w:w="2061" w:type="dxa"/>
            <w:tcBorders>
              <w:top w:val="nil"/>
              <w:bottom w:val="nil"/>
            </w:tcBorders>
            <w:vAlign w:val="center"/>
            <w:hideMark/>
          </w:tcPr>
          <w:p w14:paraId="5525E78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0.120</w:t>
            </w:r>
          </w:p>
        </w:tc>
        <w:tc>
          <w:tcPr>
            <w:tcW w:w="2061" w:type="dxa"/>
            <w:tcBorders>
              <w:top w:val="nil"/>
              <w:bottom w:val="nil"/>
            </w:tcBorders>
            <w:vAlign w:val="center"/>
            <w:hideMark/>
          </w:tcPr>
          <w:p w14:paraId="2A314CA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–0.0103</w:t>
            </w:r>
          </w:p>
        </w:tc>
        <w:tc>
          <w:tcPr>
            <w:tcW w:w="2061" w:type="dxa"/>
            <w:tcBorders>
              <w:top w:val="nil"/>
              <w:bottom w:val="nil"/>
            </w:tcBorders>
            <w:vAlign w:val="center"/>
            <w:hideMark/>
          </w:tcPr>
          <w:p w14:paraId="4055F47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0.0081</w:t>
            </w:r>
          </w:p>
        </w:tc>
      </w:tr>
      <w:tr w:rsidR="00AB238E" w:rsidRPr="00705903" w14:paraId="5B8B1F8D"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5F271F80"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–0.11</w:t>
            </w:r>
          </w:p>
        </w:tc>
        <w:tc>
          <w:tcPr>
            <w:tcW w:w="2060" w:type="dxa"/>
            <w:tcBorders>
              <w:top w:val="nil"/>
            </w:tcBorders>
            <w:vAlign w:val="center"/>
            <w:hideMark/>
          </w:tcPr>
          <w:p w14:paraId="7AF049E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–0.1690</w:t>
            </w:r>
          </w:p>
        </w:tc>
        <w:tc>
          <w:tcPr>
            <w:tcW w:w="2061" w:type="dxa"/>
            <w:tcBorders>
              <w:top w:val="nil"/>
            </w:tcBorders>
            <w:vAlign w:val="center"/>
            <w:hideMark/>
          </w:tcPr>
          <w:p w14:paraId="6F507CB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0.104</w:t>
            </w:r>
          </w:p>
        </w:tc>
        <w:tc>
          <w:tcPr>
            <w:tcW w:w="2061" w:type="dxa"/>
            <w:tcBorders>
              <w:top w:val="nil"/>
            </w:tcBorders>
            <w:vAlign w:val="center"/>
            <w:hideMark/>
          </w:tcPr>
          <w:p w14:paraId="7DCE135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–0.0104</w:t>
            </w:r>
          </w:p>
        </w:tc>
        <w:tc>
          <w:tcPr>
            <w:tcW w:w="2061" w:type="dxa"/>
            <w:tcBorders>
              <w:top w:val="nil"/>
            </w:tcBorders>
            <w:vAlign w:val="center"/>
            <w:hideMark/>
          </w:tcPr>
          <w:p w14:paraId="65C89864"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0.0111</w:t>
            </w:r>
          </w:p>
        </w:tc>
      </w:tr>
    </w:tbl>
    <w:p w14:paraId="03463B4B" w14:textId="77777777" w:rsidR="00AB238E" w:rsidRPr="00705903" w:rsidRDefault="00AB238E" w:rsidP="0097761F">
      <w:pPr>
        <w:jc w:val="both"/>
      </w:pPr>
    </w:p>
    <w:p w14:paraId="385D6245" w14:textId="77777777" w:rsidR="00AB238E" w:rsidRPr="00705903" w:rsidRDefault="00AB238E" w:rsidP="0097761F">
      <w:pPr>
        <w:spacing w:after="160" w:line="259" w:lineRule="auto"/>
        <w:ind w:firstLine="0"/>
        <w:jc w:val="both"/>
        <w:rPr>
          <w:sz w:val="20"/>
          <w:szCs w:val="20"/>
          <w:lang w:eastAsia="zh-CN"/>
        </w:rPr>
      </w:pPr>
    </w:p>
    <w:p w14:paraId="718FC97B" w14:textId="77777777" w:rsidR="00AB238E" w:rsidRPr="00705903" w:rsidRDefault="00AB238E" w:rsidP="0097761F">
      <w:pPr>
        <w:spacing w:after="160" w:line="259" w:lineRule="auto"/>
        <w:ind w:firstLine="0"/>
        <w:jc w:val="both"/>
        <w:rPr>
          <w:sz w:val="20"/>
          <w:szCs w:val="20"/>
        </w:rPr>
      </w:pPr>
      <w:r w:rsidRPr="00705903">
        <w:rPr>
          <w:sz w:val="20"/>
          <w:szCs w:val="20"/>
        </w:rPr>
        <w:br w:type="page"/>
      </w:r>
    </w:p>
    <w:p w14:paraId="3431716A" w14:textId="77777777" w:rsidR="00AB238E" w:rsidRPr="00705903" w:rsidRDefault="00AB238E" w:rsidP="0097761F">
      <w:pPr>
        <w:spacing w:line="276" w:lineRule="auto"/>
        <w:ind w:firstLine="0"/>
        <w:jc w:val="both"/>
        <w:rPr>
          <w:b/>
          <w:bCs/>
          <w:sz w:val="20"/>
          <w:szCs w:val="20"/>
          <w:lang w:val="en-US" w:eastAsia="zh-CN"/>
        </w:rPr>
      </w:pPr>
    </w:p>
    <w:p w14:paraId="67D8C18D" w14:textId="77777777" w:rsidR="00AB238E" w:rsidRPr="00705903" w:rsidRDefault="00AB238E" w:rsidP="0097761F">
      <w:pPr>
        <w:pStyle w:val="Heading1"/>
      </w:pPr>
      <w:r w:rsidRPr="00705903">
        <w:t>Table 36. Descriptive Statistics of Portfolio Returns</w:t>
      </w:r>
    </w:p>
    <w:p w14:paraId="01863A75" w14:textId="77777777" w:rsidR="00AB238E" w:rsidRPr="00705903" w:rsidRDefault="00AB238E" w:rsidP="0097761F">
      <w:pPr>
        <w:spacing w:after="160" w:line="259" w:lineRule="auto"/>
        <w:ind w:firstLine="0"/>
        <w:jc w:val="both"/>
      </w:pPr>
    </w:p>
    <w:p w14:paraId="157D5420" w14:textId="77777777" w:rsidR="00AB238E" w:rsidRPr="00705903" w:rsidRDefault="00AB238E" w:rsidP="0097761F">
      <w:pPr>
        <w:spacing w:line="259" w:lineRule="auto"/>
        <w:ind w:firstLine="0"/>
        <w:jc w:val="both"/>
        <w:rPr>
          <w:sz w:val="20"/>
          <w:szCs w:val="20"/>
        </w:rPr>
      </w:pPr>
      <w:r w:rsidRPr="00705903">
        <w:rPr>
          <w:sz w:val="20"/>
          <w:szCs w:val="20"/>
        </w:rPr>
        <w:t>This table reports descriptive statistics for the monthly returns of ESG-based long–short portfolios (ESG, E, S, and G factors) and major Chinese stock indices (CSI300, SSE Composite, and SZSE Component).</w:t>
      </w:r>
      <w:r w:rsidRPr="00705903">
        <w:rPr>
          <w:sz w:val="20"/>
          <w:szCs w:val="20"/>
          <w:lang w:eastAsia="zh-CN"/>
        </w:rPr>
        <w:t xml:space="preserve"> </w:t>
      </w:r>
      <w:r w:rsidRPr="00705903">
        <w:rPr>
          <w:sz w:val="20"/>
          <w:szCs w:val="20"/>
        </w:rPr>
        <w:t xml:space="preserve">For each variable, </w:t>
      </w:r>
      <w:r w:rsidRPr="00705903">
        <w:rPr>
          <w:i/>
          <w:iCs/>
          <w:sz w:val="20"/>
          <w:szCs w:val="20"/>
        </w:rPr>
        <w:t>N</w:t>
      </w:r>
      <w:r w:rsidRPr="00705903">
        <w:rPr>
          <w:sz w:val="20"/>
          <w:szCs w:val="20"/>
        </w:rPr>
        <w:t xml:space="preserve"> represents the number of monthly observations from 2007 to 2022 (192 months in total). </w:t>
      </w:r>
      <w:r w:rsidRPr="00705903">
        <w:rPr>
          <w:i/>
          <w:iCs/>
          <w:sz w:val="20"/>
          <w:szCs w:val="20"/>
        </w:rPr>
        <w:t>Mean</w:t>
      </w:r>
      <w:r w:rsidRPr="00705903">
        <w:rPr>
          <w:sz w:val="20"/>
          <w:szCs w:val="20"/>
        </w:rPr>
        <w:t xml:space="preserve"> denotes the time-series average monthly return, </w:t>
      </w:r>
      <w:r w:rsidRPr="00705903">
        <w:rPr>
          <w:i/>
          <w:iCs/>
          <w:sz w:val="20"/>
          <w:szCs w:val="20"/>
        </w:rPr>
        <w:t>SD</w:t>
      </w:r>
      <w:r w:rsidRPr="00705903">
        <w:rPr>
          <w:sz w:val="20"/>
          <w:szCs w:val="20"/>
        </w:rPr>
        <w:t xml:space="preserve"> is the standard deviation, </w:t>
      </w:r>
      <w:r w:rsidRPr="00705903">
        <w:rPr>
          <w:i/>
          <w:iCs/>
          <w:sz w:val="20"/>
          <w:szCs w:val="20"/>
        </w:rPr>
        <w:t>Min</w:t>
      </w:r>
      <w:r w:rsidRPr="00705903">
        <w:rPr>
          <w:sz w:val="20"/>
          <w:szCs w:val="20"/>
        </w:rPr>
        <w:t xml:space="preserve"> and </w:t>
      </w:r>
      <w:r w:rsidRPr="00705903">
        <w:rPr>
          <w:i/>
          <w:iCs/>
          <w:sz w:val="20"/>
          <w:szCs w:val="20"/>
        </w:rPr>
        <w:t>Max</w:t>
      </w:r>
      <w:r w:rsidRPr="00705903">
        <w:rPr>
          <w:sz w:val="20"/>
          <w:szCs w:val="20"/>
        </w:rPr>
        <w:t xml:space="preserve"> represent the minimum and maximum returns, and </w:t>
      </w:r>
      <w:r w:rsidRPr="00705903">
        <w:rPr>
          <w:i/>
          <w:iCs/>
          <w:sz w:val="20"/>
          <w:szCs w:val="20"/>
        </w:rPr>
        <w:t>P25</w:t>
      </w:r>
      <w:r w:rsidRPr="00705903">
        <w:rPr>
          <w:sz w:val="20"/>
          <w:szCs w:val="20"/>
        </w:rPr>
        <w:t xml:space="preserve">, </w:t>
      </w:r>
      <w:r w:rsidRPr="00705903">
        <w:rPr>
          <w:i/>
          <w:iCs/>
          <w:sz w:val="20"/>
          <w:szCs w:val="20"/>
        </w:rPr>
        <w:t>P50</w:t>
      </w:r>
      <w:r w:rsidRPr="00705903">
        <w:rPr>
          <w:sz w:val="20"/>
          <w:szCs w:val="20"/>
        </w:rPr>
        <w:t xml:space="preserve">, and </w:t>
      </w:r>
      <w:r w:rsidRPr="00705903">
        <w:rPr>
          <w:i/>
          <w:iCs/>
          <w:sz w:val="20"/>
          <w:szCs w:val="20"/>
        </w:rPr>
        <w:t>P75</w:t>
      </w:r>
      <w:r w:rsidRPr="00705903">
        <w:rPr>
          <w:sz w:val="20"/>
          <w:szCs w:val="20"/>
        </w:rPr>
        <w:t xml:space="preserve"> indicate the 25th, 50th (median), and 75th percentiles of the distribution.</w:t>
      </w:r>
    </w:p>
    <w:p w14:paraId="04111D42" w14:textId="77777777" w:rsidR="00AB238E" w:rsidRPr="00705903" w:rsidRDefault="00AB238E" w:rsidP="0097761F">
      <w:pPr>
        <w:spacing w:line="259" w:lineRule="auto"/>
        <w:ind w:firstLine="0"/>
        <w:jc w:val="both"/>
        <w:rPr>
          <w:sz w:val="20"/>
          <w:szCs w:val="20"/>
        </w:rPr>
      </w:pPr>
      <w:r w:rsidRPr="00705903">
        <w:rPr>
          <w:sz w:val="20"/>
          <w:szCs w:val="20"/>
        </w:rPr>
        <w:br/>
        <w:t>The results show that ESG-related portfolios have lower average returns and smaller volatility than market benchmarks, consistent with a conservative return profile. The Governance (G) portfolio exhibits the largest dispersion and downside variation, suggesting greater exposure to firm-level or policy-specific risks.</w:t>
      </w:r>
    </w:p>
    <w:p w14:paraId="1F9C0C7C" w14:textId="77777777" w:rsidR="00AB238E" w:rsidRPr="00705903" w:rsidRDefault="00AB238E" w:rsidP="0097761F">
      <w:pPr>
        <w:spacing w:line="259" w:lineRule="auto"/>
        <w:ind w:firstLine="0"/>
        <w:jc w:val="both"/>
        <w:rPr>
          <w:sz w:val="20"/>
          <w:szCs w:val="20"/>
        </w:rPr>
      </w:pPr>
    </w:p>
    <w:tbl>
      <w:tblPr>
        <w:tblStyle w:val="PlainTable2"/>
        <w:tblW w:w="0" w:type="auto"/>
        <w:tblLook w:val="04A0" w:firstRow="1" w:lastRow="0" w:firstColumn="1" w:lastColumn="0" w:noHBand="0" w:noVBand="1"/>
      </w:tblPr>
      <w:tblGrid>
        <w:gridCol w:w="861"/>
        <w:gridCol w:w="1188"/>
        <w:gridCol w:w="1188"/>
        <w:gridCol w:w="1189"/>
        <w:gridCol w:w="1188"/>
        <w:gridCol w:w="1189"/>
        <w:gridCol w:w="1188"/>
        <w:gridCol w:w="1189"/>
      </w:tblGrid>
      <w:tr w:rsidR="00AB238E" w:rsidRPr="00705903" w14:paraId="4EE6E493" w14:textId="77777777" w:rsidTr="00A4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7C647" w14:textId="77777777" w:rsidR="00AB238E" w:rsidRPr="00705903" w:rsidRDefault="00AB238E" w:rsidP="0097761F">
            <w:pPr>
              <w:spacing w:line="259" w:lineRule="auto"/>
              <w:ind w:firstLine="0"/>
              <w:jc w:val="both"/>
              <w:rPr>
                <w:b w:val="0"/>
                <w:bCs w:val="0"/>
                <w:sz w:val="20"/>
                <w:szCs w:val="20"/>
                <w:lang w:val="en-US"/>
              </w:rPr>
            </w:pPr>
            <w:r w:rsidRPr="00705903">
              <w:rPr>
                <w:b w:val="0"/>
                <w:bCs w:val="0"/>
                <w:sz w:val="20"/>
                <w:szCs w:val="20"/>
                <w:lang w:val="en-US"/>
              </w:rPr>
              <w:t>Statistic</w:t>
            </w:r>
          </w:p>
        </w:tc>
        <w:tc>
          <w:tcPr>
            <w:tcW w:w="1188" w:type="dxa"/>
            <w:vAlign w:val="center"/>
            <w:hideMark/>
          </w:tcPr>
          <w:p w14:paraId="199E7018"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rPr>
              <w:t>ESG</w:t>
            </w:r>
            <w:r w:rsidRPr="00705903">
              <w:rPr>
                <w:b w:val="0"/>
                <w:bCs w:val="0"/>
                <w:i/>
                <w:iCs/>
                <w:sz w:val="20"/>
                <w:szCs w:val="20"/>
                <w:lang w:val="en-US" w:eastAsia="zh-CN"/>
              </w:rPr>
              <w:t xml:space="preserve"> H-L</w:t>
            </w:r>
          </w:p>
        </w:tc>
        <w:tc>
          <w:tcPr>
            <w:tcW w:w="1188" w:type="dxa"/>
            <w:vAlign w:val="center"/>
            <w:hideMark/>
          </w:tcPr>
          <w:p w14:paraId="6E3EFFDD"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rPr>
              <w:t>E</w:t>
            </w:r>
            <w:r w:rsidRPr="00705903">
              <w:rPr>
                <w:b w:val="0"/>
                <w:bCs w:val="0"/>
                <w:i/>
                <w:iCs/>
                <w:sz w:val="20"/>
                <w:szCs w:val="20"/>
                <w:lang w:val="en-US" w:eastAsia="zh-CN"/>
              </w:rPr>
              <w:t xml:space="preserve"> H-L</w:t>
            </w:r>
          </w:p>
        </w:tc>
        <w:tc>
          <w:tcPr>
            <w:tcW w:w="1189" w:type="dxa"/>
            <w:vAlign w:val="center"/>
            <w:hideMark/>
          </w:tcPr>
          <w:p w14:paraId="01EAB581"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rPr>
              <w:t>S</w:t>
            </w:r>
            <w:r w:rsidRPr="00705903">
              <w:rPr>
                <w:b w:val="0"/>
                <w:bCs w:val="0"/>
                <w:i/>
                <w:iCs/>
                <w:sz w:val="20"/>
                <w:szCs w:val="20"/>
                <w:lang w:val="en-US" w:eastAsia="zh-CN"/>
              </w:rPr>
              <w:t xml:space="preserve"> H-L</w:t>
            </w:r>
          </w:p>
        </w:tc>
        <w:tc>
          <w:tcPr>
            <w:tcW w:w="1188" w:type="dxa"/>
            <w:vAlign w:val="center"/>
            <w:hideMark/>
          </w:tcPr>
          <w:p w14:paraId="2441BEDA"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eastAsia="zh-CN"/>
              </w:rPr>
            </w:pPr>
            <w:r w:rsidRPr="00705903">
              <w:rPr>
                <w:b w:val="0"/>
                <w:bCs w:val="0"/>
                <w:i/>
                <w:iCs/>
                <w:sz w:val="20"/>
                <w:szCs w:val="20"/>
                <w:lang w:val="en-US"/>
              </w:rPr>
              <w:t>G</w:t>
            </w:r>
            <w:r w:rsidRPr="00705903">
              <w:rPr>
                <w:b w:val="0"/>
                <w:bCs w:val="0"/>
                <w:i/>
                <w:iCs/>
                <w:sz w:val="20"/>
                <w:szCs w:val="20"/>
                <w:lang w:val="en-US" w:eastAsia="zh-CN"/>
              </w:rPr>
              <w:t xml:space="preserve"> H-L</w:t>
            </w:r>
          </w:p>
        </w:tc>
        <w:tc>
          <w:tcPr>
            <w:tcW w:w="1189" w:type="dxa"/>
            <w:vAlign w:val="center"/>
            <w:hideMark/>
          </w:tcPr>
          <w:p w14:paraId="09437264"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CSI300</w:t>
            </w:r>
            <w:r w:rsidRPr="00705903">
              <w:rPr>
                <w:b w:val="0"/>
                <w:bCs w:val="0"/>
                <w:i/>
                <w:iCs/>
                <w:sz w:val="20"/>
                <w:szCs w:val="20"/>
                <w:lang w:val="en-US" w:eastAsia="zh-CN"/>
              </w:rPr>
              <w:t xml:space="preserve"> H-L</w:t>
            </w:r>
          </w:p>
        </w:tc>
        <w:tc>
          <w:tcPr>
            <w:tcW w:w="1188" w:type="dxa"/>
            <w:vAlign w:val="center"/>
            <w:hideMark/>
          </w:tcPr>
          <w:p w14:paraId="7B880B7D"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SSE</w:t>
            </w:r>
            <w:r w:rsidRPr="00705903">
              <w:rPr>
                <w:b w:val="0"/>
                <w:bCs w:val="0"/>
                <w:i/>
                <w:iCs/>
                <w:sz w:val="20"/>
                <w:szCs w:val="20"/>
                <w:lang w:val="en-US" w:eastAsia="zh-CN"/>
              </w:rPr>
              <w:t xml:space="preserve"> H-L</w:t>
            </w:r>
          </w:p>
        </w:tc>
        <w:tc>
          <w:tcPr>
            <w:tcW w:w="1189" w:type="dxa"/>
            <w:vAlign w:val="center"/>
            <w:hideMark/>
          </w:tcPr>
          <w:p w14:paraId="2D2DBE36" w14:textId="77777777" w:rsidR="00AB238E" w:rsidRPr="00705903" w:rsidRDefault="00AB238E" w:rsidP="0097761F">
            <w:pPr>
              <w:spacing w:line="259" w:lineRule="auto"/>
              <w:ind w:firstLine="0"/>
              <w:jc w:val="both"/>
              <w:cnfStyle w:val="100000000000" w:firstRow="1" w:lastRow="0" w:firstColumn="0" w:lastColumn="0" w:oddVBand="0" w:evenVBand="0" w:oddHBand="0" w:evenHBand="0" w:firstRowFirstColumn="0" w:firstRowLastColumn="0" w:lastRowFirstColumn="0" w:lastRowLastColumn="0"/>
              <w:rPr>
                <w:b w:val="0"/>
                <w:bCs w:val="0"/>
                <w:i/>
                <w:iCs/>
                <w:sz w:val="20"/>
                <w:szCs w:val="20"/>
                <w:lang w:val="en-US"/>
              </w:rPr>
            </w:pPr>
            <w:r w:rsidRPr="00705903">
              <w:rPr>
                <w:b w:val="0"/>
                <w:bCs w:val="0"/>
                <w:i/>
                <w:iCs/>
                <w:sz w:val="20"/>
                <w:szCs w:val="20"/>
                <w:lang w:val="en-US"/>
              </w:rPr>
              <w:t>SZSE</w:t>
            </w:r>
            <w:r w:rsidRPr="00705903">
              <w:rPr>
                <w:b w:val="0"/>
                <w:bCs w:val="0"/>
                <w:i/>
                <w:iCs/>
                <w:sz w:val="20"/>
                <w:szCs w:val="20"/>
                <w:lang w:val="en-US" w:eastAsia="zh-CN"/>
              </w:rPr>
              <w:t xml:space="preserve"> H-L</w:t>
            </w:r>
          </w:p>
        </w:tc>
      </w:tr>
      <w:tr w:rsidR="00AB238E" w:rsidRPr="00705903" w14:paraId="523C5900"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0ADBB5C5"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N</w:t>
            </w:r>
          </w:p>
        </w:tc>
        <w:tc>
          <w:tcPr>
            <w:tcW w:w="1188" w:type="dxa"/>
            <w:tcBorders>
              <w:bottom w:val="nil"/>
            </w:tcBorders>
            <w:vAlign w:val="center"/>
            <w:hideMark/>
          </w:tcPr>
          <w:p w14:paraId="29D8FC4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192.0</w:t>
            </w:r>
          </w:p>
        </w:tc>
        <w:tc>
          <w:tcPr>
            <w:tcW w:w="1188" w:type="dxa"/>
            <w:tcBorders>
              <w:bottom w:val="nil"/>
            </w:tcBorders>
            <w:vAlign w:val="center"/>
            <w:hideMark/>
          </w:tcPr>
          <w:p w14:paraId="045385C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192.0</w:t>
            </w:r>
          </w:p>
        </w:tc>
        <w:tc>
          <w:tcPr>
            <w:tcW w:w="1189" w:type="dxa"/>
            <w:tcBorders>
              <w:bottom w:val="nil"/>
            </w:tcBorders>
            <w:vAlign w:val="center"/>
            <w:hideMark/>
          </w:tcPr>
          <w:p w14:paraId="1340673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192.0</w:t>
            </w:r>
          </w:p>
        </w:tc>
        <w:tc>
          <w:tcPr>
            <w:tcW w:w="1188" w:type="dxa"/>
            <w:tcBorders>
              <w:bottom w:val="nil"/>
            </w:tcBorders>
            <w:vAlign w:val="center"/>
            <w:hideMark/>
          </w:tcPr>
          <w:p w14:paraId="28C51BE6"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192.0</w:t>
            </w:r>
          </w:p>
        </w:tc>
        <w:tc>
          <w:tcPr>
            <w:tcW w:w="1189" w:type="dxa"/>
            <w:tcBorders>
              <w:bottom w:val="nil"/>
            </w:tcBorders>
            <w:vAlign w:val="center"/>
            <w:hideMark/>
          </w:tcPr>
          <w:p w14:paraId="2CCC1BC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192.0</w:t>
            </w:r>
          </w:p>
        </w:tc>
        <w:tc>
          <w:tcPr>
            <w:tcW w:w="1188" w:type="dxa"/>
            <w:tcBorders>
              <w:bottom w:val="nil"/>
            </w:tcBorders>
            <w:vAlign w:val="center"/>
            <w:hideMark/>
          </w:tcPr>
          <w:p w14:paraId="2D515C62"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192.0</w:t>
            </w:r>
          </w:p>
        </w:tc>
        <w:tc>
          <w:tcPr>
            <w:tcW w:w="1189" w:type="dxa"/>
            <w:tcBorders>
              <w:bottom w:val="nil"/>
            </w:tcBorders>
            <w:vAlign w:val="center"/>
            <w:hideMark/>
          </w:tcPr>
          <w:p w14:paraId="2551E7F5"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192.0</w:t>
            </w:r>
          </w:p>
        </w:tc>
      </w:tr>
      <w:tr w:rsidR="00AB238E" w:rsidRPr="00705903" w14:paraId="6938A43A"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02F3B46"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Mean</w:t>
            </w:r>
          </w:p>
        </w:tc>
        <w:tc>
          <w:tcPr>
            <w:tcW w:w="1188" w:type="dxa"/>
            <w:tcBorders>
              <w:top w:val="nil"/>
              <w:bottom w:val="nil"/>
            </w:tcBorders>
            <w:vAlign w:val="center"/>
            <w:hideMark/>
          </w:tcPr>
          <w:p w14:paraId="5F01EA4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-0.0032</w:t>
            </w:r>
          </w:p>
        </w:tc>
        <w:tc>
          <w:tcPr>
            <w:tcW w:w="1188" w:type="dxa"/>
            <w:tcBorders>
              <w:top w:val="nil"/>
              <w:bottom w:val="nil"/>
            </w:tcBorders>
            <w:vAlign w:val="center"/>
            <w:hideMark/>
          </w:tcPr>
          <w:p w14:paraId="6786B88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-0.0016</w:t>
            </w:r>
          </w:p>
        </w:tc>
        <w:tc>
          <w:tcPr>
            <w:tcW w:w="1189" w:type="dxa"/>
            <w:tcBorders>
              <w:top w:val="nil"/>
              <w:bottom w:val="nil"/>
            </w:tcBorders>
            <w:vAlign w:val="center"/>
            <w:hideMark/>
          </w:tcPr>
          <w:p w14:paraId="36621F7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-0.0039</w:t>
            </w:r>
          </w:p>
        </w:tc>
        <w:tc>
          <w:tcPr>
            <w:tcW w:w="1188" w:type="dxa"/>
            <w:tcBorders>
              <w:top w:val="nil"/>
              <w:bottom w:val="nil"/>
            </w:tcBorders>
            <w:vAlign w:val="center"/>
            <w:hideMark/>
          </w:tcPr>
          <w:p w14:paraId="6D5DB47A"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-0.0092</w:t>
            </w:r>
          </w:p>
        </w:tc>
        <w:tc>
          <w:tcPr>
            <w:tcW w:w="1189" w:type="dxa"/>
            <w:tcBorders>
              <w:top w:val="nil"/>
              <w:bottom w:val="nil"/>
            </w:tcBorders>
            <w:vAlign w:val="center"/>
            <w:hideMark/>
          </w:tcPr>
          <w:p w14:paraId="3EE1988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0.0067</w:t>
            </w:r>
          </w:p>
        </w:tc>
        <w:tc>
          <w:tcPr>
            <w:tcW w:w="1188" w:type="dxa"/>
            <w:tcBorders>
              <w:top w:val="nil"/>
              <w:bottom w:val="nil"/>
            </w:tcBorders>
            <w:vAlign w:val="center"/>
            <w:hideMark/>
          </w:tcPr>
          <w:p w14:paraId="6FA4E4E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0.0035</w:t>
            </w:r>
          </w:p>
        </w:tc>
        <w:tc>
          <w:tcPr>
            <w:tcW w:w="1189" w:type="dxa"/>
            <w:tcBorders>
              <w:top w:val="nil"/>
              <w:bottom w:val="nil"/>
            </w:tcBorders>
            <w:vAlign w:val="center"/>
            <w:hideMark/>
          </w:tcPr>
          <w:p w14:paraId="23ED7F48"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0.0064</w:t>
            </w:r>
          </w:p>
        </w:tc>
      </w:tr>
      <w:tr w:rsidR="00AB238E" w:rsidRPr="00705903" w14:paraId="59D14A99"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D013251"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SD</w:t>
            </w:r>
          </w:p>
        </w:tc>
        <w:tc>
          <w:tcPr>
            <w:tcW w:w="1188" w:type="dxa"/>
            <w:tcBorders>
              <w:top w:val="nil"/>
              <w:bottom w:val="nil"/>
            </w:tcBorders>
            <w:vAlign w:val="center"/>
            <w:hideMark/>
          </w:tcPr>
          <w:p w14:paraId="71F420D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0.0305</w:t>
            </w:r>
          </w:p>
        </w:tc>
        <w:tc>
          <w:tcPr>
            <w:tcW w:w="1188" w:type="dxa"/>
            <w:tcBorders>
              <w:top w:val="nil"/>
              <w:bottom w:val="nil"/>
            </w:tcBorders>
            <w:vAlign w:val="center"/>
            <w:hideMark/>
          </w:tcPr>
          <w:p w14:paraId="3D9BF87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0.0286</w:t>
            </w:r>
          </w:p>
        </w:tc>
        <w:tc>
          <w:tcPr>
            <w:tcW w:w="1189" w:type="dxa"/>
            <w:tcBorders>
              <w:top w:val="nil"/>
              <w:bottom w:val="nil"/>
            </w:tcBorders>
            <w:vAlign w:val="center"/>
            <w:hideMark/>
          </w:tcPr>
          <w:p w14:paraId="239902A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0.0356</w:t>
            </w:r>
          </w:p>
        </w:tc>
        <w:tc>
          <w:tcPr>
            <w:tcW w:w="1188" w:type="dxa"/>
            <w:tcBorders>
              <w:top w:val="nil"/>
              <w:bottom w:val="nil"/>
            </w:tcBorders>
            <w:vAlign w:val="center"/>
            <w:hideMark/>
          </w:tcPr>
          <w:p w14:paraId="40082E7E"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0.0510</w:t>
            </w:r>
          </w:p>
        </w:tc>
        <w:tc>
          <w:tcPr>
            <w:tcW w:w="1189" w:type="dxa"/>
            <w:tcBorders>
              <w:top w:val="nil"/>
              <w:bottom w:val="nil"/>
            </w:tcBorders>
            <w:vAlign w:val="center"/>
            <w:hideMark/>
          </w:tcPr>
          <w:p w14:paraId="14EC5F7C"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0.0825</w:t>
            </w:r>
          </w:p>
        </w:tc>
        <w:tc>
          <w:tcPr>
            <w:tcW w:w="1188" w:type="dxa"/>
            <w:tcBorders>
              <w:top w:val="nil"/>
              <w:bottom w:val="nil"/>
            </w:tcBorders>
            <w:vAlign w:val="center"/>
            <w:hideMark/>
          </w:tcPr>
          <w:p w14:paraId="4B17C50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0.0744</w:t>
            </w:r>
          </w:p>
        </w:tc>
        <w:tc>
          <w:tcPr>
            <w:tcW w:w="1189" w:type="dxa"/>
            <w:tcBorders>
              <w:top w:val="nil"/>
              <w:bottom w:val="nil"/>
            </w:tcBorders>
            <w:vAlign w:val="center"/>
            <w:hideMark/>
          </w:tcPr>
          <w:p w14:paraId="69ED909A"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0.0867</w:t>
            </w:r>
          </w:p>
        </w:tc>
      </w:tr>
      <w:tr w:rsidR="00AB238E" w:rsidRPr="00705903" w14:paraId="79304CFC"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D27A393"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Min</w:t>
            </w:r>
          </w:p>
        </w:tc>
        <w:tc>
          <w:tcPr>
            <w:tcW w:w="1188" w:type="dxa"/>
            <w:tcBorders>
              <w:top w:val="nil"/>
              <w:bottom w:val="nil"/>
            </w:tcBorders>
            <w:vAlign w:val="center"/>
            <w:hideMark/>
          </w:tcPr>
          <w:p w14:paraId="04BB2FF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-0.1135</w:t>
            </w:r>
          </w:p>
        </w:tc>
        <w:tc>
          <w:tcPr>
            <w:tcW w:w="1188" w:type="dxa"/>
            <w:tcBorders>
              <w:top w:val="nil"/>
              <w:bottom w:val="nil"/>
            </w:tcBorders>
            <w:vAlign w:val="center"/>
            <w:hideMark/>
          </w:tcPr>
          <w:p w14:paraId="1C2D0B3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-0.1000</w:t>
            </w:r>
          </w:p>
        </w:tc>
        <w:tc>
          <w:tcPr>
            <w:tcW w:w="1189" w:type="dxa"/>
            <w:tcBorders>
              <w:top w:val="nil"/>
              <w:bottom w:val="nil"/>
            </w:tcBorders>
            <w:vAlign w:val="center"/>
            <w:hideMark/>
          </w:tcPr>
          <w:p w14:paraId="07137AE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-0.0982</w:t>
            </w:r>
          </w:p>
        </w:tc>
        <w:tc>
          <w:tcPr>
            <w:tcW w:w="1188" w:type="dxa"/>
            <w:tcBorders>
              <w:top w:val="nil"/>
              <w:bottom w:val="nil"/>
            </w:tcBorders>
            <w:vAlign w:val="center"/>
            <w:hideMark/>
          </w:tcPr>
          <w:p w14:paraId="115E751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-0.2183</w:t>
            </w:r>
          </w:p>
        </w:tc>
        <w:tc>
          <w:tcPr>
            <w:tcW w:w="1189" w:type="dxa"/>
            <w:tcBorders>
              <w:top w:val="nil"/>
              <w:bottom w:val="nil"/>
            </w:tcBorders>
            <w:vAlign w:val="center"/>
            <w:hideMark/>
          </w:tcPr>
          <w:p w14:paraId="6FBEBB4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-0.2585</w:t>
            </w:r>
          </w:p>
        </w:tc>
        <w:tc>
          <w:tcPr>
            <w:tcW w:w="1188" w:type="dxa"/>
            <w:tcBorders>
              <w:top w:val="nil"/>
              <w:bottom w:val="nil"/>
            </w:tcBorders>
            <w:vAlign w:val="center"/>
            <w:hideMark/>
          </w:tcPr>
          <w:p w14:paraId="0323C7C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-0.2463</w:t>
            </w:r>
          </w:p>
        </w:tc>
        <w:tc>
          <w:tcPr>
            <w:tcW w:w="1189" w:type="dxa"/>
            <w:tcBorders>
              <w:top w:val="nil"/>
              <w:bottom w:val="nil"/>
            </w:tcBorders>
            <w:vAlign w:val="center"/>
            <w:hideMark/>
          </w:tcPr>
          <w:p w14:paraId="0EB2B757"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-0.2564</w:t>
            </w:r>
          </w:p>
        </w:tc>
      </w:tr>
      <w:tr w:rsidR="00AB238E" w:rsidRPr="00705903" w14:paraId="743172DE"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D066239"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P25</w:t>
            </w:r>
          </w:p>
        </w:tc>
        <w:tc>
          <w:tcPr>
            <w:tcW w:w="1188" w:type="dxa"/>
            <w:tcBorders>
              <w:top w:val="nil"/>
              <w:bottom w:val="nil"/>
            </w:tcBorders>
            <w:vAlign w:val="center"/>
            <w:hideMark/>
          </w:tcPr>
          <w:p w14:paraId="08F2F628"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-0.0201</w:t>
            </w:r>
          </w:p>
        </w:tc>
        <w:tc>
          <w:tcPr>
            <w:tcW w:w="1188" w:type="dxa"/>
            <w:tcBorders>
              <w:top w:val="nil"/>
              <w:bottom w:val="nil"/>
            </w:tcBorders>
            <w:vAlign w:val="center"/>
            <w:hideMark/>
          </w:tcPr>
          <w:p w14:paraId="6BDA210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-0.0221</w:t>
            </w:r>
          </w:p>
        </w:tc>
        <w:tc>
          <w:tcPr>
            <w:tcW w:w="1189" w:type="dxa"/>
            <w:tcBorders>
              <w:top w:val="nil"/>
              <w:bottom w:val="nil"/>
            </w:tcBorders>
            <w:vAlign w:val="center"/>
            <w:hideMark/>
          </w:tcPr>
          <w:p w14:paraId="2A31710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-0.0289</w:t>
            </w:r>
          </w:p>
        </w:tc>
        <w:tc>
          <w:tcPr>
            <w:tcW w:w="1188" w:type="dxa"/>
            <w:tcBorders>
              <w:top w:val="nil"/>
              <w:bottom w:val="nil"/>
            </w:tcBorders>
            <w:vAlign w:val="center"/>
            <w:hideMark/>
          </w:tcPr>
          <w:p w14:paraId="45CA7DB3"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-0.0362</w:t>
            </w:r>
          </w:p>
        </w:tc>
        <w:tc>
          <w:tcPr>
            <w:tcW w:w="1189" w:type="dxa"/>
            <w:tcBorders>
              <w:top w:val="nil"/>
              <w:bottom w:val="nil"/>
            </w:tcBorders>
            <w:vAlign w:val="center"/>
            <w:hideMark/>
          </w:tcPr>
          <w:p w14:paraId="0445198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-0.0454</w:t>
            </w:r>
          </w:p>
        </w:tc>
        <w:tc>
          <w:tcPr>
            <w:tcW w:w="1188" w:type="dxa"/>
            <w:tcBorders>
              <w:top w:val="nil"/>
              <w:bottom w:val="nil"/>
            </w:tcBorders>
            <w:vAlign w:val="center"/>
            <w:hideMark/>
          </w:tcPr>
          <w:p w14:paraId="69F190F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-0.0371</w:t>
            </w:r>
          </w:p>
        </w:tc>
        <w:tc>
          <w:tcPr>
            <w:tcW w:w="1189" w:type="dxa"/>
            <w:tcBorders>
              <w:top w:val="nil"/>
              <w:bottom w:val="nil"/>
            </w:tcBorders>
            <w:vAlign w:val="center"/>
            <w:hideMark/>
          </w:tcPr>
          <w:p w14:paraId="7353E2D1"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-0.0457</w:t>
            </w:r>
          </w:p>
        </w:tc>
      </w:tr>
      <w:tr w:rsidR="00AB238E" w:rsidRPr="00705903" w14:paraId="5EF205AA"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810B419"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P50</w:t>
            </w:r>
          </w:p>
        </w:tc>
        <w:tc>
          <w:tcPr>
            <w:tcW w:w="1188" w:type="dxa"/>
            <w:tcBorders>
              <w:top w:val="nil"/>
              <w:bottom w:val="nil"/>
            </w:tcBorders>
            <w:vAlign w:val="center"/>
            <w:hideMark/>
          </w:tcPr>
          <w:p w14:paraId="23D9E9E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-0.0027</w:t>
            </w:r>
          </w:p>
        </w:tc>
        <w:tc>
          <w:tcPr>
            <w:tcW w:w="1188" w:type="dxa"/>
            <w:tcBorders>
              <w:top w:val="nil"/>
              <w:bottom w:val="nil"/>
            </w:tcBorders>
            <w:vAlign w:val="center"/>
            <w:hideMark/>
          </w:tcPr>
          <w:p w14:paraId="79EE9C40"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-0.0008</w:t>
            </w:r>
          </w:p>
        </w:tc>
        <w:tc>
          <w:tcPr>
            <w:tcW w:w="1189" w:type="dxa"/>
            <w:tcBorders>
              <w:top w:val="nil"/>
              <w:bottom w:val="nil"/>
            </w:tcBorders>
            <w:vAlign w:val="center"/>
            <w:hideMark/>
          </w:tcPr>
          <w:p w14:paraId="51ED4DF1"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-0.0036</w:t>
            </w:r>
          </w:p>
        </w:tc>
        <w:tc>
          <w:tcPr>
            <w:tcW w:w="1188" w:type="dxa"/>
            <w:tcBorders>
              <w:top w:val="nil"/>
              <w:bottom w:val="nil"/>
            </w:tcBorders>
            <w:vAlign w:val="center"/>
            <w:hideMark/>
          </w:tcPr>
          <w:p w14:paraId="17D3F8C9"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-0.0096</w:t>
            </w:r>
          </w:p>
        </w:tc>
        <w:tc>
          <w:tcPr>
            <w:tcW w:w="1189" w:type="dxa"/>
            <w:tcBorders>
              <w:top w:val="nil"/>
              <w:bottom w:val="nil"/>
            </w:tcBorders>
            <w:vAlign w:val="center"/>
            <w:hideMark/>
          </w:tcPr>
          <w:p w14:paraId="39FBEF8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0.0053</w:t>
            </w:r>
          </w:p>
        </w:tc>
        <w:tc>
          <w:tcPr>
            <w:tcW w:w="1188" w:type="dxa"/>
            <w:tcBorders>
              <w:top w:val="nil"/>
              <w:bottom w:val="nil"/>
            </w:tcBorders>
            <w:vAlign w:val="center"/>
            <w:hideMark/>
          </w:tcPr>
          <w:p w14:paraId="11207326"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0.0046</w:t>
            </w:r>
          </w:p>
        </w:tc>
        <w:tc>
          <w:tcPr>
            <w:tcW w:w="1189" w:type="dxa"/>
            <w:tcBorders>
              <w:top w:val="nil"/>
              <w:bottom w:val="nil"/>
            </w:tcBorders>
            <w:vAlign w:val="center"/>
            <w:hideMark/>
          </w:tcPr>
          <w:p w14:paraId="24EE2444"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0.0088</w:t>
            </w:r>
          </w:p>
        </w:tc>
      </w:tr>
      <w:tr w:rsidR="00AB238E" w:rsidRPr="00705903" w14:paraId="76A598B5" w14:textId="77777777" w:rsidTr="00A4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5D0371C"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P75</w:t>
            </w:r>
          </w:p>
        </w:tc>
        <w:tc>
          <w:tcPr>
            <w:tcW w:w="1188" w:type="dxa"/>
            <w:tcBorders>
              <w:top w:val="nil"/>
              <w:bottom w:val="nil"/>
            </w:tcBorders>
            <w:vAlign w:val="center"/>
            <w:hideMark/>
          </w:tcPr>
          <w:p w14:paraId="1FDED35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0.0171</w:t>
            </w:r>
          </w:p>
        </w:tc>
        <w:tc>
          <w:tcPr>
            <w:tcW w:w="1188" w:type="dxa"/>
            <w:tcBorders>
              <w:top w:val="nil"/>
              <w:bottom w:val="nil"/>
            </w:tcBorders>
            <w:vAlign w:val="center"/>
            <w:hideMark/>
          </w:tcPr>
          <w:p w14:paraId="425D68FF"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0.0160</w:t>
            </w:r>
          </w:p>
        </w:tc>
        <w:tc>
          <w:tcPr>
            <w:tcW w:w="1189" w:type="dxa"/>
            <w:tcBorders>
              <w:top w:val="nil"/>
              <w:bottom w:val="nil"/>
            </w:tcBorders>
            <w:vAlign w:val="center"/>
            <w:hideMark/>
          </w:tcPr>
          <w:p w14:paraId="1491DCAD"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0.0136</w:t>
            </w:r>
          </w:p>
        </w:tc>
        <w:tc>
          <w:tcPr>
            <w:tcW w:w="1188" w:type="dxa"/>
            <w:tcBorders>
              <w:top w:val="nil"/>
              <w:bottom w:val="nil"/>
            </w:tcBorders>
            <w:vAlign w:val="center"/>
            <w:hideMark/>
          </w:tcPr>
          <w:p w14:paraId="3ACB8AC0"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0.0180</w:t>
            </w:r>
          </w:p>
        </w:tc>
        <w:tc>
          <w:tcPr>
            <w:tcW w:w="1189" w:type="dxa"/>
            <w:tcBorders>
              <w:top w:val="nil"/>
              <w:bottom w:val="nil"/>
            </w:tcBorders>
            <w:vAlign w:val="center"/>
            <w:hideMark/>
          </w:tcPr>
          <w:p w14:paraId="2D96C08B"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0.0510</w:t>
            </w:r>
          </w:p>
        </w:tc>
        <w:tc>
          <w:tcPr>
            <w:tcW w:w="1188" w:type="dxa"/>
            <w:tcBorders>
              <w:top w:val="nil"/>
              <w:bottom w:val="nil"/>
            </w:tcBorders>
            <w:vAlign w:val="center"/>
            <w:hideMark/>
          </w:tcPr>
          <w:p w14:paraId="0B65515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0.0434</w:t>
            </w:r>
          </w:p>
        </w:tc>
        <w:tc>
          <w:tcPr>
            <w:tcW w:w="1189" w:type="dxa"/>
            <w:tcBorders>
              <w:top w:val="nil"/>
              <w:bottom w:val="nil"/>
            </w:tcBorders>
            <w:vAlign w:val="center"/>
            <w:hideMark/>
          </w:tcPr>
          <w:p w14:paraId="48EE3CF7" w14:textId="77777777" w:rsidR="00AB238E" w:rsidRPr="00705903" w:rsidRDefault="00AB238E" w:rsidP="0097761F">
            <w:pPr>
              <w:spacing w:line="259"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705903">
              <w:rPr>
                <w:sz w:val="20"/>
                <w:szCs w:val="20"/>
                <w:lang w:val="en-US"/>
              </w:rPr>
              <w:t>0.0536</w:t>
            </w:r>
          </w:p>
        </w:tc>
      </w:tr>
      <w:tr w:rsidR="00AB238E" w:rsidRPr="00705903" w14:paraId="3FF06754" w14:textId="77777777" w:rsidTr="00A4523E">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49E054CF" w14:textId="77777777" w:rsidR="00AB238E" w:rsidRPr="00705903" w:rsidRDefault="00AB238E" w:rsidP="0097761F">
            <w:pPr>
              <w:spacing w:line="259" w:lineRule="auto"/>
              <w:ind w:firstLine="0"/>
              <w:jc w:val="both"/>
              <w:rPr>
                <w:b w:val="0"/>
                <w:bCs w:val="0"/>
                <w:i/>
                <w:iCs/>
                <w:sz w:val="20"/>
                <w:szCs w:val="20"/>
                <w:lang w:val="en-US"/>
              </w:rPr>
            </w:pPr>
            <w:r w:rsidRPr="00705903">
              <w:rPr>
                <w:b w:val="0"/>
                <w:bCs w:val="0"/>
                <w:i/>
                <w:iCs/>
                <w:sz w:val="20"/>
                <w:szCs w:val="20"/>
                <w:lang w:val="en-US"/>
              </w:rPr>
              <w:t>Max</w:t>
            </w:r>
          </w:p>
        </w:tc>
        <w:tc>
          <w:tcPr>
            <w:tcW w:w="1188" w:type="dxa"/>
            <w:tcBorders>
              <w:top w:val="nil"/>
            </w:tcBorders>
            <w:vAlign w:val="center"/>
            <w:hideMark/>
          </w:tcPr>
          <w:p w14:paraId="3E22692F"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0.0692</w:t>
            </w:r>
          </w:p>
        </w:tc>
        <w:tc>
          <w:tcPr>
            <w:tcW w:w="1188" w:type="dxa"/>
            <w:tcBorders>
              <w:top w:val="nil"/>
            </w:tcBorders>
            <w:vAlign w:val="center"/>
            <w:hideMark/>
          </w:tcPr>
          <w:p w14:paraId="4929FDB3"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0.0734</w:t>
            </w:r>
          </w:p>
        </w:tc>
        <w:tc>
          <w:tcPr>
            <w:tcW w:w="1189" w:type="dxa"/>
            <w:tcBorders>
              <w:top w:val="nil"/>
            </w:tcBorders>
            <w:vAlign w:val="center"/>
            <w:hideMark/>
          </w:tcPr>
          <w:p w14:paraId="6AF69CC2"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0.1362</w:t>
            </w:r>
          </w:p>
        </w:tc>
        <w:tc>
          <w:tcPr>
            <w:tcW w:w="1188" w:type="dxa"/>
            <w:tcBorders>
              <w:top w:val="nil"/>
            </w:tcBorders>
            <w:vAlign w:val="center"/>
            <w:hideMark/>
          </w:tcPr>
          <w:p w14:paraId="11E8AB6D"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0.2201</w:t>
            </w:r>
          </w:p>
        </w:tc>
        <w:tc>
          <w:tcPr>
            <w:tcW w:w="1189" w:type="dxa"/>
            <w:tcBorders>
              <w:top w:val="nil"/>
            </w:tcBorders>
            <w:vAlign w:val="center"/>
            <w:hideMark/>
          </w:tcPr>
          <w:p w14:paraId="26052C4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0.2793</w:t>
            </w:r>
          </w:p>
        </w:tc>
        <w:tc>
          <w:tcPr>
            <w:tcW w:w="1188" w:type="dxa"/>
            <w:tcBorders>
              <w:top w:val="nil"/>
            </w:tcBorders>
            <w:vAlign w:val="center"/>
            <w:hideMark/>
          </w:tcPr>
          <w:p w14:paraId="2F802B55"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0.2064</w:t>
            </w:r>
          </w:p>
        </w:tc>
        <w:tc>
          <w:tcPr>
            <w:tcW w:w="1189" w:type="dxa"/>
            <w:tcBorders>
              <w:top w:val="nil"/>
            </w:tcBorders>
            <w:vAlign w:val="center"/>
            <w:hideMark/>
          </w:tcPr>
          <w:p w14:paraId="630B34AB" w14:textId="77777777" w:rsidR="00AB238E" w:rsidRPr="00705903" w:rsidRDefault="00AB238E" w:rsidP="0097761F">
            <w:pPr>
              <w:spacing w:line="259" w:lineRule="auto"/>
              <w:ind w:firstLine="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705903">
              <w:rPr>
                <w:sz w:val="20"/>
                <w:szCs w:val="20"/>
                <w:lang w:val="en-US"/>
              </w:rPr>
              <w:t>0.2710</w:t>
            </w:r>
          </w:p>
        </w:tc>
      </w:tr>
    </w:tbl>
    <w:p w14:paraId="04B8C7E1" w14:textId="77777777" w:rsidR="00AB238E" w:rsidRPr="00705903" w:rsidRDefault="00AB238E" w:rsidP="0097761F">
      <w:pPr>
        <w:spacing w:after="160" w:line="259" w:lineRule="auto"/>
        <w:ind w:firstLine="0"/>
        <w:jc w:val="both"/>
      </w:pPr>
    </w:p>
    <w:p w14:paraId="3FD8A55B" w14:textId="77777777" w:rsidR="00AB238E" w:rsidRPr="00705903" w:rsidRDefault="00AB238E" w:rsidP="0097761F">
      <w:pPr>
        <w:spacing w:after="160" w:line="259" w:lineRule="auto"/>
        <w:ind w:firstLine="0"/>
        <w:jc w:val="both"/>
      </w:pPr>
    </w:p>
    <w:p w14:paraId="754C6ABF" w14:textId="77777777" w:rsidR="00AB238E" w:rsidRPr="00705903" w:rsidRDefault="00AB238E" w:rsidP="0097761F">
      <w:pPr>
        <w:spacing w:after="160" w:line="259" w:lineRule="auto"/>
        <w:ind w:firstLine="0"/>
        <w:jc w:val="both"/>
      </w:pPr>
      <w:r w:rsidRPr="00705903">
        <w:br w:type="page"/>
      </w:r>
    </w:p>
    <w:p w14:paraId="0FA827A9" w14:textId="77777777" w:rsidR="00AB238E" w:rsidRPr="00705903" w:rsidRDefault="00AB238E" w:rsidP="0097761F">
      <w:pPr>
        <w:spacing w:after="160" w:line="259" w:lineRule="auto"/>
        <w:ind w:firstLine="0"/>
        <w:jc w:val="both"/>
        <w:rPr>
          <w:b/>
          <w:bCs/>
          <w:szCs w:val="24"/>
          <w:lang w:val="en-US" w:eastAsia="zh-CN"/>
        </w:rPr>
      </w:pPr>
    </w:p>
    <w:p w14:paraId="4106450D" w14:textId="77777777" w:rsidR="00AB238E" w:rsidRPr="00705903" w:rsidRDefault="00AB238E" w:rsidP="0097761F">
      <w:pPr>
        <w:pStyle w:val="Heading1"/>
      </w:pPr>
      <w:r w:rsidRPr="00705903">
        <w:t xml:space="preserve">Figure 1. </w:t>
      </w:r>
      <w:bookmarkStart w:id="12" w:name="_Hlk212501129"/>
      <w:r w:rsidRPr="00705903">
        <w:t>Temporal Evolution of ESG Performance and Coverage (2007-2022)</w:t>
      </w:r>
      <w:bookmarkEnd w:id="12"/>
    </w:p>
    <w:p w14:paraId="2893E894" w14:textId="77777777" w:rsidR="00AB238E" w:rsidRPr="00705903" w:rsidRDefault="00AB238E" w:rsidP="0097761F">
      <w:pPr>
        <w:spacing w:line="259" w:lineRule="auto"/>
        <w:ind w:firstLine="0"/>
        <w:jc w:val="both"/>
        <w:rPr>
          <w:sz w:val="20"/>
          <w:szCs w:val="18"/>
          <w:lang w:val="en-US"/>
        </w:rPr>
      </w:pPr>
    </w:p>
    <w:p w14:paraId="4D4E3BF9" w14:textId="77777777" w:rsidR="00AB238E" w:rsidRPr="00705903" w:rsidRDefault="00AB238E" w:rsidP="0097761F">
      <w:pPr>
        <w:spacing w:line="259" w:lineRule="auto"/>
        <w:ind w:firstLine="0"/>
        <w:jc w:val="both"/>
        <w:rPr>
          <w:sz w:val="20"/>
          <w:szCs w:val="18"/>
          <w:lang w:val="en-US"/>
        </w:rPr>
      </w:pPr>
      <w:r w:rsidRPr="00705903">
        <w:rPr>
          <w:sz w:val="20"/>
          <w:szCs w:val="18"/>
          <w:lang w:val="en-US"/>
        </w:rPr>
        <w:t>This figure presents the longitudinal trends in ESG metrics over the 2007-2022 period. Panel A illustrates the evolution of average scores for overall ESG performance and its three constituent dimensions: Environmental (E), Social (S), and Governance (G). Panel B depicts the expansion of ESG rating coverage, measured as the percentage of firms with available ESG ratings in the CNRDS database. The consistently increasing coverage ratio reflects the growing adoption and disclosure of ESG practices among Chinese listed firms, while the score trends reveal differential improvements across ESG components, with Environmental scores demonstrating particularly notable growth in recent years.</w:t>
      </w:r>
    </w:p>
    <w:p w14:paraId="4D5FA0DD" w14:textId="77777777" w:rsidR="00AB238E" w:rsidRDefault="00AB238E" w:rsidP="0097761F">
      <w:pPr>
        <w:spacing w:line="259" w:lineRule="auto"/>
        <w:ind w:firstLine="0"/>
        <w:jc w:val="both"/>
        <w:rPr>
          <w:sz w:val="20"/>
          <w:szCs w:val="18"/>
          <w:lang w:val="en-US"/>
        </w:rPr>
      </w:pPr>
    </w:p>
    <w:p w14:paraId="1CF4694E" w14:textId="77777777" w:rsidR="00854C2B" w:rsidRDefault="00854C2B" w:rsidP="009968BE">
      <w:pPr>
        <w:spacing w:line="259" w:lineRule="auto"/>
        <w:ind w:firstLine="0"/>
        <w:jc w:val="center"/>
        <w:rPr>
          <w:b/>
          <w:bCs/>
          <w:sz w:val="18"/>
          <w:szCs w:val="16"/>
          <w:lang w:val="en-US" w:eastAsia="zh-CN"/>
        </w:rPr>
      </w:pPr>
      <w:r w:rsidRPr="00854C2B">
        <w:rPr>
          <w:b/>
          <w:bCs/>
          <w:sz w:val="18"/>
          <w:szCs w:val="16"/>
          <w:lang w:val="en-US" w:eastAsia="zh-CN"/>
        </w:rPr>
        <w:t>Temporal Evolution of ESG Performance and Coverage (2007-2022)</w:t>
      </w:r>
    </w:p>
    <w:p w14:paraId="6B5C7CAC" w14:textId="559A567A" w:rsidR="009968BE" w:rsidRDefault="009968BE" w:rsidP="009968BE">
      <w:pPr>
        <w:spacing w:line="259" w:lineRule="auto"/>
        <w:ind w:firstLine="0"/>
        <w:jc w:val="center"/>
        <w:rPr>
          <w:b/>
          <w:bCs/>
          <w:sz w:val="18"/>
          <w:szCs w:val="16"/>
          <w:lang w:val="en-US" w:eastAsia="zh-CN"/>
        </w:rPr>
      </w:pPr>
      <w:r w:rsidRPr="009968BE">
        <w:rPr>
          <w:rFonts w:hint="eastAsia"/>
          <w:b/>
          <w:bCs/>
          <w:sz w:val="18"/>
          <w:szCs w:val="16"/>
          <w:lang w:val="en-US" w:eastAsia="zh-CN"/>
        </w:rPr>
        <w:t>Panel A: Trend of ESG C</w:t>
      </w:r>
      <w:r w:rsidRPr="009968BE">
        <w:rPr>
          <w:b/>
          <w:bCs/>
          <w:sz w:val="18"/>
          <w:szCs w:val="16"/>
          <w:lang w:val="en-US" w:eastAsia="zh-CN"/>
        </w:rPr>
        <w:t>o</w:t>
      </w:r>
      <w:r w:rsidRPr="009968BE">
        <w:rPr>
          <w:rFonts w:hint="eastAsia"/>
          <w:b/>
          <w:bCs/>
          <w:sz w:val="18"/>
          <w:szCs w:val="16"/>
          <w:lang w:val="en-US" w:eastAsia="zh-CN"/>
        </w:rPr>
        <w:t>mponent Scores (2007-2022)</w:t>
      </w:r>
    </w:p>
    <w:p w14:paraId="1C578E18" w14:textId="65F30063" w:rsidR="009968BE" w:rsidRPr="009968BE" w:rsidRDefault="009968BE" w:rsidP="009968BE">
      <w:pPr>
        <w:spacing w:line="259" w:lineRule="auto"/>
        <w:ind w:firstLine="0"/>
        <w:jc w:val="center"/>
        <w:rPr>
          <w:b/>
          <w:bCs/>
          <w:sz w:val="18"/>
          <w:szCs w:val="16"/>
          <w:lang w:val="en-US" w:eastAsia="zh-CN"/>
        </w:rPr>
      </w:pPr>
      <w:r w:rsidRPr="00705903">
        <w:rPr>
          <w:noProof/>
        </w:rPr>
        <w:drawing>
          <wp:inline distT="0" distB="0" distL="0" distR="0" wp14:anchorId="3662D5B8" wp14:editId="2D81C246">
            <wp:extent cx="5943473" cy="2070292"/>
            <wp:effectExtent l="0" t="0" r="635" b="6350"/>
            <wp:docPr id="43649307" name="Picture 1" descr="A graph of the same number of es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51960" name="Picture 1" descr="A graph of the same number of esg&#10;&#10;AI-generated content may be incorrect."/>
                    <pic:cNvPicPr/>
                  </pic:nvPicPr>
                  <pic:blipFill rotWithShape="1">
                    <a:blip r:embed="rId14"/>
                    <a:srcRect t="3692" b="52009"/>
                    <a:stretch>
                      <a:fillRect/>
                    </a:stretch>
                  </pic:blipFill>
                  <pic:spPr bwMode="auto">
                    <a:xfrm>
                      <a:off x="0" y="0"/>
                      <a:ext cx="5943600" cy="2070336"/>
                    </a:xfrm>
                    <a:prstGeom prst="rect">
                      <a:avLst/>
                    </a:prstGeom>
                    <a:ln>
                      <a:noFill/>
                    </a:ln>
                    <a:extLst>
                      <a:ext uri="{53640926-AAD7-44D8-BBD7-CCE9431645EC}">
                        <a14:shadowObscured xmlns:a14="http://schemas.microsoft.com/office/drawing/2010/main"/>
                      </a:ext>
                    </a:extLst>
                  </pic:spPr>
                </pic:pic>
              </a:graphicData>
            </a:graphic>
          </wp:inline>
        </w:drawing>
      </w:r>
    </w:p>
    <w:p w14:paraId="31D8645F" w14:textId="38535CA0" w:rsidR="009968BE" w:rsidRPr="009968BE" w:rsidRDefault="009968BE" w:rsidP="009968BE">
      <w:pPr>
        <w:spacing w:line="259" w:lineRule="auto"/>
        <w:ind w:firstLine="0"/>
        <w:jc w:val="center"/>
        <w:rPr>
          <w:b/>
          <w:bCs/>
          <w:sz w:val="18"/>
          <w:szCs w:val="16"/>
          <w:lang w:val="en-US" w:eastAsia="zh-CN"/>
        </w:rPr>
      </w:pPr>
      <w:r w:rsidRPr="009968BE">
        <w:rPr>
          <w:rFonts w:hint="eastAsia"/>
          <w:b/>
          <w:bCs/>
          <w:sz w:val="18"/>
          <w:szCs w:val="16"/>
          <w:lang w:val="en-US" w:eastAsia="zh-CN"/>
        </w:rPr>
        <w:t xml:space="preserve">Panel </w:t>
      </w:r>
      <w:r>
        <w:rPr>
          <w:rFonts w:hint="eastAsia"/>
          <w:b/>
          <w:bCs/>
          <w:sz w:val="18"/>
          <w:szCs w:val="16"/>
          <w:lang w:val="en-US" w:eastAsia="zh-CN"/>
        </w:rPr>
        <w:t>B</w:t>
      </w:r>
      <w:r w:rsidRPr="009968BE">
        <w:rPr>
          <w:rFonts w:hint="eastAsia"/>
          <w:b/>
          <w:bCs/>
          <w:sz w:val="18"/>
          <w:szCs w:val="16"/>
          <w:lang w:val="en-US" w:eastAsia="zh-CN"/>
        </w:rPr>
        <w:t>: Trend of ESG Rating Coverage Ratio (2007-2022)</w:t>
      </w:r>
    </w:p>
    <w:p w14:paraId="5A8B41F2" w14:textId="77777777" w:rsidR="009968BE" w:rsidRPr="009968BE" w:rsidRDefault="009968BE" w:rsidP="0097761F">
      <w:pPr>
        <w:spacing w:line="259" w:lineRule="auto"/>
        <w:ind w:firstLine="0"/>
        <w:jc w:val="both"/>
        <w:rPr>
          <w:sz w:val="20"/>
          <w:szCs w:val="18"/>
          <w:lang w:val="en-US" w:eastAsia="zh-CN"/>
        </w:rPr>
      </w:pPr>
    </w:p>
    <w:p w14:paraId="68AB1D38" w14:textId="77777777" w:rsidR="00AB238E" w:rsidRPr="00705903" w:rsidRDefault="00AB238E" w:rsidP="0097761F">
      <w:pPr>
        <w:spacing w:after="160" w:line="259" w:lineRule="auto"/>
        <w:ind w:firstLine="0"/>
        <w:jc w:val="both"/>
      </w:pPr>
      <w:r w:rsidRPr="00705903">
        <w:rPr>
          <w:noProof/>
        </w:rPr>
        <w:drawing>
          <wp:inline distT="0" distB="0" distL="0" distR="0" wp14:anchorId="44DA36CE" wp14:editId="4241461B">
            <wp:extent cx="5943600" cy="2206445"/>
            <wp:effectExtent l="0" t="0" r="0" b="3810"/>
            <wp:docPr id="723951960" name="Picture 1" descr="A graph of the same number of es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51960" name="Picture 1" descr="A graph of the same number of esg&#10;&#10;AI-generated content may be incorrect."/>
                    <pic:cNvPicPr/>
                  </pic:nvPicPr>
                  <pic:blipFill rotWithShape="1">
                    <a:blip r:embed="rId14"/>
                    <a:srcRect t="52789"/>
                    <a:stretch>
                      <a:fillRect/>
                    </a:stretch>
                  </pic:blipFill>
                  <pic:spPr bwMode="auto">
                    <a:xfrm>
                      <a:off x="0" y="0"/>
                      <a:ext cx="5943600" cy="2206445"/>
                    </a:xfrm>
                    <a:prstGeom prst="rect">
                      <a:avLst/>
                    </a:prstGeom>
                    <a:ln>
                      <a:noFill/>
                    </a:ln>
                    <a:extLst>
                      <a:ext uri="{53640926-AAD7-44D8-BBD7-CCE9431645EC}">
                        <a14:shadowObscured xmlns:a14="http://schemas.microsoft.com/office/drawing/2010/main"/>
                      </a:ext>
                    </a:extLst>
                  </pic:spPr>
                </pic:pic>
              </a:graphicData>
            </a:graphic>
          </wp:inline>
        </w:drawing>
      </w:r>
    </w:p>
    <w:p w14:paraId="078CCC82" w14:textId="77777777" w:rsidR="00AB238E" w:rsidRPr="00705903" w:rsidRDefault="00AB238E" w:rsidP="0097761F">
      <w:pPr>
        <w:spacing w:after="160" w:line="259" w:lineRule="auto"/>
        <w:ind w:firstLine="0"/>
        <w:jc w:val="both"/>
      </w:pPr>
      <w:r w:rsidRPr="00705903">
        <w:br w:type="page"/>
      </w:r>
    </w:p>
    <w:p w14:paraId="3F8E3E90" w14:textId="77777777" w:rsidR="00AB238E" w:rsidRPr="00705903" w:rsidRDefault="00AB238E" w:rsidP="0097761F">
      <w:pPr>
        <w:pStyle w:val="Heading1"/>
      </w:pPr>
      <w:r w:rsidRPr="00705903">
        <w:t>Figure 2: ESG Rating Coverage Ratio by GICS Industry (2007–2022)</w:t>
      </w:r>
    </w:p>
    <w:p w14:paraId="4F030203" w14:textId="77777777" w:rsidR="00AB238E" w:rsidRPr="00705903" w:rsidRDefault="00AB238E" w:rsidP="0097761F">
      <w:pPr>
        <w:spacing w:line="276" w:lineRule="auto"/>
        <w:ind w:firstLine="0"/>
        <w:jc w:val="both"/>
        <w:rPr>
          <w:lang w:eastAsia="zh-CN"/>
        </w:rPr>
      </w:pPr>
    </w:p>
    <w:p w14:paraId="417115EA" w14:textId="77777777" w:rsidR="00AB238E" w:rsidRPr="00705903" w:rsidRDefault="00AB238E" w:rsidP="0097761F">
      <w:pPr>
        <w:spacing w:line="276" w:lineRule="auto"/>
        <w:ind w:firstLine="0"/>
        <w:jc w:val="both"/>
        <w:rPr>
          <w:sz w:val="20"/>
          <w:szCs w:val="20"/>
          <w:lang w:eastAsia="zh-CN"/>
        </w:rPr>
      </w:pPr>
      <w:r w:rsidRPr="00705903">
        <w:rPr>
          <w:sz w:val="20"/>
          <w:szCs w:val="20"/>
          <w:lang w:eastAsia="zh-CN"/>
        </w:rPr>
        <w:t xml:space="preserve">Panel A figure illustrates the ESG rating coverage ratio across 11 GICS </w:t>
      </w:r>
      <w:proofErr w:type="gramStart"/>
      <w:r w:rsidRPr="00705903">
        <w:rPr>
          <w:sz w:val="20"/>
          <w:szCs w:val="20"/>
          <w:lang w:eastAsia="zh-CN"/>
        </w:rPr>
        <w:t>Level-1</w:t>
      </w:r>
      <w:proofErr w:type="gramEnd"/>
      <w:r w:rsidRPr="00705903">
        <w:rPr>
          <w:sz w:val="20"/>
          <w:szCs w:val="20"/>
          <w:lang w:eastAsia="zh-CN"/>
        </w:rPr>
        <w:t xml:space="preserve"> industries based on Wind industry classification as of February 2025. The coverage ratio is defined as the proportion of firms within each industry that have available ESG ratings in the Wind database during the sample period from 2005 to 2022. Real Estate and Energy exhibit the highest ESG coverage ratios, while Information Technology and Telecommunication Services show relatively lower coverage. The figure highlights substantial cross-industry variation in ESG data availability.</w:t>
      </w:r>
    </w:p>
    <w:p w14:paraId="2A629045" w14:textId="77777777" w:rsidR="00AB238E" w:rsidRPr="00705903" w:rsidRDefault="00AB238E" w:rsidP="0097761F">
      <w:pPr>
        <w:spacing w:line="276" w:lineRule="auto"/>
        <w:ind w:firstLine="0"/>
        <w:jc w:val="both"/>
        <w:rPr>
          <w:sz w:val="20"/>
          <w:szCs w:val="20"/>
          <w:lang w:val="en-US" w:eastAsia="zh-CN"/>
        </w:rPr>
      </w:pPr>
    </w:p>
    <w:p w14:paraId="22456DE0"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 xml:space="preserve">Panel </w:t>
      </w:r>
      <w:proofErr w:type="gramStart"/>
      <w:r w:rsidRPr="00705903">
        <w:rPr>
          <w:sz w:val="20"/>
          <w:szCs w:val="20"/>
          <w:lang w:val="en-US" w:eastAsia="zh-CN"/>
        </w:rPr>
        <w:t>B figure</w:t>
      </w:r>
      <w:proofErr w:type="gramEnd"/>
      <w:r w:rsidRPr="00705903">
        <w:rPr>
          <w:sz w:val="20"/>
          <w:szCs w:val="20"/>
          <w:lang w:val="en-US" w:eastAsia="zh-CN"/>
        </w:rPr>
        <w:t xml:space="preserve"> illustrates the evolution of ESG rating coverage ratios across 11 GICS </w:t>
      </w:r>
      <w:proofErr w:type="gramStart"/>
      <w:r w:rsidRPr="00705903">
        <w:rPr>
          <w:sz w:val="20"/>
          <w:szCs w:val="20"/>
          <w:lang w:val="en-US" w:eastAsia="zh-CN"/>
        </w:rPr>
        <w:t>Level-1</w:t>
      </w:r>
      <w:proofErr w:type="gramEnd"/>
      <w:r w:rsidRPr="00705903">
        <w:rPr>
          <w:sz w:val="20"/>
          <w:szCs w:val="20"/>
          <w:lang w:val="en-US" w:eastAsia="zh-CN"/>
        </w:rPr>
        <w:t xml:space="preserve"> industries from 2005 to 2022, based on Wind industry classification as of February 2025. The coverage ratio is defined as the proportion of firms within each industry that have available ESG ratings in the Wind database </w:t>
      </w:r>
      <w:proofErr w:type="gramStart"/>
      <w:r w:rsidRPr="00705903">
        <w:rPr>
          <w:sz w:val="20"/>
          <w:szCs w:val="20"/>
          <w:lang w:val="en-US" w:eastAsia="zh-CN"/>
        </w:rPr>
        <w:t>in a given year</w:t>
      </w:r>
      <w:proofErr w:type="gramEnd"/>
      <w:r w:rsidRPr="00705903">
        <w:rPr>
          <w:sz w:val="20"/>
          <w:szCs w:val="20"/>
          <w:lang w:val="en-US" w:eastAsia="zh-CN"/>
        </w:rPr>
        <w:t>. The figure shows that ESG coverage increased steadily across all industries dramatically increase around 2020, with Real Estate and Energy reaching nearly complete coverage by 2022, while Information Technology and Telecommunication Services exhibited relatively slower adoption, which is consistent with the ESG Disclosure Reform (2020). The coverage ratio drops to zero after 2022 due to incomplete or pending data updates.</w:t>
      </w:r>
    </w:p>
    <w:p w14:paraId="15D7C8BB" w14:textId="77777777" w:rsidR="00854C2B" w:rsidRPr="00705903" w:rsidRDefault="00854C2B" w:rsidP="0097761F">
      <w:pPr>
        <w:spacing w:line="276" w:lineRule="auto"/>
        <w:ind w:firstLine="0"/>
        <w:jc w:val="both"/>
        <w:rPr>
          <w:sz w:val="20"/>
          <w:szCs w:val="20"/>
          <w:lang w:eastAsia="zh-CN"/>
        </w:rPr>
      </w:pPr>
    </w:p>
    <w:p w14:paraId="6618D6E0" w14:textId="77777777" w:rsidR="00854C2B" w:rsidRDefault="00854C2B" w:rsidP="009968BE">
      <w:pPr>
        <w:spacing w:line="276" w:lineRule="auto"/>
        <w:ind w:firstLine="0"/>
        <w:jc w:val="center"/>
        <w:rPr>
          <w:b/>
          <w:bCs/>
          <w:sz w:val="18"/>
          <w:szCs w:val="18"/>
          <w:lang w:eastAsia="zh-CN"/>
        </w:rPr>
      </w:pPr>
      <w:r w:rsidRPr="00854C2B">
        <w:rPr>
          <w:b/>
          <w:bCs/>
          <w:sz w:val="18"/>
          <w:szCs w:val="18"/>
          <w:lang w:eastAsia="zh-CN"/>
        </w:rPr>
        <w:t>ESG Rating Coverage Ratio by GICS Industry (2007–2022)</w:t>
      </w:r>
    </w:p>
    <w:p w14:paraId="59CCFACD" w14:textId="48906253" w:rsidR="00AB238E" w:rsidRPr="00705903" w:rsidRDefault="00AB238E" w:rsidP="009968BE">
      <w:pPr>
        <w:spacing w:line="276" w:lineRule="auto"/>
        <w:ind w:firstLine="0"/>
        <w:jc w:val="center"/>
        <w:rPr>
          <w:b/>
          <w:bCs/>
          <w:sz w:val="18"/>
          <w:szCs w:val="18"/>
          <w:lang w:eastAsia="zh-CN"/>
        </w:rPr>
      </w:pPr>
      <w:r w:rsidRPr="00705903">
        <w:rPr>
          <w:b/>
          <w:bCs/>
          <w:sz w:val="18"/>
          <w:szCs w:val="18"/>
          <w:lang w:eastAsia="zh-CN"/>
        </w:rPr>
        <w:t>Panel A: ESG Rating Coverage Ratio by GICS Industry</w:t>
      </w:r>
    </w:p>
    <w:p w14:paraId="27BE6CA1" w14:textId="77777777" w:rsidR="00AB238E" w:rsidRPr="00705903" w:rsidRDefault="00AB238E" w:rsidP="009968BE">
      <w:pPr>
        <w:spacing w:line="276" w:lineRule="auto"/>
        <w:ind w:firstLine="0"/>
        <w:jc w:val="center"/>
        <w:rPr>
          <w:sz w:val="20"/>
          <w:szCs w:val="20"/>
          <w:lang w:eastAsia="zh-CN"/>
        </w:rPr>
      </w:pPr>
      <w:r w:rsidRPr="00705903">
        <w:rPr>
          <w:noProof/>
          <w:sz w:val="20"/>
          <w:szCs w:val="20"/>
          <w:lang w:eastAsia="zh-CN"/>
        </w:rPr>
        <w:drawing>
          <wp:inline distT="0" distB="0" distL="0" distR="0" wp14:anchorId="6BE69366" wp14:editId="34DEDC43">
            <wp:extent cx="4381206" cy="2307265"/>
            <wp:effectExtent l="0" t="0" r="635" b="0"/>
            <wp:docPr id="1174908173" name="Picture 1" descr="A graph of esg coverage rat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08173" name="Picture 1" descr="A graph of esg coverage ratio&#10;&#10;AI-generated content may be incorrect."/>
                    <pic:cNvPicPr/>
                  </pic:nvPicPr>
                  <pic:blipFill rotWithShape="1">
                    <a:blip r:embed="rId15"/>
                    <a:srcRect t="5142" b="4513"/>
                    <a:stretch>
                      <a:fillRect/>
                    </a:stretch>
                  </pic:blipFill>
                  <pic:spPr bwMode="auto">
                    <a:xfrm>
                      <a:off x="0" y="0"/>
                      <a:ext cx="4391855" cy="2312873"/>
                    </a:xfrm>
                    <a:prstGeom prst="rect">
                      <a:avLst/>
                    </a:prstGeom>
                    <a:ln>
                      <a:noFill/>
                    </a:ln>
                    <a:extLst>
                      <a:ext uri="{53640926-AAD7-44D8-BBD7-CCE9431645EC}">
                        <a14:shadowObscured xmlns:a14="http://schemas.microsoft.com/office/drawing/2010/main"/>
                      </a:ext>
                    </a:extLst>
                  </pic:spPr>
                </pic:pic>
              </a:graphicData>
            </a:graphic>
          </wp:inline>
        </w:drawing>
      </w:r>
    </w:p>
    <w:p w14:paraId="4F5A3461" w14:textId="77777777" w:rsidR="00AB238E" w:rsidRPr="00705903" w:rsidRDefault="00AB238E" w:rsidP="009968BE">
      <w:pPr>
        <w:spacing w:line="276" w:lineRule="auto"/>
        <w:ind w:firstLine="0"/>
        <w:jc w:val="center"/>
        <w:rPr>
          <w:b/>
          <w:bCs/>
          <w:sz w:val="18"/>
          <w:szCs w:val="18"/>
          <w:lang w:eastAsia="zh-CN"/>
        </w:rPr>
      </w:pPr>
      <w:r w:rsidRPr="00705903">
        <w:rPr>
          <w:b/>
          <w:bCs/>
          <w:sz w:val="18"/>
          <w:szCs w:val="18"/>
          <w:lang w:eastAsia="zh-CN"/>
        </w:rPr>
        <w:t>Panel B: ESG Rating Coverage Ratio by Industry (2007-2022)</w:t>
      </w:r>
    </w:p>
    <w:p w14:paraId="5298498D" w14:textId="77777777" w:rsidR="00AB238E" w:rsidRPr="00705903" w:rsidRDefault="00AB238E" w:rsidP="009968BE">
      <w:pPr>
        <w:spacing w:line="276" w:lineRule="auto"/>
        <w:ind w:firstLine="0"/>
        <w:jc w:val="center"/>
        <w:rPr>
          <w:sz w:val="20"/>
          <w:szCs w:val="20"/>
          <w:lang w:eastAsia="zh-CN"/>
        </w:rPr>
      </w:pPr>
      <w:r w:rsidRPr="00705903">
        <w:rPr>
          <w:noProof/>
          <w:sz w:val="20"/>
          <w:szCs w:val="20"/>
          <w:lang w:eastAsia="zh-CN"/>
        </w:rPr>
        <w:drawing>
          <wp:inline distT="0" distB="0" distL="0" distR="0" wp14:anchorId="44E0D261" wp14:editId="13BF953D">
            <wp:extent cx="4591050" cy="2351531"/>
            <wp:effectExtent l="0" t="0" r="0" b="0"/>
            <wp:docPr id="1700684303" name="Picture 1" descr="A graph of the average coverage rate by indus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84303" name="Picture 1" descr="A graph of the average coverage rate by industry&#10;&#10;AI-generated content may be incorrect."/>
                    <pic:cNvPicPr/>
                  </pic:nvPicPr>
                  <pic:blipFill rotWithShape="1">
                    <a:blip r:embed="rId16"/>
                    <a:srcRect t="5179"/>
                    <a:stretch>
                      <a:fillRect/>
                    </a:stretch>
                  </pic:blipFill>
                  <pic:spPr bwMode="auto">
                    <a:xfrm>
                      <a:off x="0" y="0"/>
                      <a:ext cx="4598958" cy="2355581"/>
                    </a:xfrm>
                    <a:prstGeom prst="rect">
                      <a:avLst/>
                    </a:prstGeom>
                    <a:ln>
                      <a:noFill/>
                    </a:ln>
                    <a:extLst>
                      <a:ext uri="{53640926-AAD7-44D8-BBD7-CCE9431645EC}">
                        <a14:shadowObscured xmlns:a14="http://schemas.microsoft.com/office/drawing/2010/main"/>
                      </a:ext>
                    </a:extLst>
                  </pic:spPr>
                </pic:pic>
              </a:graphicData>
            </a:graphic>
          </wp:inline>
        </w:drawing>
      </w:r>
    </w:p>
    <w:p w14:paraId="374A77AC" w14:textId="77777777" w:rsidR="00AB238E" w:rsidRPr="00705903" w:rsidRDefault="00AB238E" w:rsidP="0097761F">
      <w:pPr>
        <w:spacing w:after="160" w:line="259" w:lineRule="auto"/>
        <w:ind w:firstLine="0"/>
        <w:jc w:val="both"/>
        <w:rPr>
          <w:rStyle w:val="Heading1Char"/>
          <w:lang w:eastAsia="zh-CN"/>
        </w:rPr>
      </w:pPr>
      <w:r w:rsidRPr="00705903">
        <w:rPr>
          <w:rStyle w:val="Heading1Char"/>
          <w:lang w:eastAsia="zh-CN"/>
        </w:rPr>
        <w:br w:type="page"/>
      </w:r>
    </w:p>
    <w:p w14:paraId="3EDDC5F8" w14:textId="77777777" w:rsidR="00AB238E" w:rsidRPr="00705903" w:rsidRDefault="00AB238E" w:rsidP="0097761F">
      <w:pPr>
        <w:pStyle w:val="Heading1"/>
      </w:pPr>
      <w:r w:rsidRPr="00705903">
        <w:rPr>
          <w:rStyle w:val="Heading1Char"/>
          <w:b/>
          <w:bCs/>
        </w:rPr>
        <w:t xml:space="preserve">Figure 3. </w:t>
      </w:r>
      <w:bookmarkStart w:id="13" w:name="_Hlk212677362"/>
      <w:r w:rsidRPr="00705903">
        <w:rPr>
          <w:rStyle w:val="Heading1Char"/>
          <w:b/>
          <w:bCs/>
        </w:rPr>
        <w:t>Average ESG Ratings by Industry (2007–2022)</w:t>
      </w:r>
      <w:bookmarkEnd w:id="13"/>
      <w:r w:rsidRPr="00705903">
        <w:rPr>
          <w:rStyle w:val="Heading1Char"/>
          <w:b/>
          <w:bCs/>
        </w:rPr>
        <w:br/>
      </w:r>
    </w:p>
    <w:p w14:paraId="5D0095AE" w14:textId="77777777" w:rsidR="00AB238E" w:rsidRPr="00705903" w:rsidRDefault="00AB238E" w:rsidP="0097761F">
      <w:pPr>
        <w:spacing w:line="276" w:lineRule="auto"/>
        <w:ind w:firstLine="0"/>
        <w:jc w:val="both"/>
        <w:rPr>
          <w:sz w:val="20"/>
          <w:szCs w:val="20"/>
          <w:lang w:eastAsia="zh-CN"/>
        </w:rPr>
      </w:pPr>
      <w:r w:rsidRPr="00705903">
        <w:rPr>
          <w:sz w:val="20"/>
          <w:szCs w:val="20"/>
          <w:lang w:eastAsia="zh-CN"/>
        </w:rPr>
        <w:t xml:space="preserve">This figure presents the average ESG rating by GICS </w:t>
      </w:r>
      <w:proofErr w:type="gramStart"/>
      <w:r w:rsidRPr="00705903">
        <w:rPr>
          <w:sz w:val="20"/>
          <w:szCs w:val="20"/>
          <w:lang w:eastAsia="zh-CN"/>
        </w:rPr>
        <w:t>Level-1</w:t>
      </w:r>
      <w:proofErr w:type="gramEnd"/>
      <w:r w:rsidRPr="00705903">
        <w:rPr>
          <w:sz w:val="20"/>
          <w:szCs w:val="20"/>
          <w:lang w:eastAsia="zh-CN"/>
        </w:rPr>
        <w:t xml:space="preserve"> industry, based on the CNRDS database as of February 2025. Consumer Staples, Materials, and Health Care exhibit the highest average ESG scores, reflecting stronger sustainability disclosure and compliance practices. By contrast, Real Estate and Telecommunication Services show lower ESG performance, indicating slower progress in ESG adoption across these sectors.</w:t>
      </w:r>
    </w:p>
    <w:p w14:paraId="7A7B2533" w14:textId="77777777" w:rsidR="00AB238E" w:rsidRPr="00705903" w:rsidRDefault="00AB238E" w:rsidP="0097761F">
      <w:pPr>
        <w:spacing w:line="276" w:lineRule="auto"/>
        <w:ind w:firstLine="0"/>
        <w:jc w:val="both"/>
        <w:rPr>
          <w:sz w:val="20"/>
          <w:szCs w:val="20"/>
          <w:lang w:eastAsia="zh-CN"/>
        </w:rPr>
      </w:pPr>
    </w:p>
    <w:p w14:paraId="614F126E" w14:textId="71BB43EA" w:rsidR="00AB238E" w:rsidRPr="009968BE" w:rsidRDefault="009968BE" w:rsidP="009968BE">
      <w:pPr>
        <w:spacing w:line="276" w:lineRule="auto"/>
        <w:ind w:firstLine="0"/>
        <w:jc w:val="center"/>
        <w:rPr>
          <w:b/>
          <w:bCs/>
          <w:sz w:val="18"/>
          <w:szCs w:val="18"/>
          <w:lang w:eastAsia="zh-CN"/>
        </w:rPr>
      </w:pPr>
      <w:r w:rsidRPr="009968BE">
        <w:rPr>
          <w:b/>
          <w:bCs/>
          <w:sz w:val="18"/>
          <w:szCs w:val="18"/>
          <w:lang w:eastAsia="zh-CN"/>
        </w:rPr>
        <w:t>Average ESG Ratings by Industry (2007–2022)</w:t>
      </w:r>
    </w:p>
    <w:p w14:paraId="3182FE5F" w14:textId="77777777" w:rsidR="00AB238E" w:rsidRPr="00705903" w:rsidRDefault="00AB238E" w:rsidP="009968BE">
      <w:pPr>
        <w:spacing w:line="276" w:lineRule="auto"/>
        <w:ind w:firstLine="0"/>
        <w:jc w:val="center"/>
        <w:rPr>
          <w:sz w:val="20"/>
          <w:szCs w:val="20"/>
          <w:lang w:eastAsia="zh-CN"/>
        </w:rPr>
      </w:pPr>
      <w:r w:rsidRPr="00705903">
        <w:rPr>
          <w:noProof/>
          <w:sz w:val="20"/>
          <w:szCs w:val="20"/>
          <w:lang w:eastAsia="zh-CN"/>
        </w:rPr>
        <w:drawing>
          <wp:inline distT="0" distB="0" distL="0" distR="0" wp14:anchorId="411B9742" wp14:editId="3075E532">
            <wp:extent cx="5695950" cy="3218332"/>
            <wp:effectExtent l="0" t="0" r="0" b="1270"/>
            <wp:docPr id="503996502" name="Picture 1" descr="A graph of esg ra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96502" name="Picture 1" descr="A graph of esg ratings&#10;&#10;AI-generated content may be incorrect."/>
                    <pic:cNvPicPr/>
                  </pic:nvPicPr>
                  <pic:blipFill rotWithShape="1">
                    <a:blip r:embed="rId17"/>
                    <a:srcRect t="5018"/>
                    <a:stretch>
                      <a:fillRect/>
                    </a:stretch>
                  </pic:blipFill>
                  <pic:spPr bwMode="auto">
                    <a:xfrm>
                      <a:off x="0" y="0"/>
                      <a:ext cx="5698814" cy="3219950"/>
                    </a:xfrm>
                    <a:prstGeom prst="rect">
                      <a:avLst/>
                    </a:prstGeom>
                    <a:ln>
                      <a:noFill/>
                    </a:ln>
                    <a:extLst>
                      <a:ext uri="{53640926-AAD7-44D8-BBD7-CCE9431645EC}">
                        <a14:shadowObscured xmlns:a14="http://schemas.microsoft.com/office/drawing/2010/main"/>
                      </a:ext>
                    </a:extLst>
                  </pic:spPr>
                </pic:pic>
              </a:graphicData>
            </a:graphic>
          </wp:inline>
        </w:drawing>
      </w:r>
    </w:p>
    <w:p w14:paraId="09655862" w14:textId="77777777" w:rsidR="00AB238E" w:rsidRPr="00705903" w:rsidRDefault="00AB238E" w:rsidP="0097761F">
      <w:pPr>
        <w:spacing w:line="276" w:lineRule="auto"/>
        <w:ind w:firstLine="0"/>
        <w:jc w:val="both"/>
        <w:rPr>
          <w:sz w:val="20"/>
          <w:szCs w:val="20"/>
          <w:lang w:eastAsia="zh-CN"/>
        </w:rPr>
      </w:pPr>
    </w:p>
    <w:p w14:paraId="0FFC613A" w14:textId="77777777" w:rsidR="00AB238E" w:rsidRPr="00705903" w:rsidRDefault="00AB238E" w:rsidP="0097761F">
      <w:pPr>
        <w:spacing w:line="276" w:lineRule="auto"/>
        <w:ind w:firstLine="0"/>
        <w:jc w:val="both"/>
        <w:rPr>
          <w:sz w:val="20"/>
          <w:szCs w:val="20"/>
          <w:lang w:eastAsia="zh-CN"/>
        </w:rPr>
      </w:pPr>
    </w:p>
    <w:p w14:paraId="602A9555" w14:textId="77777777" w:rsidR="00AB238E" w:rsidRPr="00705903" w:rsidRDefault="00AB238E" w:rsidP="0097761F">
      <w:pPr>
        <w:spacing w:line="276" w:lineRule="auto"/>
        <w:ind w:firstLine="0"/>
        <w:jc w:val="both"/>
        <w:rPr>
          <w:sz w:val="20"/>
          <w:szCs w:val="20"/>
          <w:lang w:eastAsia="zh-CN"/>
        </w:rPr>
      </w:pPr>
    </w:p>
    <w:p w14:paraId="5CAFBE9C" w14:textId="77777777" w:rsidR="00AB238E" w:rsidRPr="00705903" w:rsidRDefault="00AB238E" w:rsidP="0097761F">
      <w:pPr>
        <w:spacing w:after="160" w:line="259" w:lineRule="auto"/>
        <w:ind w:firstLine="0"/>
        <w:jc w:val="both"/>
        <w:rPr>
          <w:b/>
          <w:bCs/>
          <w:szCs w:val="24"/>
          <w:lang w:eastAsia="zh-CN"/>
        </w:rPr>
      </w:pPr>
      <w:r w:rsidRPr="00705903">
        <w:br w:type="page"/>
      </w:r>
    </w:p>
    <w:p w14:paraId="5D30539E" w14:textId="77777777" w:rsidR="00AB238E" w:rsidRPr="00705903" w:rsidRDefault="00AB238E" w:rsidP="0097761F">
      <w:pPr>
        <w:pStyle w:val="Heading1"/>
      </w:pPr>
      <w:r w:rsidRPr="00705903">
        <w:t xml:space="preserve">Figure 4. </w:t>
      </w:r>
      <w:bookmarkStart w:id="14" w:name="_Hlk212677470"/>
      <w:r w:rsidRPr="00705903">
        <w:t>Annual Average ESG Ratings by Year (2007–2022)</w:t>
      </w:r>
      <w:bookmarkEnd w:id="14"/>
      <w:r w:rsidRPr="00705903">
        <w:br/>
      </w:r>
    </w:p>
    <w:p w14:paraId="2204B249" w14:textId="77777777" w:rsidR="00AB238E" w:rsidRPr="00705903" w:rsidRDefault="00AB238E" w:rsidP="0097761F">
      <w:pPr>
        <w:spacing w:line="276" w:lineRule="auto"/>
        <w:ind w:firstLine="0"/>
        <w:jc w:val="both"/>
        <w:rPr>
          <w:sz w:val="20"/>
          <w:szCs w:val="20"/>
          <w:lang w:eastAsia="zh-CN"/>
        </w:rPr>
      </w:pPr>
      <w:r w:rsidRPr="00705903">
        <w:rPr>
          <w:sz w:val="20"/>
          <w:szCs w:val="20"/>
          <w:lang w:eastAsia="zh-CN"/>
        </w:rPr>
        <w:t>This figure presents the annual average ESG ratings of all listed firms in the sample from 2007 to 2022, based on the Wind database as of February 2025. The overall upward trend indicates continuous improvement in ESG performance among Chinese listed firms, particularly after 2020, reflecting increased regulatory emphasis and market awareness of sustainability reporting.</w:t>
      </w:r>
    </w:p>
    <w:p w14:paraId="293864DA" w14:textId="77777777" w:rsidR="00AB238E" w:rsidRPr="00705903" w:rsidRDefault="00AB238E" w:rsidP="0097761F">
      <w:pPr>
        <w:spacing w:line="276" w:lineRule="auto"/>
        <w:ind w:firstLine="0"/>
        <w:jc w:val="both"/>
        <w:rPr>
          <w:sz w:val="20"/>
          <w:szCs w:val="20"/>
          <w:lang w:eastAsia="zh-CN"/>
        </w:rPr>
      </w:pPr>
    </w:p>
    <w:p w14:paraId="7381B9DD" w14:textId="60890D98" w:rsidR="00AB238E" w:rsidRPr="009968BE" w:rsidRDefault="009968BE" w:rsidP="009968BE">
      <w:pPr>
        <w:spacing w:line="276" w:lineRule="auto"/>
        <w:ind w:firstLine="0"/>
        <w:jc w:val="center"/>
        <w:rPr>
          <w:b/>
          <w:bCs/>
          <w:sz w:val="14"/>
          <w:szCs w:val="14"/>
          <w:lang w:eastAsia="zh-CN"/>
        </w:rPr>
      </w:pPr>
      <w:r w:rsidRPr="009968BE">
        <w:rPr>
          <w:b/>
          <w:bCs/>
          <w:sz w:val="18"/>
          <w:szCs w:val="16"/>
        </w:rPr>
        <w:t>Annual Average ESG Ratings by Year (2007–2022)</w:t>
      </w:r>
    </w:p>
    <w:p w14:paraId="52C435BD" w14:textId="77777777" w:rsidR="00AB238E" w:rsidRPr="00705903" w:rsidRDefault="00AB238E" w:rsidP="0097761F">
      <w:pPr>
        <w:spacing w:line="276" w:lineRule="auto"/>
        <w:ind w:firstLine="0"/>
        <w:jc w:val="both"/>
        <w:rPr>
          <w:sz w:val="20"/>
          <w:szCs w:val="20"/>
          <w:lang w:eastAsia="zh-CN"/>
        </w:rPr>
      </w:pPr>
      <w:r w:rsidRPr="00705903">
        <w:rPr>
          <w:noProof/>
          <w:sz w:val="20"/>
          <w:szCs w:val="20"/>
          <w:lang w:eastAsia="zh-CN"/>
        </w:rPr>
        <w:drawing>
          <wp:inline distT="0" distB="0" distL="0" distR="0" wp14:anchorId="78F1D7F9" wp14:editId="70F76AE8">
            <wp:extent cx="5943600" cy="3347712"/>
            <wp:effectExtent l="0" t="0" r="0" b="5715"/>
            <wp:docPr id="1265746211" name="Picture 1" descr="A graph of average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46211" name="Picture 1" descr="A graph of average prices&#10;&#10;AI-generated content may be incorrect."/>
                    <pic:cNvPicPr/>
                  </pic:nvPicPr>
                  <pic:blipFill rotWithShape="1">
                    <a:blip r:embed="rId18"/>
                    <a:srcRect t="3426"/>
                    <a:stretch>
                      <a:fillRect/>
                    </a:stretch>
                  </pic:blipFill>
                  <pic:spPr bwMode="auto">
                    <a:xfrm>
                      <a:off x="0" y="0"/>
                      <a:ext cx="5943600" cy="3347712"/>
                    </a:xfrm>
                    <a:prstGeom prst="rect">
                      <a:avLst/>
                    </a:prstGeom>
                    <a:ln>
                      <a:noFill/>
                    </a:ln>
                    <a:extLst>
                      <a:ext uri="{53640926-AAD7-44D8-BBD7-CCE9431645EC}">
                        <a14:shadowObscured xmlns:a14="http://schemas.microsoft.com/office/drawing/2010/main"/>
                      </a:ext>
                    </a:extLst>
                  </pic:spPr>
                </pic:pic>
              </a:graphicData>
            </a:graphic>
          </wp:inline>
        </w:drawing>
      </w:r>
    </w:p>
    <w:p w14:paraId="4C4E8793" w14:textId="77777777" w:rsidR="00AB238E" w:rsidRPr="00705903" w:rsidRDefault="00AB238E" w:rsidP="0097761F">
      <w:pPr>
        <w:spacing w:line="276" w:lineRule="auto"/>
        <w:ind w:firstLine="0"/>
        <w:jc w:val="both"/>
        <w:rPr>
          <w:sz w:val="20"/>
          <w:szCs w:val="20"/>
          <w:lang w:eastAsia="zh-CN"/>
        </w:rPr>
      </w:pPr>
    </w:p>
    <w:p w14:paraId="7BB3EC2A" w14:textId="77777777" w:rsidR="00AB238E" w:rsidRPr="00705903" w:rsidRDefault="00AB238E" w:rsidP="0097761F">
      <w:pPr>
        <w:spacing w:after="160" w:line="259" w:lineRule="auto"/>
        <w:ind w:firstLine="0"/>
        <w:jc w:val="both"/>
        <w:rPr>
          <w:b/>
          <w:bCs/>
          <w:szCs w:val="24"/>
          <w:lang w:eastAsia="zh-CN"/>
        </w:rPr>
      </w:pPr>
      <w:r w:rsidRPr="00705903">
        <w:br w:type="page"/>
      </w:r>
    </w:p>
    <w:p w14:paraId="4077F853" w14:textId="77777777" w:rsidR="00AB238E" w:rsidRPr="00705903" w:rsidRDefault="00AB238E" w:rsidP="0097761F">
      <w:pPr>
        <w:pStyle w:val="Heading1"/>
      </w:pPr>
      <w:bookmarkStart w:id="15" w:name="_Hlk212677543"/>
      <w:r w:rsidRPr="00705903">
        <w:t>Figure 5. Industry-Level ESG Rating Trends (2007–2022).</w:t>
      </w:r>
    </w:p>
    <w:bookmarkEnd w:id="15"/>
    <w:p w14:paraId="557E65BD" w14:textId="77777777" w:rsidR="00AB238E" w:rsidRPr="00705903" w:rsidRDefault="00AB238E" w:rsidP="009968BE">
      <w:pPr>
        <w:spacing w:line="276" w:lineRule="auto"/>
        <w:ind w:firstLine="0"/>
        <w:rPr>
          <w:sz w:val="20"/>
          <w:szCs w:val="20"/>
          <w:lang w:eastAsia="zh-CN"/>
        </w:rPr>
      </w:pPr>
    </w:p>
    <w:p w14:paraId="3FD3922E" w14:textId="77777777" w:rsidR="009968BE" w:rsidRPr="009968BE" w:rsidRDefault="009968BE" w:rsidP="009968BE">
      <w:pPr>
        <w:spacing w:line="276" w:lineRule="auto"/>
        <w:ind w:firstLine="0"/>
        <w:rPr>
          <w:sz w:val="20"/>
          <w:szCs w:val="20"/>
          <w:lang w:eastAsia="zh-CN"/>
        </w:rPr>
      </w:pPr>
      <w:r w:rsidRPr="009968BE">
        <w:rPr>
          <w:sz w:val="20"/>
          <w:szCs w:val="20"/>
          <w:lang w:eastAsia="zh-CN"/>
        </w:rPr>
        <w:t xml:space="preserve">This figure plots the time-series evolution of average ESG ratings across 11 GICS </w:t>
      </w:r>
      <w:proofErr w:type="gramStart"/>
      <w:r w:rsidRPr="009968BE">
        <w:rPr>
          <w:sz w:val="20"/>
          <w:szCs w:val="20"/>
          <w:lang w:eastAsia="zh-CN"/>
        </w:rPr>
        <w:t>Level-1</w:t>
      </w:r>
      <w:proofErr w:type="gramEnd"/>
      <w:r w:rsidRPr="009968BE">
        <w:rPr>
          <w:sz w:val="20"/>
          <w:szCs w:val="20"/>
          <w:lang w:eastAsia="zh-CN"/>
        </w:rPr>
        <w:t xml:space="preserve"> industries based on Wind data. ESG ratings exhibit a broad upward trend over 2007–2022, reflecting the progressive strengthening of disclosure practices and the expanding adoption of sustainability reporting in China. Industries such as Consumer Staples, Materials, and Health Care consistently maintain the highest ESG scores, suggesting more mature reporting standards and structured governance frameworks.</w:t>
      </w:r>
    </w:p>
    <w:p w14:paraId="329BCFF8" w14:textId="77777777" w:rsidR="009968BE" w:rsidRPr="009968BE" w:rsidRDefault="009968BE" w:rsidP="009968BE">
      <w:pPr>
        <w:spacing w:line="276" w:lineRule="auto"/>
        <w:ind w:firstLine="0"/>
        <w:rPr>
          <w:sz w:val="20"/>
          <w:szCs w:val="20"/>
          <w:lang w:eastAsia="zh-CN"/>
        </w:rPr>
      </w:pPr>
    </w:p>
    <w:p w14:paraId="1E862E18" w14:textId="77777777" w:rsidR="009968BE" w:rsidRPr="009968BE" w:rsidRDefault="009968BE" w:rsidP="009968BE">
      <w:pPr>
        <w:spacing w:line="276" w:lineRule="auto"/>
        <w:ind w:firstLine="0"/>
        <w:rPr>
          <w:sz w:val="20"/>
          <w:szCs w:val="20"/>
          <w:lang w:eastAsia="zh-CN"/>
        </w:rPr>
      </w:pPr>
      <w:r w:rsidRPr="009968BE">
        <w:rPr>
          <w:sz w:val="20"/>
          <w:szCs w:val="20"/>
          <w:lang w:eastAsia="zh-CN"/>
        </w:rPr>
        <w:t>By contrast, Real Estate and Telecommunication Services remain at the lower end of the distribution, with Real Estate showing pronounced year-to-year volatility—likely reflecting heightened regulatory scrutiny, leverage cycles, and uneven disclosure quality in the sector. Energy and Industrials also rise steadily but remain in the mid-range, consistent with gradual improvements driven by environmental compliance requirements.</w:t>
      </w:r>
    </w:p>
    <w:p w14:paraId="1CA30FC2" w14:textId="77777777" w:rsidR="009968BE" w:rsidRPr="009968BE" w:rsidRDefault="009968BE" w:rsidP="009968BE">
      <w:pPr>
        <w:spacing w:line="276" w:lineRule="auto"/>
        <w:ind w:firstLine="0"/>
        <w:rPr>
          <w:sz w:val="20"/>
          <w:szCs w:val="20"/>
          <w:lang w:eastAsia="zh-CN"/>
        </w:rPr>
      </w:pPr>
    </w:p>
    <w:p w14:paraId="60AAB1D6" w14:textId="36A0526E" w:rsidR="00AB238E" w:rsidRDefault="009968BE" w:rsidP="009968BE">
      <w:pPr>
        <w:spacing w:line="276" w:lineRule="auto"/>
        <w:ind w:firstLine="0"/>
        <w:rPr>
          <w:sz w:val="20"/>
          <w:szCs w:val="20"/>
          <w:lang w:eastAsia="zh-CN"/>
        </w:rPr>
      </w:pPr>
      <w:r w:rsidRPr="009968BE">
        <w:rPr>
          <w:sz w:val="20"/>
          <w:szCs w:val="20"/>
          <w:lang w:eastAsia="zh-CN"/>
        </w:rPr>
        <w:t>Notably, most industries experience a visible acceleration in ESG score growth after 2015, coinciding with China’s green-finance policy rollout and the increasing integration of ESG considerations into capital market regulation. This temporal pattern highlights both cross-industry heterogeneity and the policy-driven nature of ESG adoption in the Chinese A-share market.</w:t>
      </w:r>
    </w:p>
    <w:p w14:paraId="3B3E0B47" w14:textId="77777777" w:rsidR="009968BE" w:rsidRPr="009968BE" w:rsidRDefault="009968BE" w:rsidP="009968BE">
      <w:pPr>
        <w:spacing w:line="276" w:lineRule="auto"/>
        <w:ind w:firstLine="0"/>
        <w:rPr>
          <w:sz w:val="20"/>
          <w:szCs w:val="20"/>
          <w:lang w:val="en-US" w:eastAsia="zh-CN"/>
        </w:rPr>
      </w:pPr>
    </w:p>
    <w:p w14:paraId="0F753FC7" w14:textId="4298DA41" w:rsidR="00AB238E" w:rsidRPr="009968BE" w:rsidRDefault="009968BE" w:rsidP="009968BE">
      <w:pPr>
        <w:spacing w:line="276" w:lineRule="auto"/>
        <w:ind w:firstLine="0"/>
        <w:jc w:val="center"/>
        <w:rPr>
          <w:b/>
          <w:bCs/>
          <w:sz w:val="14"/>
          <w:szCs w:val="14"/>
          <w:lang w:eastAsia="zh-CN"/>
        </w:rPr>
      </w:pPr>
      <w:r w:rsidRPr="009968BE">
        <w:rPr>
          <w:b/>
          <w:bCs/>
          <w:sz w:val="18"/>
          <w:szCs w:val="16"/>
        </w:rPr>
        <w:t>Industry-Level ESG Rating Trends</w:t>
      </w:r>
    </w:p>
    <w:p w14:paraId="201C7163" w14:textId="77777777" w:rsidR="00AB238E" w:rsidRPr="00705903" w:rsidRDefault="00AB238E" w:rsidP="0097761F">
      <w:pPr>
        <w:spacing w:line="276" w:lineRule="auto"/>
        <w:ind w:firstLine="0"/>
        <w:jc w:val="both"/>
        <w:rPr>
          <w:sz w:val="20"/>
          <w:szCs w:val="20"/>
          <w:lang w:eastAsia="zh-CN"/>
        </w:rPr>
      </w:pPr>
      <w:r w:rsidRPr="00705903">
        <w:rPr>
          <w:noProof/>
          <w:sz w:val="20"/>
          <w:szCs w:val="20"/>
          <w:lang w:eastAsia="zh-CN"/>
        </w:rPr>
        <w:drawing>
          <wp:inline distT="0" distB="0" distL="0" distR="0" wp14:anchorId="5ECD456F" wp14:editId="03ED969C">
            <wp:extent cx="5943600" cy="3098800"/>
            <wp:effectExtent l="0" t="0" r="0" b="6350"/>
            <wp:docPr id="83046273"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6273" name="Picture 1" descr="A graph of a number of people&#10;&#10;AI-generated content may be incorrect."/>
                    <pic:cNvPicPr/>
                  </pic:nvPicPr>
                  <pic:blipFill>
                    <a:blip r:embed="rId19"/>
                    <a:stretch>
                      <a:fillRect/>
                    </a:stretch>
                  </pic:blipFill>
                  <pic:spPr>
                    <a:xfrm>
                      <a:off x="0" y="0"/>
                      <a:ext cx="5943600" cy="3098800"/>
                    </a:xfrm>
                    <a:prstGeom prst="rect">
                      <a:avLst/>
                    </a:prstGeom>
                  </pic:spPr>
                </pic:pic>
              </a:graphicData>
            </a:graphic>
          </wp:inline>
        </w:drawing>
      </w:r>
    </w:p>
    <w:p w14:paraId="7E36B05D" w14:textId="77777777" w:rsidR="00AB238E" w:rsidRPr="00705903" w:rsidRDefault="00AB238E" w:rsidP="0097761F">
      <w:pPr>
        <w:spacing w:line="276" w:lineRule="auto"/>
        <w:ind w:firstLine="0"/>
        <w:jc w:val="both"/>
        <w:rPr>
          <w:sz w:val="20"/>
          <w:szCs w:val="20"/>
          <w:lang w:eastAsia="zh-CN"/>
        </w:rPr>
      </w:pPr>
    </w:p>
    <w:p w14:paraId="1318D1FB" w14:textId="77777777" w:rsidR="00AB238E" w:rsidRPr="00705903" w:rsidRDefault="00AB238E" w:rsidP="0097761F">
      <w:pPr>
        <w:spacing w:after="160" w:line="259" w:lineRule="auto"/>
        <w:ind w:firstLine="0"/>
        <w:jc w:val="both"/>
        <w:rPr>
          <w:sz w:val="20"/>
          <w:szCs w:val="20"/>
          <w:lang w:eastAsia="zh-CN"/>
        </w:rPr>
      </w:pPr>
      <w:r w:rsidRPr="00705903">
        <w:rPr>
          <w:sz w:val="20"/>
          <w:szCs w:val="20"/>
          <w:lang w:eastAsia="zh-CN"/>
        </w:rPr>
        <w:br w:type="page"/>
      </w:r>
    </w:p>
    <w:p w14:paraId="3A3C36C4" w14:textId="77777777" w:rsidR="00AB238E" w:rsidRPr="00705903" w:rsidRDefault="00AB238E" w:rsidP="0097761F">
      <w:pPr>
        <w:pStyle w:val="Heading1"/>
      </w:pPr>
      <w:r w:rsidRPr="00705903">
        <w:t>Figure 6. Average Industry-level E, S, and G Ratings (2007–2022)</w:t>
      </w:r>
    </w:p>
    <w:p w14:paraId="330DD9F7" w14:textId="77777777" w:rsidR="00AB238E" w:rsidRPr="00705903" w:rsidRDefault="00AB238E" w:rsidP="0097761F">
      <w:pPr>
        <w:spacing w:line="276" w:lineRule="auto"/>
        <w:ind w:firstLine="0"/>
        <w:jc w:val="both"/>
        <w:rPr>
          <w:sz w:val="20"/>
          <w:szCs w:val="20"/>
          <w:lang w:eastAsia="zh-CN"/>
        </w:rPr>
      </w:pPr>
    </w:p>
    <w:p w14:paraId="356FADA0" w14:textId="77777777" w:rsidR="00AB238E" w:rsidRPr="00705903" w:rsidRDefault="00AB238E" w:rsidP="0097761F">
      <w:pPr>
        <w:spacing w:line="276" w:lineRule="auto"/>
        <w:ind w:firstLine="0"/>
        <w:jc w:val="both"/>
        <w:rPr>
          <w:sz w:val="20"/>
          <w:szCs w:val="20"/>
          <w:lang w:eastAsia="zh-CN"/>
        </w:rPr>
      </w:pPr>
      <w:r w:rsidRPr="00705903">
        <w:rPr>
          <w:sz w:val="20"/>
          <w:szCs w:val="20"/>
          <w:lang w:eastAsia="zh-CN"/>
        </w:rPr>
        <w:t>This figure illustrates the average environmental (E), social (S), and governance (G) ratings by GICS Level-1 industries from 2007 to 2022, based on the Wind ESG database (as of February 2025).</w:t>
      </w:r>
      <w:r w:rsidRPr="00705903">
        <w:rPr>
          <w:sz w:val="20"/>
          <w:szCs w:val="20"/>
          <w:lang w:eastAsia="zh-CN"/>
        </w:rPr>
        <w:br/>
        <w:t xml:space="preserve">Panel (A) reports the average </w:t>
      </w:r>
      <w:r w:rsidRPr="00705903">
        <w:rPr>
          <w:i/>
          <w:iCs/>
          <w:sz w:val="20"/>
          <w:szCs w:val="20"/>
          <w:lang w:eastAsia="zh-CN"/>
        </w:rPr>
        <w:t>Environmental (E)</w:t>
      </w:r>
      <w:r w:rsidRPr="00705903">
        <w:rPr>
          <w:sz w:val="20"/>
          <w:szCs w:val="20"/>
          <w:lang w:eastAsia="zh-CN"/>
        </w:rPr>
        <w:t xml:space="preserve"> ratings, Panel (B) shows the average </w:t>
      </w:r>
      <w:r w:rsidRPr="00705903">
        <w:rPr>
          <w:i/>
          <w:iCs/>
          <w:sz w:val="20"/>
          <w:szCs w:val="20"/>
          <w:lang w:eastAsia="zh-CN"/>
        </w:rPr>
        <w:t>Social (S)</w:t>
      </w:r>
      <w:r w:rsidRPr="00705903">
        <w:rPr>
          <w:sz w:val="20"/>
          <w:szCs w:val="20"/>
          <w:lang w:eastAsia="zh-CN"/>
        </w:rPr>
        <w:t xml:space="preserve"> ratings, and Panel (C) presents the average </w:t>
      </w:r>
      <w:r w:rsidRPr="00705903">
        <w:rPr>
          <w:i/>
          <w:iCs/>
          <w:sz w:val="20"/>
          <w:szCs w:val="20"/>
          <w:lang w:eastAsia="zh-CN"/>
        </w:rPr>
        <w:t>Governance (G)</w:t>
      </w:r>
      <w:r w:rsidRPr="00705903">
        <w:rPr>
          <w:sz w:val="20"/>
          <w:szCs w:val="20"/>
          <w:lang w:eastAsia="zh-CN"/>
        </w:rPr>
        <w:t xml:space="preserve"> ratings.</w:t>
      </w:r>
    </w:p>
    <w:p w14:paraId="1864A540" w14:textId="77777777" w:rsidR="00AB238E" w:rsidRPr="00705903" w:rsidRDefault="00AB238E" w:rsidP="0097761F">
      <w:pPr>
        <w:spacing w:line="276" w:lineRule="auto"/>
        <w:ind w:firstLine="0"/>
        <w:jc w:val="both"/>
        <w:rPr>
          <w:sz w:val="20"/>
          <w:szCs w:val="20"/>
          <w:lang w:eastAsia="zh-CN"/>
        </w:rPr>
      </w:pPr>
      <w:r w:rsidRPr="00705903">
        <w:rPr>
          <w:sz w:val="20"/>
          <w:szCs w:val="20"/>
          <w:lang w:eastAsia="zh-CN"/>
        </w:rPr>
        <w:br/>
        <w:t xml:space="preserve">Overall, </w:t>
      </w:r>
      <w:r w:rsidRPr="00705903">
        <w:rPr>
          <w:i/>
          <w:iCs/>
          <w:sz w:val="20"/>
          <w:szCs w:val="20"/>
          <w:lang w:eastAsia="zh-CN"/>
        </w:rPr>
        <w:t>Consumer Staples</w:t>
      </w:r>
      <w:r w:rsidRPr="00705903">
        <w:rPr>
          <w:sz w:val="20"/>
          <w:szCs w:val="20"/>
          <w:lang w:eastAsia="zh-CN"/>
        </w:rPr>
        <w:t xml:space="preserve">, </w:t>
      </w:r>
      <w:r w:rsidRPr="00705903">
        <w:rPr>
          <w:i/>
          <w:iCs/>
          <w:sz w:val="20"/>
          <w:szCs w:val="20"/>
          <w:lang w:eastAsia="zh-CN"/>
        </w:rPr>
        <w:t>Materials</w:t>
      </w:r>
      <w:r w:rsidRPr="00705903">
        <w:rPr>
          <w:sz w:val="20"/>
          <w:szCs w:val="20"/>
          <w:lang w:eastAsia="zh-CN"/>
        </w:rPr>
        <w:t xml:space="preserve">, and </w:t>
      </w:r>
      <w:r w:rsidRPr="00705903">
        <w:rPr>
          <w:i/>
          <w:iCs/>
          <w:sz w:val="20"/>
          <w:szCs w:val="20"/>
          <w:lang w:eastAsia="zh-CN"/>
        </w:rPr>
        <w:t>Health Care</w:t>
      </w:r>
      <w:r w:rsidRPr="00705903">
        <w:rPr>
          <w:sz w:val="20"/>
          <w:szCs w:val="20"/>
          <w:lang w:eastAsia="zh-CN"/>
        </w:rPr>
        <w:t xml:space="preserve"> consistently achieve higher scores across dimensions, suggesting stronger ESG performance and disclosure. In contrast, </w:t>
      </w:r>
      <w:r w:rsidRPr="00705903">
        <w:rPr>
          <w:i/>
          <w:iCs/>
          <w:sz w:val="20"/>
          <w:szCs w:val="20"/>
          <w:lang w:eastAsia="zh-CN"/>
        </w:rPr>
        <w:t>Real Estate</w:t>
      </w:r>
      <w:r w:rsidRPr="00705903">
        <w:rPr>
          <w:sz w:val="20"/>
          <w:szCs w:val="20"/>
          <w:lang w:eastAsia="zh-CN"/>
        </w:rPr>
        <w:t xml:space="preserve"> and </w:t>
      </w:r>
      <w:r w:rsidRPr="00705903">
        <w:rPr>
          <w:i/>
          <w:iCs/>
          <w:sz w:val="20"/>
          <w:szCs w:val="20"/>
          <w:lang w:eastAsia="zh-CN"/>
        </w:rPr>
        <w:t>Telecommunication Services</w:t>
      </w:r>
      <w:r w:rsidRPr="00705903">
        <w:rPr>
          <w:sz w:val="20"/>
          <w:szCs w:val="20"/>
          <w:lang w:eastAsia="zh-CN"/>
        </w:rPr>
        <w:t xml:space="preserve"> exhibit lower averages, indicating slower ESG adoption in these sectors.</w:t>
      </w:r>
    </w:p>
    <w:p w14:paraId="68243EB9" w14:textId="77777777" w:rsidR="00AB238E" w:rsidRPr="00705903" w:rsidRDefault="00AB238E" w:rsidP="0097761F">
      <w:pPr>
        <w:spacing w:line="276" w:lineRule="auto"/>
        <w:ind w:firstLine="0"/>
        <w:jc w:val="both"/>
        <w:rPr>
          <w:sz w:val="20"/>
          <w:szCs w:val="20"/>
          <w:lang w:eastAsia="zh-CN"/>
        </w:rPr>
      </w:pPr>
    </w:p>
    <w:p w14:paraId="51871B12" w14:textId="77777777" w:rsidR="00AB238E" w:rsidRDefault="00AB238E" w:rsidP="0097761F">
      <w:pPr>
        <w:spacing w:line="276" w:lineRule="auto"/>
        <w:ind w:firstLine="0"/>
        <w:jc w:val="both"/>
        <w:rPr>
          <w:sz w:val="20"/>
          <w:szCs w:val="20"/>
          <w:lang w:eastAsia="zh-CN"/>
        </w:rPr>
      </w:pPr>
    </w:p>
    <w:p w14:paraId="65261F6F" w14:textId="571E0241" w:rsidR="009968BE" w:rsidRPr="009968BE" w:rsidRDefault="009968BE" w:rsidP="009968BE">
      <w:pPr>
        <w:spacing w:line="276" w:lineRule="auto"/>
        <w:ind w:firstLine="0"/>
        <w:jc w:val="center"/>
        <w:rPr>
          <w:b/>
          <w:bCs/>
          <w:sz w:val="18"/>
          <w:szCs w:val="18"/>
          <w:lang w:eastAsia="zh-CN"/>
        </w:rPr>
      </w:pPr>
      <w:r w:rsidRPr="009968BE">
        <w:rPr>
          <w:rFonts w:hint="eastAsia"/>
          <w:b/>
          <w:bCs/>
          <w:sz w:val="18"/>
          <w:szCs w:val="18"/>
          <w:lang w:eastAsia="zh-CN"/>
        </w:rPr>
        <w:t>Average Industry-level E, S, and G Ratings (2007-2022)</w:t>
      </w:r>
    </w:p>
    <w:p w14:paraId="47264F8A" w14:textId="77777777" w:rsidR="00AB238E" w:rsidRPr="00705903" w:rsidRDefault="00AB238E" w:rsidP="0097761F">
      <w:pPr>
        <w:spacing w:line="276" w:lineRule="auto"/>
        <w:ind w:firstLine="0"/>
        <w:jc w:val="both"/>
        <w:rPr>
          <w:sz w:val="20"/>
          <w:szCs w:val="20"/>
          <w:lang w:eastAsia="zh-CN"/>
        </w:rPr>
      </w:pPr>
      <w:r w:rsidRPr="00705903">
        <w:rPr>
          <w:noProof/>
          <w:sz w:val="20"/>
          <w:szCs w:val="20"/>
          <w:lang w:eastAsia="zh-CN"/>
        </w:rPr>
        <w:drawing>
          <wp:inline distT="0" distB="0" distL="0" distR="0" wp14:anchorId="4CB785A2" wp14:editId="5CDCF1BD">
            <wp:extent cx="5943600" cy="4997402"/>
            <wp:effectExtent l="0" t="0" r="0" b="0"/>
            <wp:docPr id="1851144555" name="Picture 1" descr="A graph of a number of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44555" name="Picture 1" descr="A graph of a number of indicators&#10;&#10;AI-generated content may be incorrect."/>
                    <pic:cNvPicPr/>
                  </pic:nvPicPr>
                  <pic:blipFill rotWithShape="1">
                    <a:blip r:embed="rId20"/>
                    <a:srcRect t="7652"/>
                    <a:stretch>
                      <a:fillRect/>
                    </a:stretch>
                  </pic:blipFill>
                  <pic:spPr bwMode="auto">
                    <a:xfrm>
                      <a:off x="0" y="0"/>
                      <a:ext cx="5943600" cy="4997402"/>
                    </a:xfrm>
                    <a:prstGeom prst="rect">
                      <a:avLst/>
                    </a:prstGeom>
                    <a:ln>
                      <a:noFill/>
                    </a:ln>
                    <a:extLst>
                      <a:ext uri="{53640926-AAD7-44D8-BBD7-CCE9431645EC}">
                        <a14:shadowObscured xmlns:a14="http://schemas.microsoft.com/office/drawing/2010/main"/>
                      </a:ext>
                    </a:extLst>
                  </pic:spPr>
                </pic:pic>
              </a:graphicData>
            </a:graphic>
          </wp:inline>
        </w:drawing>
      </w:r>
    </w:p>
    <w:p w14:paraId="23C63E58" w14:textId="77777777" w:rsidR="00AB238E" w:rsidRPr="00705903" w:rsidRDefault="00AB238E" w:rsidP="0097761F">
      <w:pPr>
        <w:spacing w:line="276" w:lineRule="auto"/>
        <w:ind w:firstLine="0"/>
        <w:jc w:val="both"/>
        <w:rPr>
          <w:sz w:val="20"/>
          <w:szCs w:val="20"/>
          <w:lang w:eastAsia="zh-CN"/>
        </w:rPr>
      </w:pPr>
    </w:p>
    <w:p w14:paraId="07528E50" w14:textId="77777777" w:rsidR="00AB238E" w:rsidRPr="00705903" w:rsidRDefault="00AB238E" w:rsidP="0097761F">
      <w:pPr>
        <w:spacing w:line="276" w:lineRule="auto"/>
        <w:ind w:firstLine="0"/>
        <w:jc w:val="both"/>
        <w:rPr>
          <w:sz w:val="20"/>
          <w:szCs w:val="20"/>
          <w:lang w:eastAsia="zh-CN"/>
        </w:rPr>
      </w:pPr>
    </w:p>
    <w:p w14:paraId="052A4C76" w14:textId="77777777" w:rsidR="00AB238E" w:rsidRPr="00705903" w:rsidRDefault="00AB238E" w:rsidP="0097761F">
      <w:pPr>
        <w:spacing w:after="160" w:line="259" w:lineRule="auto"/>
        <w:ind w:firstLine="0"/>
        <w:jc w:val="both"/>
        <w:rPr>
          <w:sz w:val="20"/>
          <w:szCs w:val="20"/>
          <w:lang w:eastAsia="zh-CN"/>
        </w:rPr>
      </w:pPr>
      <w:r w:rsidRPr="00705903">
        <w:rPr>
          <w:sz w:val="20"/>
          <w:szCs w:val="20"/>
          <w:lang w:eastAsia="zh-CN"/>
        </w:rPr>
        <w:br w:type="page"/>
      </w:r>
    </w:p>
    <w:p w14:paraId="42C40397" w14:textId="77777777" w:rsidR="00AB238E" w:rsidRPr="00705903" w:rsidRDefault="00AB238E" w:rsidP="0097761F">
      <w:pPr>
        <w:pStyle w:val="Heading1"/>
      </w:pPr>
      <w:r w:rsidRPr="00705903">
        <w:t>Figure 7. Industry-level Environmental (E) Ratings Trends (2007–2022)</w:t>
      </w:r>
    </w:p>
    <w:p w14:paraId="74CA7E96" w14:textId="77777777" w:rsidR="00AB238E" w:rsidRPr="00705903" w:rsidRDefault="00AB238E" w:rsidP="0097761F">
      <w:pPr>
        <w:spacing w:line="276" w:lineRule="auto"/>
        <w:ind w:firstLine="0"/>
        <w:jc w:val="both"/>
        <w:rPr>
          <w:sz w:val="20"/>
          <w:szCs w:val="20"/>
          <w:lang w:eastAsia="zh-CN"/>
        </w:rPr>
      </w:pPr>
    </w:p>
    <w:p w14:paraId="17672C51"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 xml:space="preserve">This figure illustrates the time-series evolution of Environmental (E) ratings across 11 GICS </w:t>
      </w:r>
      <w:proofErr w:type="gramStart"/>
      <w:r w:rsidRPr="00705903">
        <w:rPr>
          <w:sz w:val="20"/>
          <w:szCs w:val="20"/>
          <w:lang w:val="en-US" w:eastAsia="zh-CN"/>
        </w:rPr>
        <w:t>Level-1</w:t>
      </w:r>
      <w:proofErr w:type="gramEnd"/>
      <w:r w:rsidRPr="00705903">
        <w:rPr>
          <w:sz w:val="20"/>
          <w:szCs w:val="20"/>
          <w:lang w:val="en-US" w:eastAsia="zh-CN"/>
        </w:rPr>
        <w:t xml:space="preserve"> industries in China from 2007 to 2022, based on data from the Wind ESG database (as of February 2025).</w:t>
      </w:r>
      <w:r w:rsidRPr="00705903">
        <w:rPr>
          <w:sz w:val="20"/>
          <w:szCs w:val="20"/>
          <w:lang w:val="en-US" w:eastAsia="zh-CN"/>
        </w:rPr>
        <w:br/>
        <w:t>The E ratings reflect firms’ performance in environmental management, emissions reduction, resource efficiency, and disclosure transparency.</w:t>
      </w:r>
    </w:p>
    <w:p w14:paraId="6C1BE196" w14:textId="77777777" w:rsidR="00AB238E" w:rsidRPr="00705903" w:rsidRDefault="00AB238E" w:rsidP="0097761F">
      <w:pPr>
        <w:spacing w:line="276" w:lineRule="auto"/>
        <w:ind w:firstLine="0"/>
        <w:jc w:val="both"/>
        <w:rPr>
          <w:sz w:val="20"/>
          <w:szCs w:val="20"/>
          <w:lang w:val="en-US" w:eastAsia="zh-CN"/>
        </w:rPr>
      </w:pPr>
    </w:p>
    <w:p w14:paraId="04AA203F"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Overall, all industries exhibit an upward trajectory in their Environmental (E) ratings, with a particularly sharp rise after 2020, coinciding with China’s national “carbon neutrality” pledge and the implementation of stricter ESG disclosure regulations.</w:t>
      </w:r>
    </w:p>
    <w:p w14:paraId="0DA3C1F8"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br/>
        <w:t>The Materials and Consumer Staples industries show the most significant improvement, suggesting active adoption of sustainable production practices and stronger compliance with environmental reporting standards.</w:t>
      </w:r>
      <w:r w:rsidRPr="00705903">
        <w:rPr>
          <w:sz w:val="20"/>
          <w:szCs w:val="20"/>
          <w:lang w:val="en-US" w:eastAsia="zh-CN"/>
        </w:rPr>
        <w:br/>
        <w:t>In contrast, sectors such as Telecommunication Services and Real Estate demonstrate relatively modest progress, indicating slower integration of environmental sustainability into their operational strategies.</w:t>
      </w:r>
    </w:p>
    <w:p w14:paraId="5E54F998" w14:textId="77777777" w:rsidR="00AB238E" w:rsidRPr="00705903" w:rsidRDefault="00AB238E" w:rsidP="0097761F">
      <w:pPr>
        <w:spacing w:line="276" w:lineRule="auto"/>
        <w:ind w:firstLine="0"/>
        <w:jc w:val="both"/>
        <w:rPr>
          <w:sz w:val="20"/>
          <w:szCs w:val="20"/>
          <w:lang w:eastAsia="zh-CN"/>
        </w:rPr>
      </w:pPr>
    </w:p>
    <w:p w14:paraId="7CF82664" w14:textId="4BD7BB46" w:rsidR="00AB238E" w:rsidRPr="009968BE" w:rsidRDefault="009968BE" w:rsidP="009968BE">
      <w:pPr>
        <w:spacing w:line="276" w:lineRule="auto"/>
        <w:ind w:firstLine="0"/>
        <w:jc w:val="center"/>
        <w:rPr>
          <w:b/>
          <w:bCs/>
          <w:sz w:val="18"/>
          <w:szCs w:val="18"/>
          <w:lang w:eastAsia="zh-CN"/>
        </w:rPr>
      </w:pPr>
      <w:r>
        <w:rPr>
          <w:rFonts w:hint="eastAsia"/>
          <w:b/>
          <w:bCs/>
          <w:sz w:val="18"/>
          <w:szCs w:val="18"/>
          <w:lang w:eastAsia="zh-CN"/>
        </w:rPr>
        <w:t xml:space="preserve">E Rating of </w:t>
      </w:r>
      <w:r>
        <w:rPr>
          <w:b/>
          <w:bCs/>
          <w:sz w:val="18"/>
          <w:szCs w:val="18"/>
          <w:lang w:eastAsia="zh-CN"/>
        </w:rPr>
        <w:t>Industries</w:t>
      </w:r>
      <w:r>
        <w:rPr>
          <w:rFonts w:hint="eastAsia"/>
          <w:b/>
          <w:bCs/>
          <w:sz w:val="18"/>
          <w:szCs w:val="18"/>
          <w:lang w:eastAsia="zh-CN"/>
        </w:rPr>
        <w:t xml:space="preserve"> (Yearly Trend)</w:t>
      </w:r>
    </w:p>
    <w:p w14:paraId="56E5B2ED" w14:textId="77777777" w:rsidR="00AB238E" w:rsidRPr="00705903" w:rsidRDefault="00AB238E" w:rsidP="0097761F">
      <w:pPr>
        <w:spacing w:line="276" w:lineRule="auto"/>
        <w:ind w:firstLine="0"/>
        <w:jc w:val="both"/>
        <w:rPr>
          <w:sz w:val="20"/>
          <w:szCs w:val="20"/>
          <w:lang w:eastAsia="zh-CN"/>
        </w:rPr>
      </w:pPr>
      <w:r w:rsidRPr="00705903">
        <w:rPr>
          <w:noProof/>
          <w:sz w:val="20"/>
          <w:szCs w:val="20"/>
          <w:lang w:eastAsia="zh-CN"/>
        </w:rPr>
        <w:drawing>
          <wp:inline distT="0" distB="0" distL="0" distR="0" wp14:anchorId="714746F7" wp14:editId="790B9172">
            <wp:extent cx="5942669" cy="3010269"/>
            <wp:effectExtent l="0" t="0" r="1270" b="0"/>
            <wp:docPr id="19225529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5290" name="Picture 1" descr="A graph of a number of people&#10;&#10;AI-generated content may be incorrect."/>
                    <pic:cNvPicPr/>
                  </pic:nvPicPr>
                  <pic:blipFill rotWithShape="1">
                    <a:blip r:embed="rId21"/>
                    <a:srcRect t="5851"/>
                    <a:stretch>
                      <a:fillRect/>
                    </a:stretch>
                  </pic:blipFill>
                  <pic:spPr bwMode="auto">
                    <a:xfrm>
                      <a:off x="0" y="0"/>
                      <a:ext cx="5943600" cy="3010741"/>
                    </a:xfrm>
                    <a:prstGeom prst="rect">
                      <a:avLst/>
                    </a:prstGeom>
                    <a:ln>
                      <a:noFill/>
                    </a:ln>
                    <a:extLst>
                      <a:ext uri="{53640926-AAD7-44D8-BBD7-CCE9431645EC}">
                        <a14:shadowObscured xmlns:a14="http://schemas.microsoft.com/office/drawing/2010/main"/>
                      </a:ext>
                    </a:extLst>
                  </pic:spPr>
                </pic:pic>
              </a:graphicData>
            </a:graphic>
          </wp:inline>
        </w:drawing>
      </w:r>
    </w:p>
    <w:p w14:paraId="450E1DD1" w14:textId="77777777" w:rsidR="00AB238E" w:rsidRPr="00705903" w:rsidRDefault="00AB238E" w:rsidP="0097761F">
      <w:pPr>
        <w:spacing w:line="276" w:lineRule="auto"/>
        <w:ind w:firstLine="0"/>
        <w:jc w:val="both"/>
        <w:rPr>
          <w:sz w:val="20"/>
          <w:szCs w:val="20"/>
          <w:lang w:eastAsia="zh-CN"/>
        </w:rPr>
      </w:pPr>
    </w:p>
    <w:p w14:paraId="499AAE19" w14:textId="77777777" w:rsidR="00AB238E" w:rsidRPr="00705903" w:rsidRDefault="00AB238E" w:rsidP="0097761F">
      <w:pPr>
        <w:spacing w:after="160" w:line="259" w:lineRule="auto"/>
        <w:ind w:firstLine="0"/>
        <w:jc w:val="both"/>
        <w:rPr>
          <w:sz w:val="20"/>
          <w:szCs w:val="20"/>
          <w:lang w:eastAsia="zh-CN"/>
        </w:rPr>
      </w:pPr>
      <w:r w:rsidRPr="00705903">
        <w:rPr>
          <w:sz w:val="20"/>
          <w:szCs w:val="20"/>
          <w:lang w:eastAsia="zh-CN"/>
        </w:rPr>
        <w:br w:type="page"/>
      </w:r>
    </w:p>
    <w:p w14:paraId="4E15C062" w14:textId="77777777" w:rsidR="00AB238E" w:rsidRPr="00705903" w:rsidRDefault="00AB238E" w:rsidP="0097761F">
      <w:pPr>
        <w:pStyle w:val="Heading1"/>
      </w:pPr>
      <w:r w:rsidRPr="00705903">
        <w:t xml:space="preserve">Figure 8. </w:t>
      </w:r>
      <w:bookmarkStart w:id="16" w:name="_Hlk212680222"/>
      <w:r w:rsidRPr="00705903">
        <w:t>Industry-level Social (S) Rating Trends (2007–2022)</w:t>
      </w:r>
    </w:p>
    <w:bookmarkEnd w:id="16"/>
    <w:p w14:paraId="33825E7F" w14:textId="77777777" w:rsidR="00AB238E" w:rsidRPr="00705903" w:rsidRDefault="00AB238E" w:rsidP="0097761F">
      <w:pPr>
        <w:spacing w:line="276" w:lineRule="auto"/>
        <w:ind w:firstLine="0"/>
        <w:jc w:val="both"/>
        <w:rPr>
          <w:sz w:val="20"/>
          <w:szCs w:val="20"/>
          <w:lang w:val="en-US" w:eastAsia="zh-CN"/>
        </w:rPr>
      </w:pPr>
    </w:p>
    <w:p w14:paraId="2B700162"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 xml:space="preserve">This figure presents the annual evolution of Social (S) ratings across 11 GICS </w:t>
      </w:r>
      <w:proofErr w:type="gramStart"/>
      <w:r w:rsidRPr="00705903">
        <w:rPr>
          <w:sz w:val="20"/>
          <w:szCs w:val="20"/>
          <w:lang w:val="en-US" w:eastAsia="zh-CN"/>
        </w:rPr>
        <w:t>Level-1</w:t>
      </w:r>
      <w:proofErr w:type="gramEnd"/>
      <w:r w:rsidRPr="00705903">
        <w:rPr>
          <w:sz w:val="20"/>
          <w:szCs w:val="20"/>
          <w:lang w:val="en-US" w:eastAsia="zh-CN"/>
        </w:rPr>
        <w:t xml:space="preserve"> industries in China from 2007 to 2022, based on data from the Wind ESG database (as of February 2025). The S ratings evaluate firms’ performance in areas such as employee welfare, labor standards, community engagement, product responsibility, and social disclosure practices.</w:t>
      </w:r>
    </w:p>
    <w:p w14:paraId="02F1DEE0" w14:textId="77777777" w:rsidR="00AB238E" w:rsidRPr="00705903" w:rsidRDefault="00AB238E" w:rsidP="0097761F">
      <w:pPr>
        <w:spacing w:line="276" w:lineRule="auto"/>
        <w:ind w:firstLine="0"/>
        <w:jc w:val="both"/>
        <w:rPr>
          <w:sz w:val="20"/>
          <w:szCs w:val="20"/>
          <w:lang w:val="en-US" w:eastAsia="zh-CN"/>
        </w:rPr>
      </w:pPr>
    </w:p>
    <w:p w14:paraId="13FFFBCA"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Overall, the Social (S) dimension shows a consistent upward trend across most industries, reflecting the strengthening of corporate social responsibility (CSR) frameworks and improved disclosure requirements in China.</w:t>
      </w:r>
      <w:r w:rsidRPr="00705903">
        <w:rPr>
          <w:sz w:val="20"/>
          <w:szCs w:val="20"/>
          <w:lang w:val="en-US" w:eastAsia="zh-CN"/>
        </w:rPr>
        <w:br/>
      </w:r>
    </w:p>
    <w:p w14:paraId="5E6B21A4"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The Consumer Staples and Energy sectors record the highest S scores, driven by enhanced labor protection policies and social sustainability initiatives, while Telecommunication Services and Real Estate remain at the lower end, suggesting slower progress in integrating social responsibility measures into their operations. The acceleration of S performance after 2015 aligns with the introduction of domestic CSR guidelines and the growing importance of human capital management in corporate governance reforms.</w:t>
      </w:r>
    </w:p>
    <w:p w14:paraId="4EF67655" w14:textId="77777777" w:rsidR="00AB238E" w:rsidRPr="00705903" w:rsidRDefault="00AB238E" w:rsidP="0097761F">
      <w:pPr>
        <w:spacing w:line="276" w:lineRule="auto"/>
        <w:ind w:firstLine="0"/>
        <w:jc w:val="both"/>
        <w:rPr>
          <w:sz w:val="20"/>
          <w:szCs w:val="20"/>
          <w:lang w:val="en-US" w:eastAsia="zh-CN"/>
        </w:rPr>
      </w:pPr>
    </w:p>
    <w:p w14:paraId="602667FA" w14:textId="10901D73" w:rsidR="00AB238E" w:rsidRPr="009968BE" w:rsidRDefault="009968BE" w:rsidP="009968BE">
      <w:pPr>
        <w:spacing w:line="276" w:lineRule="auto"/>
        <w:ind w:firstLine="0"/>
        <w:jc w:val="center"/>
        <w:rPr>
          <w:b/>
          <w:bCs/>
          <w:sz w:val="18"/>
          <w:szCs w:val="18"/>
          <w:lang w:eastAsia="zh-CN"/>
        </w:rPr>
      </w:pPr>
      <w:r>
        <w:rPr>
          <w:rFonts w:hint="eastAsia"/>
          <w:b/>
          <w:bCs/>
          <w:sz w:val="18"/>
          <w:szCs w:val="18"/>
          <w:lang w:val="en-US" w:eastAsia="zh-CN"/>
        </w:rPr>
        <w:t>S</w:t>
      </w:r>
      <w:r>
        <w:rPr>
          <w:rFonts w:hint="eastAsia"/>
          <w:b/>
          <w:bCs/>
          <w:sz w:val="18"/>
          <w:szCs w:val="18"/>
          <w:lang w:eastAsia="zh-CN"/>
        </w:rPr>
        <w:t xml:space="preserve"> Rating of </w:t>
      </w:r>
      <w:r>
        <w:rPr>
          <w:b/>
          <w:bCs/>
          <w:sz w:val="18"/>
          <w:szCs w:val="18"/>
          <w:lang w:eastAsia="zh-CN"/>
        </w:rPr>
        <w:t>Industries</w:t>
      </w:r>
      <w:r>
        <w:rPr>
          <w:rFonts w:hint="eastAsia"/>
          <w:b/>
          <w:bCs/>
          <w:sz w:val="18"/>
          <w:szCs w:val="18"/>
          <w:lang w:eastAsia="zh-CN"/>
        </w:rPr>
        <w:t xml:space="preserve"> (Yearly Trend)</w:t>
      </w:r>
    </w:p>
    <w:p w14:paraId="3C6FDE80" w14:textId="77777777" w:rsidR="00AB238E" w:rsidRPr="00705903" w:rsidRDefault="00AB238E" w:rsidP="0097761F">
      <w:pPr>
        <w:spacing w:line="276" w:lineRule="auto"/>
        <w:ind w:firstLine="0"/>
        <w:jc w:val="both"/>
        <w:rPr>
          <w:sz w:val="20"/>
          <w:szCs w:val="20"/>
          <w:lang w:val="en-US" w:eastAsia="zh-CN"/>
        </w:rPr>
      </w:pPr>
      <w:r w:rsidRPr="00705903">
        <w:rPr>
          <w:noProof/>
          <w:sz w:val="20"/>
          <w:szCs w:val="20"/>
          <w:lang w:val="en-US" w:eastAsia="zh-CN"/>
        </w:rPr>
        <w:drawing>
          <wp:inline distT="0" distB="0" distL="0" distR="0" wp14:anchorId="32D36B2D" wp14:editId="6F5F2E86">
            <wp:extent cx="5943600" cy="3030914"/>
            <wp:effectExtent l="0" t="0" r="0" b="0"/>
            <wp:docPr id="853249411" name="Picture 1" descr="A graph of a number of compan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49411" name="Picture 1" descr="A graph of a number of companies&#10;&#10;AI-generated content may be incorrect."/>
                    <pic:cNvPicPr/>
                  </pic:nvPicPr>
                  <pic:blipFill rotWithShape="1">
                    <a:blip r:embed="rId22"/>
                    <a:srcRect t="5314"/>
                    <a:stretch>
                      <a:fillRect/>
                    </a:stretch>
                  </pic:blipFill>
                  <pic:spPr bwMode="auto">
                    <a:xfrm>
                      <a:off x="0" y="0"/>
                      <a:ext cx="5943600" cy="3030914"/>
                    </a:xfrm>
                    <a:prstGeom prst="rect">
                      <a:avLst/>
                    </a:prstGeom>
                    <a:ln>
                      <a:noFill/>
                    </a:ln>
                    <a:extLst>
                      <a:ext uri="{53640926-AAD7-44D8-BBD7-CCE9431645EC}">
                        <a14:shadowObscured xmlns:a14="http://schemas.microsoft.com/office/drawing/2010/main"/>
                      </a:ext>
                    </a:extLst>
                  </pic:spPr>
                </pic:pic>
              </a:graphicData>
            </a:graphic>
          </wp:inline>
        </w:drawing>
      </w:r>
    </w:p>
    <w:p w14:paraId="2AB7B7EE" w14:textId="77777777" w:rsidR="00AB238E" w:rsidRPr="00705903" w:rsidRDefault="00AB238E" w:rsidP="0097761F">
      <w:pPr>
        <w:spacing w:line="276" w:lineRule="auto"/>
        <w:ind w:firstLine="0"/>
        <w:jc w:val="both"/>
        <w:rPr>
          <w:sz w:val="20"/>
          <w:szCs w:val="20"/>
          <w:lang w:val="en-US" w:eastAsia="zh-CN"/>
        </w:rPr>
      </w:pPr>
    </w:p>
    <w:p w14:paraId="651800B9" w14:textId="77777777" w:rsidR="00AB238E" w:rsidRPr="00705903" w:rsidRDefault="00AB238E" w:rsidP="0097761F">
      <w:pPr>
        <w:spacing w:after="160" w:line="259" w:lineRule="auto"/>
        <w:ind w:firstLine="0"/>
        <w:jc w:val="both"/>
        <w:rPr>
          <w:sz w:val="20"/>
          <w:szCs w:val="20"/>
          <w:lang w:val="en-US" w:eastAsia="zh-CN"/>
        </w:rPr>
      </w:pPr>
      <w:r w:rsidRPr="00705903">
        <w:rPr>
          <w:sz w:val="20"/>
          <w:szCs w:val="20"/>
          <w:lang w:val="en-US" w:eastAsia="zh-CN"/>
        </w:rPr>
        <w:br w:type="page"/>
      </w:r>
    </w:p>
    <w:p w14:paraId="64E09C2F" w14:textId="77777777" w:rsidR="00AB238E" w:rsidRPr="00705903" w:rsidRDefault="00AB238E" w:rsidP="0097761F">
      <w:pPr>
        <w:pStyle w:val="Heading1"/>
      </w:pPr>
      <w:r w:rsidRPr="00705903">
        <w:t>Figure 9. Industry-level Governance (G) Rating Trends (2007–2022)</w:t>
      </w:r>
    </w:p>
    <w:p w14:paraId="17D4B542" w14:textId="77777777" w:rsidR="00AB238E" w:rsidRPr="00705903" w:rsidRDefault="00AB238E" w:rsidP="0097761F">
      <w:pPr>
        <w:spacing w:line="276" w:lineRule="auto"/>
        <w:ind w:firstLine="0"/>
        <w:jc w:val="both"/>
        <w:rPr>
          <w:sz w:val="20"/>
          <w:szCs w:val="20"/>
          <w:lang w:val="en-US" w:eastAsia="zh-CN"/>
        </w:rPr>
      </w:pPr>
    </w:p>
    <w:p w14:paraId="563A53F5"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 xml:space="preserve">This figure illustrates the annual evolution of Governance (G) ratings across 11 GICS </w:t>
      </w:r>
      <w:proofErr w:type="gramStart"/>
      <w:r w:rsidRPr="00705903">
        <w:rPr>
          <w:sz w:val="20"/>
          <w:szCs w:val="20"/>
          <w:lang w:val="en-US" w:eastAsia="zh-CN"/>
        </w:rPr>
        <w:t>Level-1</w:t>
      </w:r>
      <w:proofErr w:type="gramEnd"/>
      <w:r w:rsidRPr="00705903">
        <w:rPr>
          <w:sz w:val="20"/>
          <w:szCs w:val="20"/>
          <w:lang w:val="en-US" w:eastAsia="zh-CN"/>
        </w:rPr>
        <w:t xml:space="preserve"> industries from 2007 to 2022</w:t>
      </w:r>
      <w:proofErr w:type="gramStart"/>
      <w:r w:rsidRPr="00705903">
        <w:rPr>
          <w:sz w:val="20"/>
          <w:szCs w:val="20"/>
          <w:lang w:val="en-US" w:eastAsia="zh-CN"/>
        </w:rPr>
        <w:t>.The</w:t>
      </w:r>
      <w:proofErr w:type="gramEnd"/>
      <w:r w:rsidRPr="00705903">
        <w:rPr>
          <w:sz w:val="20"/>
          <w:szCs w:val="20"/>
          <w:lang w:val="en-US" w:eastAsia="zh-CN"/>
        </w:rPr>
        <w:t xml:space="preserve"> Governance (G) score measures corporate board structure, management accountability, transparency, and shareholder protection practices.</w:t>
      </w:r>
    </w:p>
    <w:p w14:paraId="16B3B393"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Solid and dashed lines represent different industries’ average G scores by year, smoothed to highlight cross-industry variation and long-term governance trends.</w:t>
      </w:r>
    </w:p>
    <w:p w14:paraId="06FCD284" w14:textId="77777777" w:rsidR="00AB238E" w:rsidRPr="00705903" w:rsidRDefault="00AB238E" w:rsidP="0097761F">
      <w:pPr>
        <w:spacing w:line="276" w:lineRule="auto"/>
        <w:ind w:firstLine="0"/>
        <w:jc w:val="both"/>
        <w:rPr>
          <w:sz w:val="20"/>
          <w:szCs w:val="20"/>
          <w:lang w:val="en-US" w:eastAsia="zh-CN"/>
        </w:rPr>
      </w:pPr>
    </w:p>
    <w:p w14:paraId="2C24C9B4"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The figure shows a moderate upward trend in governance quality across most industries from 2007 to 2020, consistent with the gradual institutionalization of ESG reporting and corporate governance reforms in China.</w:t>
      </w:r>
    </w:p>
    <w:p w14:paraId="1A5AB744"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Industries such as Financials, Utilities, and Real Estate maintain relatively high and stable G ratings, indicating stronger internal control systems and greater compliance with governance codes. In contrast, Information Technology and Materials sectors display lower average G scores and greater volatility, reflecting less mature governance frameworks and potentially weaker regulatory oversight.</w:t>
      </w:r>
    </w:p>
    <w:p w14:paraId="25355A03" w14:textId="77777777" w:rsidR="00AB238E" w:rsidRPr="00705903" w:rsidRDefault="00AB238E" w:rsidP="0097761F">
      <w:pPr>
        <w:spacing w:line="276" w:lineRule="auto"/>
        <w:ind w:firstLine="0"/>
        <w:jc w:val="both"/>
        <w:rPr>
          <w:sz w:val="20"/>
          <w:szCs w:val="20"/>
          <w:lang w:val="en-US" w:eastAsia="zh-CN"/>
        </w:rPr>
      </w:pPr>
    </w:p>
    <w:p w14:paraId="0ACAE24F"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The decline observed after 2021 is largely attributed to data coverage limitations in the Wind ESG database, rather than a structural deterioration in governance quality.</w:t>
      </w:r>
    </w:p>
    <w:p w14:paraId="2458B38A" w14:textId="77777777" w:rsidR="00AB238E" w:rsidRPr="00705903" w:rsidRDefault="00AB238E" w:rsidP="0097761F">
      <w:pPr>
        <w:spacing w:line="276" w:lineRule="auto"/>
        <w:ind w:firstLine="0"/>
        <w:jc w:val="both"/>
        <w:rPr>
          <w:sz w:val="20"/>
          <w:szCs w:val="20"/>
          <w:lang w:val="en-US" w:eastAsia="zh-CN"/>
        </w:rPr>
      </w:pPr>
    </w:p>
    <w:p w14:paraId="79EC6981" w14:textId="56F63A9D" w:rsidR="00AB238E" w:rsidRPr="009968BE" w:rsidRDefault="009968BE" w:rsidP="009968BE">
      <w:pPr>
        <w:spacing w:line="276" w:lineRule="auto"/>
        <w:ind w:firstLine="0"/>
        <w:jc w:val="center"/>
        <w:rPr>
          <w:b/>
          <w:bCs/>
          <w:sz w:val="18"/>
          <w:szCs w:val="18"/>
          <w:lang w:eastAsia="zh-CN"/>
        </w:rPr>
      </w:pPr>
      <w:r>
        <w:rPr>
          <w:rFonts w:hint="eastAsia"/>
          <w:b/>
          <w:bCs/>
          <w:sz w:val="18"/>
          <w:szCs w:val="18"/>
          <w:lang w:eastAsia="zh-CN"/>
        </w:rPr>
        <w:t xml:space="preserve">G Rating of </w:t>
      </w:r>
      <w:r>
        <w:rPr>
          <w:b/>
          <w:bCs/>
          <w:sz w:val="18"/>
          <w:szCs w:val="18"/>
          <w:lang w:eastAsia="zh-CN"/>
        </w:rPr>
        <w:t>Industries</w:t>
      </w:r>
      <w:r>
        <w:rPr>
          <w:rFonts w:hint="eastAsia"/>
          <w:b/>
          <w:bCs/>
          <w:sz w:val="18"/>
          <w:szCs w:val="18"/>
          <w:lang w:eastAsia="zh-CN"/>
        </w:rPr>
        <w:t xml:space="preserve"> (Yearly Trend)</w:t>
      </w:r>
    </w:p>
    <w:p w14:paraId="7D9878CA" w14:textId="77777777" w:rsidR="00AB238E" w:rsidRPr="00705903" w:rsidRDefault="00AB238E" w:rsidP="0097761F">
      <w:pPr>
        <w:spacing w:line="276" w:lineRule="auto"/>
        <w:ind w:firstLine="0"/>
        <w:jc w:val="both"/>
        <w:rPr>
          <w:sz w:val="20"/>
          <w:szCs w:val="20"/>
          <w:lang w:val="en-US" w:eastAsia="zh-CN"/>
        </w:rPr>
      </w:pPr>
      <w:r w:rsidRPr="00705903">
        <w:rPr>
          <w:noProof/>
          <w:sz w:val="20"/>
          <w:szCs w:val="20"/>
          <w:lang w:val="en-US" w:eastAsia="zh-CN"/>
        </w:rPr>
        <w:drawing>
          <wp:inline distT="0" distB="0" distL="0" distR="0" wp14:anchorId="29FA3E0E" wp14:editId="40AD35F3">
            <wp:extent cx="5943600" cy="3024579"/>
            <wp:effectExtent l="0" t="0" r="0" b="4445"/>
            <wp:docPr id="1576187774" name="Picture 1" descr="A graph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87774" name="Picture 1" descr="A graph of different lines&#10;&#10;AI-generated content may be incorrect."/>
                    <pic:cNvPicPr/>
                  </pic:nvPicPr>
                  <pic:blipFill rotWithShape="1">
                    <a:blip r:embed="rId23"/>
                    <a:srcRect t="6569"/>
                    <a:stretch>
                      <a:fillRect/>
                    </a:stretch>
                  </pic:blipFill>
                  <pic:spPr bwMode="auto">
                    <a:xfrm>
                      <a:off x="0" y="0"/>
                      <a:ext cx="5943600" cy="3024579"/>
                    </a:xfrm>
                    <a:prstGeom prst="rect">
                      <a:avLst/>
                    </a:prstGeom>
                    <a:ln>
                      <a:noFill/>
                    </a:ln>
                    <a:extLst>
                      <a:ext uri="{53640926-AAD7-44D8-BBD7-CCE9431645EC}">
                        <a14:shadowObscured xmlns:a14="http://schemas.microsoft.com/office/drawing/2010/main"/>
                      </a:ext>
                    </a:extLst>
                  </pic:spPr>
                </pic:pic>
              </a:graphicData>
            </a:graphic>
          </wp:inline>
        </w:drawing>
      </w:r>
    </w:p>
    <w:p w14:paraId="5D5ED232" w14:textId="77777777" w:rsidR="00AB238E" w:rsidRPr="00705903" w:rsidRDefault="00AB238E" w:rsidP="0097761F">
      <w:pPr>
        <w:spacing w:line="276" w:lineRule="auto"/>
        <w:ind w:firstLine="0"/>
        <w:jc w:val="both"/>
        <w:rPr>
          <w:sz w:val="20"/>
          <w:szCs w:val="20"/>
          <w:lang w:val="en-US" w:eastAsia="zh-CN"/>
        </w:rPr>
      </w:pPr>
    </w:p>
    <w:p w14:paraId="19B2A8E6" w14:textId="77777777" w:rsidR="00AB238E" w:rsidRPr="00705903" w:rsidRDefault="00AB238E" w:rsidP="0097761F">
      <w:pPr>
        <w:spacing w:line="276" w:lineRule="auto"/>
        <w:ind w:firstLine="0"/>
        <w:jc w:val="both"/>
        <w:rPr>
          <w:sz w:val="20"/>
          <w:szCs w:val="20"/>
          <w:lang w:val="en-US" w:eastAsia="zh-CN"/>
        </w:rPr>
      </w:pPr>
    </w:p>
    <w:p w14:paraId="76064622" w14:textId="77777777" w:rsidR="00AB238E" w:rsidRPr="00705903" w:rsidRDefault="00AB238E" w:rsidP="0097761F">
      <w:pPr>
        <w:spacing w:after="160" w:line="259" w:lineRule="auto"/>
        <w:ind w:firstLine="0"/>
        <w:jc w:val="both"/>
        <w:rPr>
          <w:b/>
          <w:bCs/>
          <w:szCs w:val="24"/>
          <w:lang w:val="en-US" w:eastAsia="zh-CN"/>
        </w:rPr>
      </w:pPr>
      <w:r w:rsidRPr="00705903">
        <w:br w:type="page"/>
      </w:r>
    </w:p>
    <w:p w14:paraId="69BD8A99" w14:textId="77777777" w:rsidR="00AB238E" w:rsidRPr="00705903" w:rsidRDefault="00AB238E" w:rsidP="0097761F">
      <w:pPr>
        <w:pStyle w:val="Heading1"/>
      </w:pPr>
      <w:r w:rsidRPr="00705903">
        <w:t>Figure 10: Distribution of E, S, and G Scores by Dimension</w:t>
      </w:r>
    </w:p>
    <w:p w14:paraId="277B005A" w14:textId="77777777" w:rsidR="00AB238E" w:rsidRPr="00705903" w:rsidRDefault="00AB238E" w:rsidP="0097761F">
      <w:pPr>
        <w:spacing w:line="276" w:lineRule="auto"/>
        <w:ind w:firstLine="0"/>
        <w:jc w:val="both"/>
        <w:rPr>
          <w:sz w:val="20"/>
          <w:szCs w:val="20"/>
          <w:lang w:eastAsia="zh-CN"/>
        </w:rPr>
      </w:pPr>
    </w:p>
    <w:p w14:paraId="34C93E55" w14:textId="77777777" w:rsidR="00AB238E" w:rsidRPr="00705903" w:rsidRDefault="00AB238E" w:rsidP="0097761F">
      <w:pPr>
        <w:spacing w:line="276" w:lineRule="auto"/>
        <w:ind w:firstLine="0"/>
        <w:jc w:val="both"/>
        <w:rPr>
          <w:sz w:val="20"/>
          <w:szCs w:val="20"/>
          <w:lang w:eastAsia="zh-CN"/>
        </w:rPr>
      </w:pPr>
      <w:r w:rsidRPr="00705903">
        <w:rPr>
          <w:sz w:val="20"/>
          <w:szCs w:val="20"/>
          <w:lang w:eastAsia="zh-CN"/>
        </w:rPr>
        <w:t>This figure visualizes the cross-sectional distribution of Environmental (E), Social (S), and Governance (G) ratings aggregated at the industry level. The distributions are estimated using violin plots based on firm-level average scores over the 2007–2022 period from the CNRDS dataset. The internal dashed lines indicate the first quartile, median, and third quartile of each distribution.</w:t>
      </w:r>
    </w:p>
    <w:p w14:paraId="27692137" w14:textId="77777777" w:rsidR="00AB238E" w:rsidRPr="00705903" w:rsidRDefault="00AB238E" w:rsidP="0097761F">
      <w:pPr>
        <w:spacing w:line="276" w:lineRule="auto"/>
        <w:ind w:firstLine="0"/>
        <w:jc w:val="both"/>
        <w:rPr>
          <w:sz w:val="20"/>
          <w:szCs w:val="20"/>
          <w:lang w:eastAsia="zh-CN"/>
        </w:rPr>
      </w:pPr>
    </w:p>
    <w:p w14:paraId="072C08C3" w14:textId="5113AA48" w:rsidR="00AB238E" w:rsidRPr="009968BE" w:rsidRDefault="009968BE" w:rsidP="009968BE">
      <w:pPr>
        <w:spacing w:line="276" w:lineRule="auto"/>
        <w:ind w:firstLine="0"/>
        <w:jc w:val="center"/>
        <w:rPr>
          <w:b/>
          <w:bCs/>
          <w:sz w:val="18"/>
          <w:szCs w:val="18"/>
          <w:lang w:eastAsia="zh-CN"/>
        </w:rPr>
      </w:pPr>
      <w:r>
        <w:rPr>
          <w:rFonts w:hint="eastAsia"/>
          <w:b/>
          <w:bCs/>
          <w:sz w:val="18"/>
          <w:szCs w:val="18"/>
          <w:lang w:eastAsia="zh-CN"/>
        </w:rPr>
        <w:t xml:space="preserve">Distribution of </w:t>
      </w:r>
      <w:r w:rsidRPr="009968BE">
        <w:rPr>
          <w:b/>
          <w:bCs/>
          <w:sz w:val="18"/>
          <w:szCs w:val="18"/>
          <w:lang w:eastAsia="zh-CN"/>
        </w:rPr>
        <w:t>E, S, and G Scores by Dimension</w:t>
      </w:r>
    </w:p>
    <w:p w14:paraId="3F58C2C8" w14:textId="77777777" w:rsidR="00AB238E" w:rsidRPr="00705903" w:rsidRDefault="00AB238E" w:rsidP="0097761F">
      <w:pPr>
        <w:spacing w:line="276" w:lineRule="auto"/>
        <w:ind w:firstLine="0"/>
        <w:jc w:val="both"/>
        <w:rPr>
          <w:sz w:val="20"/>
          <w:szCs w:val="20"/>
          <w:lang w:eastAsia="zh-CN"/>
        </w:rPr>
      </w:pPr>
      <w:r w:rsidRPr="00705903">
        <w:rPr>
          <w:noProof/>
          <w:sz w:val="20"/>
          <w:szCs w:val="20"/>
          <w:lang w:eastAsia="zh-CN"/>
        </w:rPr>
        <w:drawing>
          <wp:inline distT="0" distB="0" distL="0" distR="0" wp14:anchorId="1C0D8D54" wp14:editId="4EF38AA3">
            <wp:extent cx="5943600" cy="3790174"/>
            <wp:effectExtent l="0" t="0" r="0" b="1270"/>
            <wp:docPr id="1150026022" name="Picture 1" descr="A diagram of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26022" name="Picture 1" descr="A diagram of different shapes&#10;&#10;AI-generated content may be incorrect."/>
                    <pic:cNvPicPr/>
                  </pic:nvPicPr>
                  <pic:blipFill rotWithShape="1">
                    <a:blip r:embed="rId24"/>
                    <a:srcRect t="4774"/>
                    <a:stretch>
                      <a:fillRect/>
                    </a:stretch>
                  </pic:blipFill>
                  <pic:spPr bwMode="auto">
                    <a:xfrm>
                      <a:off x="0" y="0"/>
                      <a:ext cx="5943600" cy="3790174"/>
                    </a:xfrm>
                    <a:prstGeom prst="rect">
                      <a:avLst/>
                    </a:prstGeom>
                    <a:ln>
                      <a:noFill/>
                    </a:ln>
                    <a:extLst>
                      <a:ext uri="{53640926-AAD7-44D8-BBD7-CCE9431645EC}">
                        <a14:shadowObscured xmlns:a14="http://schemas.microsoft.com/office/drawing/2010/main"/>
                      </a:ext>
                    </a:extLst>
                  </pic:spPr>
                </pic:pic>
              </a:graphicData>
            </a:graphic>
          </wp:inline>
        </w:drawing>
      </w:r>
    </w:p>
    <w:p w14:paraId="4B35575C" w14:textId="77777777" w:rsidR="00AB238E" w:rsidRPr="00705903" w:rsidRDefault="00AB238E" w:rsidP="0097761F">
      <w:pPr>
        <w:spacing w:line="276" w:lineRule="auto"/>
        <w:ind w:firstLine="0"/>
        <w:jc w:val="both"/>
        <w:rPr>
          <w:sz w:val="20"/>
          <w:szCs w:val="20"/>
          <w:lang w:eastAsia="zh-CN"/>
        </w:rPr>
      </w:pPr>
    </w:p>
    <w:p w14:paraId="5865430E" w14:textId="77777777" w:rsidR="00AB238E" w:rsidRPr="00705903" w:rsidRDefault="00AB238E" w:rsidP="0097761F">
      <w:pPr>
        <w:spacing w:line="276" w:lineRule="auto"/>
        <w:ind w:firstLine="0"/>
        <w:jc w:val="both"/>
        <w:rPr>
          <w:sz w:val="20"/>
          <w:szCs w:val="20"/>
          <w:lang w:eastAsia="zh-CN"/>
        </w:rPr>
      </w:pPr>
    </w:p>
    <w:p w14:paraId="3FCA59BC" w14:textId="77777777" w:rsidR="00AB238E" w:rsidRPr="00705903" w:rsidRDefault="00AB238E" w:rsidP="0097761F">
      <w:pPr>
        <w:spacing w:after="160" w:line="259" w:lineRule="auto"/>
        <w:ind w:firstLine="0"/>
        <w:jc w:val="both"/>
        <w:rPr>
          <w:b/>
          <w:bCs/>
          <w:szCs w:val="24"/>
          <w:lang w:val="en-US" w:eastAsia="zh-CN"/>
        </w:rPr>
      </w:pPr>
      <w:r w:rsidRPr="00705903">
        <w:br w:type="page"/>
      </w:r>
    </w:p>
    <w:p w14:paraId="50E15F7B" w14:textId="77777777" w:rsidR="00AB238E" w:rsidRPr="00705903" w:rsidRDefault="00AB238E" w:rsidP="0097761F">
      <w:pPr>
        <w:pStyle w:val="Heading1"/>
      </w:pPr>
      <w:r w:rsidRPr="00705903">
        <w:t>Figure 11. Quantile Plot of ESG Scores (E, S, G)</w:t>
      </w:r>
    </w:p>
    <w:p w14:paraId="7118D7E2" w14:textId="77777777" w:rsidR="00AB238E" w:rsidRPr="00705903" w:rsidRDefault="00AB238E" w:rsidP="0097761F">
      <w:pPr>
        <w:spacing w:line="276" w:lineRule="auto"/>
        <w:ind w:firstLine="0"/>
        <w:jc w:val="both"/>
        <w:rPr>
          <w:sz w:val="20"/>
          <w:szCs w:val="20"/>
          <w:lang w:val="en-US" w:eastAsia="zh-CN"/>
        </w:rPr>
      </w:pPr>
    </w:p>
    <w:p w14:paraId="1C6E6909" w14:textId="77777777" w:rsidR="009968BE" w:rsidRPr="009968BE" w:rsidRDefault="009968BE" w:rsidP="009968BE">
      <w:pPr>
        <w:spacing w:line="276" w:lineRule="auto"/>
        <w:ind w:firstLine="0"/>
        <w:rPr>
          <w:sz w:val="20"/>
          <w:szCs w:val="20"/>
          <w:lang w:val="en-US" w:eastAsia="zh-CN"/>
        </w:rPr>
      </w:pPr>
      <w:r w:rsidRPr="009968BE">
        <w:rPr>
          <w:sz w:val="20"/>
          <w:szCs w:val="20"/>
          <w:lang w:val="en-US" w:eastAsia="zh-CN"/>
        </w:rPr>
        <w:t>This figure compares the 25th, 50th, and 75th percentile values of firm-level ESG dimension scores, illustrating the cross-sectional distributional structure across the Environmental (E), Social (S), and Governance (G) components. Consistent with the quantile estimates reported in Table 13, the Social and Governance dimensions display substantially higher central and upper-quartile values than the Environmental dimension, indicating stronger disclosure depth and greater score dispersion for S and G.</w:t>
      </w:r>
    </w:p>
    <w:p w14:paraId="52C04440" w14:textId="77777777" w:rsidR="009968BE" w:rsidRPr="009968BE" w:rsidRDefault="009968BE" w:rsidP="009968BE">
      <w:pPr>
        <w:spacing w:line="276" w:lineRule="auto"/>
        <w:ind w:firstLine="0"/>
        <w:rPr>
          <w:sz w:val="20"/>
          <w:szCs w:val="20"/>
          <w:lang w:val="en-US" w:eastAsia="zh-CN"/>
        </w:rPr>
      </w:pPr>
    </w:p>
    <w:p w14:paraId="7AEA871E" w14:textId="35073E1E" w:rsidR="00AB238E" w:rsidRDefault="009968BE" w:rsidP="009968BE">
      <w:pPr>
        <w:spacing w:line="276" w:lineRule="auto"/>
        <w:ind w:firstLine="0"/>
        <w:rPr>
          <w:sz w:val="20"/>
          <w:szCs w:val="20"/>
          <w:lang w:val="en-US" w:eastAsia="zh-CN"/>
        </w:rPr>
      </w:pPr>
      <w:r w:rsidRPr="009968BE">
        <w:rPr>
          <w:sz w:val="20"/>
          <w:szCs w:val="20"/>
          <w:lang w:val="en-US" w:eastAsia="zh-CN"/>
        </w:rPr>
        <w:t>The steep upward shift from E to S across all quantiles highlights that environmental performance remains the weakest and most unevenly reported dimension among Chinese firms. By contrast, the relatively tighter interquartile range between S and G suggests more uniform reporting standards and lower cross-sectional variability in these two pillars. Together, the quantile patterns reveal meaningful divergence in disclosure quality and score concentration across ESG dimensions.</w:t>
      </w:r>
    </w:p>
    <w:p w14:paraId="3DD9CE6A" w14:textId="77777777" w:rsidR="009968BE" w:rsidRDefault="009968BE" w:rsidP="009968BE">
      <w:pPr>
        <w:spacing w:line="276" w:lineRule="auto"/>
        <w:ind w:firstLine="0"/>
        <w:rPr>
          <w:sz w:val="20"/>
          <w:szCs w:val="20"/>
          <w:lang w:val="en-US" w:eastAsia="zh-CN"/>
        </w:rPr>
      </w:pPr>
    </w:p>
    <w:p w14:paraId="124E768C" w14:textId="58B200ED" w:rsidR="00AB238E" w:rsidRPr="00705903" w:rsidRDefault="009968BE" w:rsidP="009968BE">
      <w:pPr>
        <w:spacing w:line="276" w:lineRule="auto"/>
        <w:ind w:firstLine="0"/>
        <w:jc w:val="center"/>
        <w:rPr>
          <w:sz w:val="20"/>
          <w:szCs w:val="20"/>
          <w:lang w:val="en-US" w:eastAsia="zh-CN"/>
        </w:rPr>
      </w:pPr>
      <w:r w:rsidRPr="009968BE">
        <w:rPr>
          <w:b/>
          <w:bCs/>
          <w:sz w:val="18"/>
          <w:szCs w:val="18"/>
          <w:lang w:eastAsia="zh-CN"/>
        </w:rPr>
        <w:t>Quantile Plot of ESG Scores (E, S, G)</w:t>
      </w:r>
      <w:r w:rsidR="00AB238E" w:rsidRPr="00705903">
        <w:rPr>
          <w:noProof/>
          <w:sz w:val="20"/>
          <w:szCs w:val="20"/>
          <w:lang w:val="en-US" w:eastAsia="zh-CN"/>
        </w:rPr>
        <w:drawing>
          <wp:inline distT="0" distB="0" distL="0" distR="0" wp14:anchorId="701A5D23" wp14:editId="35CE79E2">
            <wp:extent cx="5593278" cy="3634436"/>
            <wp:effectExtent l="0" t="0" r="7620" b="4445"/>
            <wp:docPr id="1787376273" name="Picture 1" descr="A graph of the number of es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76273" name="Picture 1" descr="A graph of the number of esg&#10;&#10;AI-generated content may be incorrect."/>
                    <pic:cNvPicPr/>
                  </pic:nvPicPr>
                  <pic:blipFill>
                    <a:blip r:embed="rId25"/>
                    <a:stretch>
                      <a:fillRect/>
                    </a:stretch>
                  </pic:blipFill>
                  <pic:spPr>
                    <a:xfrm>
                      <a:off x="0" y="0"/>
                      <a:ext cx="5596021" cy="3636218"/>
                    </a:xfrm>
                    <a:prstGeom prst="rect">
                      <a:avLst/>
                    </a:prstGeom>
                  </pic:spPr>
                </pic:pic>
              </a:graphicData>
            </a:graphic>
          </wp:inline>
        </w:drawing>
      </w:r>
    </w:p>
    <w:p w14:paraId="67269B05" w14:textId="77777777" w:rsidR="00AB238E" w:rsidRPr="00705903" w:rsidRDefault="00AB238E" w:rsidP="0097761F">
      <w:pPr>
        <w:spacing w:line="276" w:lineRule="auto"/>
        <w:ind w:firstLine="0"/>
        <w:jc w:val="both"/>
        <w:rPr>
          <w:sz w:val="20"/>
          <w:szCs w:val="20"/>
          <w:lang w:val="en-US" w:eastAsia="zh-CN"/>
        </w:rPr>
      </w:pPr>
    </w:p>
    <w:p w14:paraId="4F15F791" w14:textId="77777777" w:rsidR="00AB238E" w:rsidRPr="00705903" w:rsidRDefault="00AB238E" w:rsidP="0097761F">
      <w:pPr>
        <w:spacing w:line="276" w:lineRule="auto"/>
        <w:ind w:firstLine="0"/>
        <w:jc w:val="both"/>
        <w:rPr>
          <w:sz w:val="20"/>
          <w:szCs w:val="20"/>
          <w:lang w:val="en-US" w:eastAsia="zh-CN"/>
        </w:rPr>
      </w:pPr>
    </w:p>
    <w:p w14:paraId="18C74CF8" w14:textId="77777777" w:rsidR="00AB238E" w:rsidRPr="00705903" w:rsidRDefault="00AB238E" w:rsidP="0097761F">
      <w:pPr>
        <w:spacing w:after="160" w:line="259" w:lineRule="auto"/>
        <w:ind w:firstLine="0"/>
        <w:jc w:val="both"/>
        <w:rPr>
          <w:b/>
          <w:bCs/>
          <w:szCs w:val="24"/>
          <w:lang w:val="en-US" w:eastAsia="zh-CN"/>
        </w:rPr>
      </w:pPr>
      <w:r w:rsidRPr="00705903">
        <w:br w:type="page"/>
      </w:r>
    </w:p>
    <w:p w14:paraId="30E09106" w14:textId="77777777" w:rsidR="00AB238E" w:rsidRPr="00705903" w:rsidRDefault="00AB238E" w:rsidP="0097761F">
      <w:pPr>
        <w:pStyle w:val="Heading1"/>
      </w:pPr>
      <w:r w:rsidRPr="00705903">
        <w:t xml:space="preserve">Figure 12. </w:t>
      </w:r>
      <w:bookmarkStart w:id="17" w:name="_Hlk215449046"/>
      <w:r w:rsidRPr="00705903">
        <w:t>Spearman Rank and Kendall Rank Correlation (E, S, G)</w:t>
      </w:r>
      <w:bookmarkEnd w:id="17"/>
    </w:p>
    <w:p w14:paraId="32285F3C" w14:textId="77777777" w:rsidR="00AB238E" w:rsidRPr="00705903" w:rsidRDefault="00AB238E" w:rsidP="0097761F">
      <w:pPr>
        <w:spacing w:line="276" w:lineRule="auto"/>
        <w:ind w:firstLine="0"/>
        <w:jc w:val="both"/>
        <w:rPr>
          <w:i/>
          <w:iCs/>
          <w:sz w:val="20"/>
          <w:szCs w:val="20"/>
          <w:lang w:val="en-US" w:eastAsia="zh-CN"/>
        </w:rPr>
      </w:pPr>
    </w:p>
    <w:p w14:paraId="51DA4249"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Panel A (</w:t>
      </w:r>
      <w:r w:rsidRPr="00705903">
        <w:rPr>
          <w:i/>
          <w:iCs/>
          <w:sz w:val="20"/>
          <w:szCs w:val="20"/>
          <w:lang w:val="en-US" w:eastAsia="zh-CN"/>
        </w:rPr>
        <w:t>Figure A. Spearman Rank Correlation (E/S/G)</w:t>
      </w:r>
      <w:r w:rsidRPr="00705903">
        <w:rPr>
          <w:sz w:val="20"/>
          <w:szCs w:val="20"/>
          <w:lang w:val="en-US" w:eastAsia="zh-CN"/>
        </w:rPr>
        <w:t>) visualizes the Spearman rank correlation matrix across Environmental (E), Social (S), and Governance (G) dimensions at the industry level. The strong positive correlation between E and S (ρ = 0.76) indicates similar ranking patterns across environmental and social dimensions, whereas Governance (G) rankings show weaker or negative associations with the other two dimensions.</w:t>
      </w:r>
    </w:p>
    <w:p w14:paraId="3D2DBAEB" w14:textId="77777777" w:rsidR="00AB238E" w:rsidRPr="00705903" w:rsidRDefault="00AB238E" w:rsidP="0097761F">
      <w:pPr>
        <w:spacing w:line="276" w:lineRule="auto"/>
        <w:ind w:firstLine="0"/>
        <w:jc w:val="both"/>
        <w:rPr>
          <w:i/>
          <w:iCs/>
          <w:sz w:val="20"/>
          <w:szCs w:val="20"/>
          <w:lang w:val="en-US" w:eastAsia="zh-CN"/>
        </w:rPr>
      </w:pPr>
    </w:p>
    <w:p w14:paraId="1E689F64"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Panel B (</w:t>
      </w:r>
      <w:r w:rsidRPr="00705903">
        <w:rPr>
          <w:i/>
          <w:iCs/>
          <w:sz w:val="20"/>
          <w:szCs w:val="20"/>
          <w:lang w:val="en-US" w:eastAsia="zh-CN"/>
        </w:rPr>
        <w:t>Figure B. Kendall Rank Correlation (E/S/G)</w:t>
      </w:r>
      <w:r w:rsidRPr="00705903">
        <w:rPr>
          <w:sz w:val="20"/>
          <w:szCs w:val="20"/>
          <w:lang w:val="en-US" w:eastAsia="zh-CN"/>
        </w:rPr>
        <w:t>) shows the Kendall τ rank correlation matrix for the same dimensions. The results are consistent with the Spearman correlations, reinforcing the robustness of the E–S concordance and the relative independence of the G component.</w:t>
      </w:r>
    </w:p>
    <w:p w14:paraId="2EB786E3" w14:textId="77777777" w:rsidR="00AB238E" w:rsidRPr="00705903" w:rsidRDefault="00AB238E" w:rsidP="0097761F">
      <w:pPr>
        <w:spacing w:line="276" w:lineRule="auto"/>
        <w:ind w:firstLine="0"/>
        <w:jc w:val="both"/>
        <w:rPr>
          <w:sz w:val="20"/>
          <w:szCs w:val="20"/>
          <w:lang w:val="en-US" w:eastAsia="zh-CN"/>
        </w:rPr>
      </w:pPr>
    </w:p>
    <w:p w14:paraId="1366127C" w14:textId="77777777" w:rsidR="009968BE" w:rsidRDefault="009968BE" w:rsidP="00775A76">
      <w:pPr>
        <w:spacing w:line="276" w:lineRule="auto"/>
        <w:ind w:firstLine="0"/>
        <w:jc w:val="center"/>
        <w:rPr>
          <w:b/>
          <w:bCs/>
          <w:sz w:val="18"/>
          <w:szCs w:val="18"/>
          <w:lang w:eastAsia="zh-CN"/>
        </w:rPr>
      </w:pPr>
      <w:r w:rsidRPr="009968BE">
        <w:rPr>
          <w:b/>
          <w:bCs/>
          <w:sz w:val="18"/>
          <w:szCs w:val="18"/>
          <w:lang w:eastAsia="zh-CN"/>
        </w:rPr>
        <w:t>Spearman Rank and Kendall Rank Correlation (E, S, G)</w:t>
      </w:r>
    </w:p>
    <w:p w14:paraId="1308A151" w14:textId="4A394DAF" w:rsidR="00AB238E" w:rsidRPr="00705903" w:rsidRDefault="00AB238E" w:rsidP="00775A76">
      <w:pPr>
        <w:spacing w:line="276" w:lineRule="auto"/>
        <w:ind w:firstLine="0"/>
        <w:jc w:val="center"/>
        <w:rPr>
          <w:sz w:val="20"/>
          <w:szCs w:val="20"/>
          <w:lang w:val="en-US" w:eastAsia="zh-CN"/>
        </w:rPr>
      </w:pPr>
      <w:r w:rsidRPr="00705903">
        <w:rPr>
          <w:noProof/>
          <w:sz w:val="20"/>
          <w:szCs w:val="20"/>
          <w:lang w:val="en-US" w:eastAsia="zh-CN"/>
        </w:rPr>
        <w:drawing>
          <wp:inline distT="0" distB="0" distL="0" distR="0" wp14:anchorId="03D69A54" wp14:editId="5AEB4881">
            <wp:extent cx="2575662" cy="2446317"/>
            <wp:effectExtent l="0" t="0" r="0" b="0"/>
            <wp:docPr id="1132934578" name="Picture 1" descr="A black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34578" name="Picture 1" descr="A black squares with white text&#10;&#10;AI-generated content may be incorrect."/>
                    <pic:cNvPicPr/>
                  </pic:nvPicPr>
                  <pic:blipFill>
                    <a:blip r:embed="rId26"/>
                    <a:stretch>
                      <a:fillRect/>
                    </a:stretch>
                  </pic:blipFill>
                  <pic:spPr>
                    <a:xfrm>
                      <a:off x="0" y="0"/>
                      <a:ext cx="2582433" cy="2452748"/>
                    </a:xfrm>
                    <a:prstGeom prst="rect">
                      <a:avLst/>
                    </a:prstGeom>
                  </pic:spPr>
                </pic:pic>
              </a:graphicData>
            </a:graphic>
          </wp:inline>
        </w:drawing>
      </w:r>
      <w:r w:rsidRPr="00705903">
        <w:rPr>
          <w:noProof/>
          <w:sz w:val="20"/>
          <w:szCs w:val="20"/>
          <w:lang w:val="en-US" w:eastAsia="zh-CN"/>
        </w:rPr>
        <w:drawing>
          <wp:inline distT="0" distB="0" distL="0" distR="0" wp14:anchorId="0F495B5A" wp14:editId="0C42410C">
            <wp:extent cx="2626157" cy="2469036"/>
            <wp:effectExtent l="0" t="0" r="3175" b="7620"/>
            <wp:docPr id="295066243" name="Picture 1" descr="A graph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66243" name="Picture 1" descr="A graph with black squares&#10;&#10;AI-generated content may be incorrect."/>
                    <pic:cNvPicPr/>
                  </pic:nvPicPr>
                  <pic:blipFill>
                    <a:blip r:embed="rId27"/>
                    <a:stretch>
                      <a:fillRect/>
                    </a:stretch>
                  </pic:blipFill>
                  <pic:spPr>
                    <a:xfrm>
                      <a:off x="0" y="0"/>
                      <a:ext cx="2640381" cy="2482409"/>
                    </a:xfrm>
                    <a:prstGeom prst="rect">
                      <a:avLst/>
                    </a:prstGeom>
                  </pic:spPr>
                </pic:pic>
              </a:graphicData>
            </a:graphic>
          </wp:inline>
        </w:drawing>
      </w:r>
    </w:p>
    <w:p w14:paraId="4D215FF7" w14:textId="77777777" w:rsidR="00AB238E" w:rsidRPr="00705903" w:rsidRDefault="00AB238E" w:rsidP="0097761F">
      <w:pPr>
        <w:spacing w:line="276" w:lineRule="auto"/>
        <w:ind w:firstLine="0"/>
        <w:jc w:val="both"/>
        <w:rPr>
          <w:sz w:val="20"/>
          <w:szCs w:val="20"/>
          <w:lang w:val="en-US" w:eastAsia="zh-CN"/>
        </w:rPr>
      </w:pPr>
    </w:p>
    <w:p w14:paraId="146B61C5" w14:textId="77777777" w:rsidR="00AB238E" w:rsidRPr="00705903" w:rsidRDefault="00AB238E" w:rsidP="0097761F">
      <w:pPr>
        <w:spacing w:line="276" w:lineRule="auto"/>
        <w:ind w:firstLine="0"/>
        <w:jc w:val="both"/>
        <w:rPr>
          <w:sz w:val="20"/>
          <w:szCs w:val="20"/>
          <w:lang w:val="en-US" w:eastAsia="zh-CN"/>
        </w:rPr>
      </w:pPr>
    </w:p>
    <w:p w14:paraId="769290A4" w14:textId="77777777" w:rsidR="00AB238E" w:rsidRPr="00705903" w:rsidRDefault="00AB238E" w:rsidP="0097761F">
      <w:pPr>
        <w:spacing w:after="160" w:line="259" w:lineRule="auto"/>
        <w:ind w:firstLine="0"/>
        <w:jc w:val="both"/>
        <w:rPr>
          <w:sz w:val="20"/>
          <w:szCs w:val="20"/>
          <w:lang w:val="en-US" w:eastAsia="zh-CN"/>
        </w:rPr>
      </w:pPr>
      <w:r w:rsidRPr="00705903">
        <w:rPr>
          <w:sz w:val="20"/>
          <w:szCs w:val="20"/>
          <w:lang w:val="en-US" w:eastAsia="zh-CN"/>
        </w:rPr>
        <w:br w:type="page"/>
      </w:r>
    </w:p>
    <w:p w14:paraId="6FC3C7C1" w14:textId="77777777" w:rsidR="00AB238E" w:rsidRPr="00705903" w:rsidRDefault="00AB238E" w:rsidP="0097761F">
      <w:pPr>
        <w:pStyle w:val="Heading1"/>
      </w:pPr>
      <w:r w:rsidRPr="00705903">
        <w:t xml:space="preserve">Figure 13. Data Availability Comparison: </w:t>
      </w:r>
      <w:proofErr w:type="gramStart"/>
      <w:r w:rsidRPr="00705903">
        <w:t>Firms With vs</w:t>
      </w:r>
      <w:proofErr w:type="gramEnd"/>
      <w:r w:rsidRPr="00705903">
        <w:t xml:space="preserve"> Without ESG Ratings</w:t>
      </w:r>
    </w:p>
    <w:p w14:paraId="44D331C5" w14:textId="77777777" w:rsidR="00AB238E" w:rsidRPr="00705903" w:rsidRDefault="00AB238E" w:rsidP="0097761F">
      <w:pPr>
        <w:spacing w:line="276" w:lineRule="auto"/>
        <w:ind w:firstLine="0"/>
        <w:jc w:val="both"/>
        <w:rPr>
          <w:sz w:val="20"/>
          <w:szCs w:val="20"/>
          <w:lang w:val="en-US" w:eastAsia="zh-CN"/>
        </w:rPr>
      </w:pPr>
    </w:p>
    <w:p w14:paraId="752939BD"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This figure presents the proportion of missing data for key financial variables, stratified by ESG rating coverage. The results reveal a stark disparity in data completeness between the two groups. Firms without ESG ratings exhibit near-total data absence, with 100% missing rates across all three financial metrics—market capitalization, price-to-book ratio, and daily returns. In contrast, firms covered by ESG ratings maintain high data integrity, with missing rates of only 2.2% for market capitalization and daily returns, and 36.3% for price-to-book ratios. This systematic pattern indicates that the absence of ESG ratings serves as a strong proxy for overall data unavailability, suggesting that non-ESG-rated firms either represent non-operational entities, have delisted status, or maintain minimal public disclosure. These findings underscore the presence of significant selection bias in ESG data coverage and highlight the importance of accounting for such systematic differences in empirical research.</w:t>
      </w:r>
    </w:p>
    <w:p w14:paraId="49990C6F" w14:textId="77777777" w:rsidR="00AB238E" w:rsidRDefault="00AB238E" w:rsidP="0097761F">
      <w:pPr>
        <w:spacing w:line="276" w:lineRule="auto"/>
        <w:ind w:firstLine="0"/>
        <w:jc w:val="both"/>
        <w:rPr>
          <w:sz w:val="20"/>
          <w:szCs w:val="20"/>
          <w:lang w:val="en-US" w:eastAsia="zh-CN"/>
        </w:rPr>
      </w:pPr>
    </w:p>
    <w:p w14:paraId="0F7ED312" w14:textId="6921E869" w:rsidR="00AB238E" w:rsidRPr="00705903" w:rsidRDefault="009968BE" w:rsidP="00775A76">
      <w:pPr>
        <w:spacing w:line="276" w:lineRule="auto"/>
        <w:ind w:firstLine="0"/>
        <w:jc w:val="center"/>
        <w:rPr>
          <w:sz w:val="20"/>
          <w:szCs w:val="20"/>
          <w:lang w:val="en-US" w:eastAsia="zh-CN"/>
        </w:rPr>
      </w:pPr>
      <w:r w:rsidRPr="009968BE">
        <w:rPr>
          <w:b/>
          <w:bCs/>
          <w:sz w:val="18"/>
          <w:szCs w:val="18"/>
          <w:lang w:val="en-US" w:eastAsia="zh-CN"/>
        </w:rPr>
        <w:t>Data Availability Comparison: Firms With vs Without ESG Ratings</w:t>
      </w:r>
      <w:r w:rsidRPr="009968BE">
        <w:rPr>
          <w:sz w:val="18"/>
          <w:szCs w:val="18"/>
          <w:lang w:val="en-US" w:eastAsia="zh-CN"/>
        </w:rPr>
        <w:t xml:space="preserve"> </w:t>
      </w:r>
      <w:r w:rsidR="00AB238E" w:rsidRPr="00705903">
        <w:rPr>
          <w:noProof/>
          <w:sz w:val="20"/>
          <w:szCs w:val="20"/>
          <w:lang w:val="en-US" w:eastAsia="zh-CN"/>
        </w:rPr>
        <w:drawing>
          <wp:inline distT="0" distB="0" distL="0" distR="0" wp14:anchorId="64C6296C" wp14:editId="51B6AAB0">
            <wp:extent cx="5699726" cy="2561515"/>
            <wp:effectExtent l="0" t="0" r="0" b="0"/>
            <wp:docPr id="747430207"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30207" name="Picture 1" descr="A graph of a bar chart&#10;&#10;AI-generated content may be incorrect."/>
                    <pic:cNvPicPr/>
                  </pic:nvPicPr>
                  <pic:blipFill rotWithShape="1">
                    <a:blip r:embed="rId28"/>
                    <a:srcRect t="5684"/>
                    <a:stretch>
                      <a:fillRect/>
                    </a:stretch>
                  </pic:blipFill>
                  <pic:spPr bwMode="auto">
                    <a:xfrm>
                      <a:off x="0" y="0"/>
                      <a:ext cx="5705856" cy="2564270"/>
                    </a:xfrm>
                    <a:prstGeom prst="rect">
                      <a:avLst/>
                    </a:prstGeom>
                    <a:ln>
                      <a:noFill/>
                    </a:ln>
                    <a:extLst>
                      <a:ext uri="{53640926-AAD7-44D8-BBD7-CCE9431645EC}">
                        <a14:shadowObscured xmlns:a14="http://schemas.microsoft.com/office/drawing/2010/main"/>
                      </a:ext>
                    </a:extLst>
                  </pic:spPr>
                </pic:pic>
              </a:graphicData>
            </a:graphic>
          </wp:inline>
        </w:drawing>
      </w:r>
    </w:p>
    <w:p w14:paraId="0F741DBA" w14:textId="77777777" w:rsidR="00AB238E" w:rsidRPr="00705903" w:rsidRDefault="00AB238E" w:rsidP="0097761F">
      <w:pPr>
        <w:spacing w:after="160" w:line="259" w:lineRule="auto"/>
        <w:ind w:firstLine="0"/>
        <w:jc w:val="both"/>
        <w:rPr>
          <w:sz w:val="20"/>
          <w:szCs w:val="20"/>
          <w:lang w:eastAsia="zh-CN"/>
        </w:rPr>
      </w:pPr>
      <w:r w:rsidRPr="00705903">
        <w:rPr>
          <w:sz w:val="20"/>
          <w:szCs w:val="20"/>
          <w:lang w:eastAsia="zh-CN"/>
        </w:rPr>
        <w:br w:type="page"/>
      </w:r>
    </w:p>
    <w:p w14:paraId="74A52748" w14:textId="77777777" w:rsidR="00AB238E" w:rsidRPr="00705903" w:rsidRDefault="00AB238E" w:rsidP="0097761F">
      <w:pPr>
        <w:pStyle w:val="Heading1"/>
      </w:pPr>
      <w:r w:rsidRPr="00705903">
        <w:t xml:space="preserve">Figure 14. </w:t>
      </w:r>
      <w:bookmarkStart w:id="18" w:name="_Hlk215449547"/>
      <w:r w:rsidRPr="00705903">
        <w:t>Annual and Cumulative Returns of High–Low (D1−D5) Portfolios, 2007–2022</w:t>
      </w:r>
      <w:bookmarkEnd w:id="18"/>
    </w:p>
    <w:p w14:paraId="7EE0F6A1" w14:textId="77777777" w:rsidR="00AB238E" w:rsidRPr="00705903" w:rsidRDefault="00AB238E" w:rsidP="0097761F">
      <w:pPr>
        <w:spacing w:line="276" w:lineRule="auto"/>
        <w:ind w:firstLine="0"/>
        <w:jc w:val="both"/>
        <w:rPr>
          <w:sz w:val="20"/>
          <w:szCs w:val="20"/>
          <w:lang w:eastAsia="zh-CN"/>
        </w:rPr>
      </w:pPr>
    </w:p>
    <w:p w14:paraId="176279E6" w14:textId="77777777" w:rsidR="00AB238E" w:rsidRPr="00705903" w:rsidRDefault="00AB238E" w:rsidP="0097761F">
      <w:pPr>
        <w:spacing w:line="276" w:lineRule="auto"/>
        <w:ind w:firstLine="0"/>
        <w:jc w:val="both"/>
        <w:rPr>
          <w:sz w:val="20"/>
          <w:szCs w:val="20"/>
          <w:lang w:val="en-US" w:eastAsia="zh-CN"/>
        </w:rPr>
      </w:pPr>
      <w:r w:rsidRPr="00705903">
        <w:rPr>
          <w:sz w:val="20"/>
          <w:szCs w:val="20"/>
          <w:lang w:eastAsia="zh-CN"/>
        </w:rPr>
        <w:t>Panel A plots annual excess returns (D1–D5) of ESG and its three sub-pillars (E, S, G). Positive values indicate that firms with higher ESG scores outperform low-ESG firms in that year. Panel B shows cumulative returns from annually compounded High–Low portfolios. The results reveal that governance (G) and environmental (E) dimensions exhibit persistent underperformance, while social (S) returns fluctuate around zero, suggesting heterogeneous and time-varying ESG premiums.</w:t>
      </w:r>
    </w:p>
    <w:p w14:paraId="37EB2653" w14:textId="77777777" w:rsidR="00AB238E" w:rsidRPr="00705903" w:rsidRDefault="00AB238E" w:rsidP="0097761F">
      <w:pPr>
        <w:spacing w:line="276" w:lineRule="auto"/>
        <w:ind w:firstLine="0"/>
        <w:jc w:val="both"/>
        <w:rPr>
          <w:sz w:val="20"/>
          <w:szCs w:val="20"/>
          <w:lang w:val="en-US" w:eastAsia="zh-CN"/>
        </w:rPr>
      </w:pPr>
    </w:p>
    <w:p w14:paraId="7977B339" w14:textId="77777777" w:rsidR="00854C2B" w:rsidRDefault="00854C2B" w:rsidP="00775A76">
      <w:pPr>
        <w:spacing w:line="276" w:lineRule="auto"/>
        <w:ind w:firstLine="0"/>
        <w:jc w:val="center"/>
        <w:rPr>
          <w:b/>
          <w:bCs/>
          <w:sz w:val="18"/>
          <w:szCs w:val="18"/>
          <w:lang w:val="en-US" w:eastAsia="zh-CN"/>
        </w:rPr>
      </w:pPr>
      <w:r w:rsidRPr="00854C2B">
        <w:rPr>
          <w:b/>
          <w:bCs/>
          <w:sz w:val="18"/>
          <w:szCs w:val="18"/>
          <w:lang w:val="en-US" w:eastAsia="zh-CN"/>
        </w:rPr>
        <w:t>Annual and Cumulative Returns of High–Low (D1−D5) Portfolios, 2007–2022</w:t>
      </w:r>
    </w:p>
    <w:p w14:paraId="09AE528B" w14:textId="48B8ED62" w:rsidR="00775A76" w:rsidRPr="00775A76" w:rsidRDefault="00775A76" w:rsidP="00775A76">
      <w:pPr>
        <w:spacing w:line="276" w:lineRule="auto"/>
        <w:ind w:firstLine="0"/>
        <w:jc w:val="center"/>
        <w:rPr>
          <w:b/>
          <w:bCs/>
          <w:sz w:val="18"/>
          <w:szCs w:val="18"/>
          <w:lang w:val="en-US" w:eastAsia="zh-CN"/>
        </w:rPr>
      </w:pPr>
      <w:r w:rsidRPr="00775A76">
        <w:rPr>
          <w:rFonts w:hint="eastAsia"/>
          <w:b/>
          <w:bCs/>
          <w:sz w:val="18"/>
          <w:szCs w:val="18"/>
          <w:lang w:val="en-US" w:eastAsia="zh-CN"/>
        </w:rPr>
        <w:t>Panel A. Annual Returns of High-Low (D1-D5) Portfolios</w:t>
      </w:r>
    </w:p>
    <w:p w14:paraId="112959F9" w14:textId="77777777" w:rsidR="00AB238E" w:rsidRPr="00775A76" w:rsidRDefault="00AB238E" w:rsidP="00775A76">
      <w:pPr>
        <w:spacing w:line="276" w:lineRule="auto"/>
        <w:ind w:firstLine="0"/>
        <w:jc w:val="center"/>
        <w:rPr>
          <w:sz w:val="18"/>
          <w:szCs w:val="18"/>
          <w:lang w:val="en-US" w:eastAsia="zh-CN"/>
        </w:rPr>
      </w:pPr>
      <w:r w:rsidRPr="00775A76">
        <w:rPr>
          <w:noProof/>
          <w:sz w:val="18"/>
          <w:szCs w:val="18"/>
          <w:lang w:val="en-US" w:eastAsia="zh-CN"/>
        </w:rPr>
        <w:drawing>
          <wp:inline distT="0" distB="0" distL="0" distR="0" wp14:anchorId="488AAC87" wp14:editId="500152AB">
            <wp:extent cx="4887311" cy="2170085"/>
            <wp:effectExtent l="0" t="0" r="8890" b="1905"/>
            <wp:docPr id="1378268679" name="Picture 1" descr="A graph of 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68679" name="Picture 1" descr="A graph of a graph of a stock market&#10;&#10;AI-generated content may be incorrect."/>
                    <pic:cNvPicPr/>
                  </pic:nvPicPr>
                  <pic:blipFill rotWithShape="1">
                    <a:blip r:embed="rId29"/>
                    <a:srcRect t="3101" b="51797"/>
                    <a:stretch>
                      <a:fillRect/>
                    </a:stretch>
                  </pic:blipFill>
                  <pic:spPr bwMode="auto">
                    <a:xfrm>
                      <a:off x="0" y="0"/>
                      <a:ext cx="4914928" cy="2182348"/>
                    </a:xfrm>
                    <a:prstGeom prst="rect">
                      <a:avLst/>
                    </a:prstGeom>
                    <a:ln>
                      <a:noFill/>
                    </a:ln>
                    <a:extLst>
                      <a:ext uri="{53640926-AAD7-44D8-BBD7-CCE9431645EC}">
                        <a14:shadowObscured xmlns:a14="http://schemas.microsoft.com/office/drawing/2010/main"/>
                      </a:ext>
                    </a:extLst>
                  </pic:spPr>
                </pic:pic>
              </a:graphicData>
            </a:graphic>
          </wp:inline>
        </w:drawing>
      </w:r>
    </w:p>
    <w:p w14:paraId="23F11214" w14:textId="1FB17EAA" w:rsidR="00775A76" w:rsidRPr="00775A76" w:rsidRDefault="00775A76" w:rsidP="00775A76">
      <w:pPr>
        <w:spacing w:line="276" w:lineRule="auto"/>
        <w:ind w:firstLine="0"/>
        <w:jc w:val="center"/>
        <w:rPr>
          <w:b/>
          <w:bCs/>
          <w:sz w:val="18"/>
          <w:szCs w:val="18"/>
          <w:lang w:val="en-US" w:eastAsia="zh-CN"/>
        </w:rPr>
      </w:pPr>
      <w:r w:rsidRPr="00775A76">
        <w:rPr>
          <w:rFonts w:hint="eastAsia"/>
          <w:b/>
          <w:bCs/>
          <w:sz w:val="18"/>
          <w:szCs w:val="18"/>
          <w:lang w:val="en-US" w:eastAsia="zh-CN"/>
        </w:rPr>
        <w:t>Panel B. Cumulative Returns of High-Low (D1-D5) Portfolios</w:t>
      </w:r>
    </w:p>
    <w:p w14:paraId="4CC563F8" w14:textId="4B98EF05" w:rsidR="00775A76" w:rsidRPr="00775A76" w:rsidRDefault="00775A76" w:rsidP="00775A76">
      <w:pPr>
        <w:spacing w:line="276" w:lineRule="auto"/>
        <w:ind w:firstLine="0"/>
        <w:jc w:val="center"/>
        <w:rPr>
          <w:sz w:val="18"/>
          <w:szCs w:val="18"/>
          <w:lang w:val="en-US" w:eastAsia="zh-CN"/>
        </w:rPr>
      </w:pPr>
      <w:r w:rsidRPr="00775A76">
        <w:rPr>
          <w:noProof/>
          <w:sz w:val="18"/>
          <w:szCs w:val="18"/>
          <w:lang w:val="en-US" w:eastAsia="zh-CN"/>
        </w:rPr>
        <w:drawing>
          <wp:inline distT="0" distB="0" distL="0" distR="0" wp14:anchorId="4516690F" wp14:editId="2F277CD0">
            <wp:extent cx="5013434" cy="2410188"/>
            <wp:effectExtent l="0" t="0" r="0" b="9525"/>
            <wp:docPr id="1455008810" name="Picture 1" descr="A graph of 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68679" name="Picture 1" descr="A graph of a graph of a stock market&#10;&#10;AI-generated content may be incorrect."/>
                    <pic:cNvPicPr/>
                  </pic:nvPicPr>
                  <pic:blipFill rotWithShape="1">
                    <a:blip r:embed="rId29"/>
                    <a:srcRect t="51169"/>
                    <a:stretch>
                      <a:fillRect/>
                    </a:stretch>
                  </pic:blipFill>
                  <pic:spPr bwMode="auto">
                    <a:xfrm>
                      <a:off x="0" y="0"/>
                      <a:ext cx="5049242" cy="2427403"/>
                    </a:xfrm>
                    <a:prstGeom prst="rect">
                      <a:avLst/>
                    </a:prstGeom>
                    <a:ln>
                      <a:noFill/>
                    </a:ln>
                    <a:extLst>
                      <a:ext uri="{53640926-AAD7-44D8-BBD7-CCE9431645EC}">
                        <a14:shadowObscured xmlns:a14="http://schemas.microsoft.com/office/drawing/2010/main"/>
                      </a:ext>
                    </a:extLst>
                  </pic:spPr>
                </pic:pic>
              </a:graphicData>
            </a:graphic>
          </wp:inline>
        </w:drawing>
      </w:r>
    </w:p>
    <w:p w14:paraId="7A6D6CC9" w14:textId="77777777" w:rsidR="00AB238E" w:rsidRPr="00705903" w:rsidRDefault="00AB238E" w:rsidP="0097761F">
      <w:pPr>
        <w:spacing w:line="276" w:lineRule="auto"/>
        <w:ind w:firstLine="0"/>
        <w:jc w:val="both"/>
        <w:rPr>
          <w:sz w:val="20"/>
          <w:szCs w:val="20"/>
          <w:lang w:val="en-US" w:eastAsia="zh-CN"/>
        </w:rPr>
      </w:pPr>
    </w:p>
    <w:p w14:paraId="52F35839" w14:textId="77777777" w:rsidR="00AB238E" w:rsidRPr="00705903" w:rsidRDefault="00AB238E" w:rsidP="0097761F">
      <w:pPr>
        <w:spacing w:line="276" w:lineRule="auto"/>
        <w:ind w:firstLine="0"/>
        <w:jc w:val="both"/>
        <w:rPr>
          <w:sz w:val="20"/>
          <w:szCs w:val="20"/>
          <w:lang w:val="en-US" w:eastAsia="zh-CN"/>
        </w:rPr>
      </w:pPr>
    </w:p>
    <w:p w14:paraId="5C8C70A0" w14:textId="77777777" w:rsidR="00AB238E" w:rsidRPr="00705903" w:rsidRDefault="00AB238E" w:rsidP="0097761F">
      <w:pPr>
        <w:spacing w:after="160" w:line="259" w:lineRule="auto"/>
        <w:ind w:firstLine="0"/>
        <w:jc w:val="both"/>
        <w:rPr>
          <w:b/>
          <w:bCs/>
          <w:szCs w:val="24"/>
          <w:lang w:val="en-US" w:eastAsia="zh-CN"/>
        </w:rPr>
      </w:pPr>
      <w:r w:rsidRPr="00705903">
        <w:br w:type="page"/>
      </w:r>
    </w:p>
    <w:p w14:paraId="12C995E0" w14:textId="00EA87C4" w:rsidR="00AB238E" w:rsidRPr="00705903" w:rsidRDefault="00AB238E" w:rsidP="0097761F">
      <w:pPr>
        <w:pStyle w:val="Heading1"/>
      </w:pPr>
      <w:r w:rsidRPr="00705903">
        <w:t xml:space="preserve">Figure 15. Annual </w:t>
      </w:r>
      <w:r w:rsidR="009968BE">
        <w:t>Volatility</w:t>
      </w:r>
      <w:r w:rsidR="009968BE">
        <w:rPr>
          <w:rFonts w:hint="eastAsia"/>
        </w:rPr>
        <w:t xml:space="preserve"> </w:t>
      </w:r>
      <w:r w:rsidRPr="00705903">
        <w:t xml:space="preserve">and </w:t>
      </w:r>
      <w:r w:rsidR="009968BE">
        <w:rPr>
          <w:rFonts w:hint="eastAsia"/>
        </w:rPr>
        <w:t>Sharp Ratio</w:t>
      </w:r>
      <w:r w:rsidRPr="00705903">
        <w:t xml:space="preserve"> of High–Low (D1−D5) Portfolios, 2007–2022</w:t>
      </w:r>
    </w:p>
    <w:p w14:paraId="5A876D7E" w14:textId="77777777" w:rsidR="00AB238E" w:rsidRPr="00705903" w:rsidRDefault="00AB238E" w:rsidP="0097761F">
      <w:pPr>
        <w:spacing w:line="276" w:lineRule="auto"/>
        <w:ind w:firstLine="0"/>
        <w:jc w:val="both"/>
        <w:rPr>
          <w:sz w:val="20"/>
          <w:szCs w:val="20"/>
          <w:lang w:val="en-US" w:eastAsia="zh-CN"/>
        </w:rPr>
      </w:pPr>
    </w:p>
    <w:p w14:paraId="188060AE"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 xml:space="preserve">Panel A plots the annual return volatility of High–Low (D1–D5) portfolios constructed from ESG and its three sub-pillars (Environmental E, Social S, and Governance G) between 2007 and 2022. The volatility levels capture the </w:t>
      </w:r>
      <w:proofErr w:type="gramStart"/>
      <w:r w:rsidRPr="00705903">
        <w:rPr>
          <w:sz w:val="20"/>
          <w:szCs w:val="20"/>
          <w:lang w:val="en-US" w:eastAsia="zh-CN"/>
        </w:rPr>
        <w:t>risk</w:t>
      </w:r>
      <w:proofErr w:type="gramEnd"/>
      <w:r w:rsidRPr="00705903">
        <w:rPr>
          <w:sz w:val="20"/>
          <w:szCs w:val="20"/>
          <w:lang w:val="en-US" w:eastAsia="zh-CN"/>
        </w:rPr>
        <w:t xml:space="preserve"> dispersion of excess returns between the highest- and lowest-rated firms within each dimension. While all series exhibit time-varying volatility, the Governance (G) factor displays consistently higher </w:t>
      </w:r>
      <w:proofErr w:type="gramStart"/>
      <w:r w:rsidRPr="00705903">
        <w:rPr>
          <w:sz w:val="20"/>
          <w:szCs w:val="20"/>
          <w:lang w:val="en-US" w:eastAsia="zh-CN"/>
        </w:rPr>
        <w:t>volatility—</w:t>
      </w:r>
      <w:proofErr w:type="gramEnd"/>
      <w:r w:rsidRPr="00705903">
        <w:rPr>
          <w:sz w:val="20"/>
          <w:szCs w:val="20"/>
          <w:lang w:val="en-US" w:eastAsia="zh-CN"/>
        </w:rPr>
        <w:t xml:space="preserve">particularly during 2013 and </w:t>
      </w:r>
      <w:proofErr w:type="gramStart"/>
      <w:r w:rsidRPr="00705903">
        <w:rPr>
          <w:sz w:val="20"/>
          <w:szCs w:val="20"/>
          <w:lang w:val="en-US" w:eastAsia="zh-CN"/>
        </w:rPr>
        <w:t>2021—</w:t>
      </w:r>
      <w:proofErr w:type="gramEnd"/>
      <w:r w:rsidRPr="00705903">
        <w:rPr>
          <w:sz w:val="20"/>
          <w:szCs w:val="20"/>
          <w:lang w:val="en-US" w:eastAsia="zh-CN"/>
        </w:rPr>
        <w:t>indicating that governance-related returns are more sensitive to market sentiment and structural shocks. In contrast, ESG-aggregate and E/S sub-portfolios show more moderate and stable volatility patterns.</w:t>
      </w:r>
    </w:p>
    <w:p w14:paraId="1009A7E4" w14:textId="77777777" w:rsidR="00AB238E" w:rsidRPr="00705903" w:rsidRDefault="00AB238E" w:rsidP="0097761F">
      <w:pPr>
        <w:spacing w:line="276" w:lineRule="auto"/>
        <w:ind w:firstLine="0"/>
        <w:jc w:val="both"/>
        <w:rPr>
          <w:sz w:val="20"/>
          <w:szCs w:val="20"/>
          <w:lang w:val="en-US" w:eastAsia="zh-CN"/>
        </w:rPr>
      </w:pPr>
    </w:p>
    <w:p w14:paraId="5D7A7D8A"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Panel B shows the corresponding annual Sharpe ratios (rₓ = 0), measuring risk-adjusted performance of High–Low portfolios. Across the sample period, Sharpe ratios fluctuate substantially, with multiple years of negative values, suggesting that high-rated ESG firms underperform low-rated ones after accounting for volatility. Notably, the G pillar demonstrates the lowest and most volatile Sharpe ratios, driven by its larger downside swings, whereas E and S pillars occasionally deliver short-term positive risk-adjusted gains (e.g., 2016–2018). Overall, the results reveal heterogeneous and time-varying ESG premiums, where the governance and environmental dimensions dominate downside risks while the social pillar contributes transient improvements in portfolio efficiency.</w:t>
      </w:r>
    </w:p>
    <w:p w14:paraId="3F2EFB50" w14:textId="77777777" w:rsidR="00AB238E" w:rsidRDefault="00AB238E" w:rsidP="0097761F">
      <w:pPr>
        <w:spacing w:line="276" w:lineRule="auto"/>
        <w:ind w:firstLine="0"/>
        <w:jc w:val="both"/>
        <w:rPr>
          <w:sz w:val="20"/>
          <w:szCs w:val="20"/>
          <w:lang w:val="en-US" w:eastAsia="zh-CN"/>
        </w:rPr>
      </w:pPr>
    </w:p>
    <w:p w14:paraId="2CDDA5B6" w14:textId="77777777" w:rsidR="00854C2B" w:rsidRDefault="00854C2B" w:rsidP="009968BE">
      <w:pPr>
        <w:spacing w:line="276" w:lineRule="auto"/>
        <w:ind w:firstLine="0"/>
        <w:jc w:val="center"/>
        <w:rPr>
          <w:b/>
          <w:bCs/>
          <w:sz w:val="18"/>
          <w:szCs w:val="18"/>
          <w:lang w:val="en-US" w:eastAsia="zh-CN"/>
        </w:rPr>
      </w:pPr>
      <w:r w:rsidRPr="00854C2B">
        <w:rPr>
          <w:b/>
          <w:bCs/>
          <w:sz w:val="18"/>
          <w:szCs w:val="18"/>
          <w:lang w:val="en-US" w:eastAsia="zh-CN"/>
        </w:rPr>
        <w:t>Annual Volatility and Sharp Ratio of High–Low (D1−D5) Portfolios, 2007–2022</w:t>
      </w:r>
    </w:p>
    <w:p w14:paraId="275B9F1C" w14:textId="461BA033" w:rsidR="009968BE" w:rsidRDefault="009968BE" w:rsidP="009968BE">
      <w:pPr>
        <w:spacing w:line="276" w:lineRule="auto"/>
        <w:ind w:firstLine="0"/>
        <w:jc w:val="center"/>
        <w:rPr>
          <w:b/>
          <w:bCs/>
          <w:sz w:val="18"/>
          <w:szCs w:val="18"/>
          <w:lang w:val="en-US" w:eastAsia="zh-CN"/>
        </w:rPr>
      </w:pPr>
      <w:r w:rsidRPr="00775A76">
        <w:rPr>
          <w:rFonts w:hint="eastAsia"/>
          <w:b/>
          <w:bCs/>
          <w:sz w:val="18"/>
          <w:szCs w:val="18"/>
          <w:lang w:val="en-US" w:eastAsia="zh-CN"/>
        </w:rPr>
        <w:t xml:space="preserve">Panel A. Annual </w:t>
      </w:r>
      <w:r>
        <w:rPr>
          <w:rFonts w:hint="eastAsia"/>
          <w:b/>
          <w:bCs/>
          <w:sz w:val="18"/>
          <w:szCs w:val="18"/>
          <w:lang w:val="en-US" w:eastAsia="zh-CN"/>
        </w:rPr>
        <w:t>Volatility</w:t>
      </w:r>
      <w:r w:rsidRPr="00775A76">
        <w:rPr>
          <w:rFonts w:hint="eastAsia"/>
          <w:b/>
          <w:bCs/>
          <w:sz w:val="18"/>
          <w:szCs w:val="18"/>
          <w:lang w:val="en-US" w:eastAsia="zh-CN"/>
        </w:rPr>
        <w:t xml:space="preserve"> of High-Low (D1-D5) Portfolios</w:t>
      </w:r>
    </w:p>
    <w:p w14:paraId="7311B6D2" w14:textId="099F881C" w:rsidR="009968BE" w:rsidRDefault="009968BE" w:rsidP="009968BE">
      <w:pPr>
        <w:spacing w:line="276" w:lineRule="auto"/>
        <w:ind w:firstLine="0"/>
        <w:jc w:val="center"/>
        <w:rPr>
          <w:b/>
          <w:bCs/>
          <w:sz w:val="18"/>
          <w:szCs w:val="18"/>
          <w:lang w:val="en-US" w:eastAsia="zh-CN"/>
        </w:rPr>
      </w:pPr>
      <w:r w:rsidRPr="00705903">
        <w:rPr>
          <w:noProof/>
          <w:sz w:val="20"/>
          <w:szCs w:val="20"/>
          <w:lang w:val="en-US" w:eastAsia="zh-CN"/>
        </w:rPr>
        <w:drawing>
          <wp:inline distT="0" distB="0" distL="0" distR="0" wp14:anchorId="48354A5A" wp14:editId="4C6F5E39">
            <wp:extent cx="4867910" cy="1961931"/>
            <wp:effectExtent l="0" t="0" r="0" b="635"/>
            <wp:docPr id="632476333" name="Picture 1"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53350" name="Picture 1" descr="A graph of different types of graphs&#10;&#10;AI-generated content may be incorrect."/>
                    <pic:cNvPicPr/>
                  </pic:nvPicPr>
                  <pic:blipFill rotWithShape="1">
                    <a:blip r:embed="rId30"/>
                    <a:srcRect t="2774" b="53285"/>
                    <a:stretch>
                      <a:fillRect/>
                    </a:stretch>
                  </pic:blipFill>
                  <pic:spPr bwMode="auto">
                    <a:xfrm>
                      <a:off x="0" y="0"/>
                      <a:ext cx="4875255" cy="1964891"/>
                    </a:xfrm>
                    <a:prstGeom prst="rect">
                      <a:avLst/>
                    </a:prstGeom>
                    <a:ln>
                      <a:noFill/>
                    </a:ln>
                    <a:extLst>
                      <a:ext uri="{53640926-AAD7-44D8-BBD7-CCE9431645EC}">
                        <a14:shadowObscured xmlns:a14="http://schemas.microsoft.com/office/drawing/2010/main"/>
                      </a:ext>
                    </a:extLst>
                  </pic:spPr>
                </pic:pic>
              </a:graphicData>
            </a:graphic>
          </wp:inline>
        </w:drawing>
      </w:r>
    </w:p>
    <w:p w14:paraId="4BF39007" w14:textId="4E2B0125" w:rsidR="009968BE" w:rsidRPr="009968BE" w:rsidRDefault="009968BE" w:rsidP="00854C2B">
      <w:pPr>
        <w:spacing w:line="276" w:lineRule="auto"/>
        <w:ind w:firstLine="0"/>
        <w:jc w:val="center"/>
        <w:rPr>
          <w:b/>
          <w:bCs/>
          <w:sz w:val="18"/>
          <w:szCs w:val="18"/>
          <w:lang w:val="en-US" w:eastAsia="zh-CN"/>
        </w:rPr>
      </w:pPr>
      <w:r w:rsidRPr="00775A76">
        <w:rPr>
          <w:rFonts w:hint="eastAsia"/>
          <w:b/>
          <w:bCs/>
          <w:sz w:val="18"/>
          <w:szCs w:val="18"/>
          <w:lang w:val="en-US" w:eastAsia="zh-CN"/>
        </w:rPr>
        <w:t xml:space="preserve">Panel </w:t>
      </w:r>
      <w:r>
        <w:rPr>
          <w:rFonts w:hint="eastAsia"/>
          <w:b/>
          <w:bCs/>
          <w:sz w:val="18"/>
          <w:szCs w:val="18"/>
          <w:lang w:val="en-US" w:eastAsia="zh-CN"/>
        </w:rPr>
        <w:t>B</w:t>
      </w:r>
      <w:r w:rsidRPr="00775A76">
        <w:rPr>
          <w:rFonts w:hint="eastAsia"/>
          <w:b/>
          <w:bCs/>
          <w:sz w:val="18"/>
          <w:szCs w:val="18"/>
          <w:lang w:val="en-US" w:eastAsia="zh-CN"/>
        </w:rPr>
        <w:t xml:space="preserve">. Annual </w:t>
      </w:r>
      <w:r>
        <w:rPr>
          <w:rFonts w:hint="eastAsia"/>
          <w:b/>
          <w:bCs/>
          <w:sz w:val="18"/>
          <w:szCs w:val="18"/>
          <w:lang w:val="en-US" w:eastAsia="zh-CN"/>
        </w:rPr>
        <w:t>Sharp Ratios</w:t>
      </w:r>
      <w:r w:rsidRPr="00775A76">
        <w:rPr>
          <w:rFonts w:hint="eastAsia"/>
          <w:b/>
          <w:bCs/>
          <w:sz w:val="18"/>
          <w:szCs w:val="18"/>
          <w:lang w:val="en-US" w:eastAsia="zh-CN"/>
        </w:rPr>
        <w:t xml:space="preserve"> of High-Low (D1-D5) Portfolios</w:t>
      </w:r>
      <w:r>
        <w:rPr>
          <w:rFonts w:hint="eastAsia"/>
          <w:b/>
          <w:bCs/>
          <w:sz w:val="18"/>
          <w:szCs w:val="18"/>
          <w:lang w:val="en-US" w:eastAsia="zh-CN"/>
        </w:rPr>
        <w:t xml:space="preserve"> </w:t>
      </w:r>
      <w:r w:rsidRPr="009968BE">
        <w:rPr>
          <w:b/>
          <w:bCs/>
          <w:sz w:val="18"/>
          <w:szCs w:val="18"/>
          <w:lang w:val="en-US" w:eastAsia="zh-CN"/>
        </w:rPr>
        <w:t>(rₓ = 0)</w:t>
      </w:r>
    </w:p>
    <w:p w14:paraId="086C0049" w14:textId="77777777" w:rsidR="00AB238E" w:rsidRPr="00705903" w:rsidRDefault="00AB238E" w:rsidP="00775A76">
      <w:pPr>
        <w:spacing w:line="276" w:lineRule="auto"/>
        <w:ind w:firstLine="0"/>
        <w:jc w:val="center"/>
      </w:pPr>
      <w:r w:rsidRPr="00705903">
        <w:rPr>
          <w:noProof/>
          <w:sz w:val="20"/>
          <w:szCs w:val="20"/>
          <w:lang w:val="en-US" w:eastAsia="zh-CN"/>
        </w:rPr>
        <w:drawing>
          <wp:inline distT="0" distB="0" distL="0" distR="0" wp14:anchorId="0AF94967" wp14:editId="79738367">
            <wp:extent cx="4868421" cy="2226945"/>
            <wp:effectExtent l="0" t="0" r="8890" b="1905"/>
            <wp:docPr id="1398453350" name="Picture 1"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53350" name="Picture 1" descr="A graph of different types of graphs&#10;&#10;AI-generated content may be incorrect."/>
                    <pic:cNvPicPr/>
                  </pic:nvPicPr>
                  <pic:blipFill rotWithShape="1">
                    <a:blip r:embed="rId30"/>
                    <a:srcRect t="50128"/>
                    <a:stretch>
                      <a:fillRect/>
                    </a:stretch>
                  </pic:blipFill>
                  <pic:spPr bwMode="auto">
                    <a:xfrm>
                      <a:off x="0" y="0"/>
                      <a:ext cx="4875255" cy="2230071"/>
                    </a:xfrm>
                    <a:prstGeom prst="rect">
                      <a:avLst/>
                    </a:prstGeom>
                    <a:ln>
                      <a:noFill/>
                    </a:ln>
                    <a:extLst>
                      <a:ext uri="{53640926-AAD7-44D8-BBD7-CCE9431645EC}">
                        <a14:shadowObscured xmlns:a14="http://schemas.microsoft.com/office/drawing/2010/main"/>
                      </a:ext>
                    </a:extLst>
                  </pic:spPr>
                </pic:pic>
              </a:graphicData>
            </a:graphic>
          </wp:inline>
        </w:drawing>
      </w:r>
    </w:p>
    <w:p w14:paraId="3253AA4A" w14:textId="77777777" w:rsidR="00AB238E" w:rsidRPr="00705903" w:rsidRDefault="00AB238E" w:rsidP="0097761F">
      <w:pPr>
        <w:spacing w:after="160" w:line="259" w:lineRule="auto"/>
        <w:ind w:firstLine="0"/>
        <w:jc w:val="both"/>
      </w:pPr>
      <w:r w:rsidRPr="00705903">
        <w:br w:type="page"/>
      </w:r>
    </w:p>
    <w:p w14:paraId="4EB8B472" w14:textId="77777777" w:rsidR="00AB238E" w:rsidRPr="00705903" w:rsidRDefault="00AB238E" w:rsidP="0097761F">
      <w:pPr>
        <w:pStyle w:val="Heading1"/>
        <w:rPr>
          <w:sz w:val="20"/>
          <w:szCs w:val="20"/>
        </w:rPr>
      </w:pPr>
      <w:r w:rsidRPr="00705903">
        <w:t>Figure 16. Annual Turnover of High–Low (D1−D5) Portfolios, 2007–2022</w:t>
      </w:r>
    </w:p>
    <w:p w14:paraId="1EEF51E8" w14:textId="77777777" w:rsidR="00AB238E" w:rsidRPr="00705903" w:rsidRDefault="00AB238E" w:rsidP="0097761F">
      <w:pPr>
        <w:spacing w:line="276" w:lineRule="auto"/>
        <w:ind w:firstLine="0"/>
        <w:jc w:val="both"/>
        <w:rPr>
          <w:sz w:val="20"/>
          <w:szCs w:val="20"/>
          <w:lang w:val="en-US" w:eastAsia="zh-CN"/>
        </w:rPr>
      </w:pPr>
    </w:p>
    <w:p w14:paraId="5E25F89D"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This figure plots the annual turnover ratios of High–Low (D1–D5) portfolios constructed for the overall ESG score and its three sub-pillars (Environmental E, Social S, and Governance G) from 2008 to 2022. Turnover ratio measures the fraction of portfolio constituents replaced each year when rebalancing the long–short portfolios. A higher turnover ratio indicates greater portfolio reallocation intensity, often implying higher transaction costs and lower implement ability.</w:t>
      </w:r>
    </w:p>
    <w:p w14:paraId="71BF75E0" w14:textId="77777777" w:rsidR="00AB238E" w:rsidRPr="00705903" w:rsidRDefault="00AB238E" w:rsidP="0097761F">
      <w:pPr>
        <w:spacing w:line="276" w:lineRule="auto"/>
        <w:ind w:firstLine="0"/>
        <w:jc w:val="both"/>
        <w:rPr>
          <w:sz w:val="20"/>
          <w:szCs w:val="20"/>
          <w:lang w:val="en-US" w:eastAsia="zh-CN"/>
        </w:rPr>
      </w:pPr>
    </w:p>
    <w:p w14:paraId="591A0038"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Among the four dimensions, the Governance (G) portfolio exhibits the highest and most volatile turnover, particularly after 2010, suggesting that governance-related firm characteristics change more frequently and are more sensitive to market sentiment. In contrast, the Environmental (E) portfolio maintains the lowest and most stable turnover, reflecting more persistent firm rankings in environmental scores. The Social (S) and aggregate ESG portfolios show moderate turnover dynamics over time, with slight increases during market stress periods such as 2020–2022. Overall, these patterns indicate heterogeneous portfolio stability across ESG pillars, consistent with the view that ESG components differ in persistence and information turnover.</w:t>
      </w:r>
    </w:p>
    <w:p w14:paraId="55874945" w14:textId="77777777" w:rsidR="00AB238E" w:rsidRPr="00705903" w:rsidRDefault="00AB238E" w:rsidP="0097761F">
      <w:pPr>
        <w:spacing w:line="276" w:lineRule="auto"/>
        <w:ind w:firstLine="0"/>
        <w:jc w:val="both"/>
        <w:rPr>
          <w:sz w:val="20"/>
          <w:szCs w:val="20"/>
          <w:lang w:val="en-US" w:eastAsia="zh-CN"/>
        </w:rPr>
      </w:pPr>
    </w:p>
    <w:p w14:paraId="4212CF9B" w14:textId="02F0C7EE" w:rsidR="00AB238E" w:rsidRPr="00775A76" w:rsidRDefault="00775A76" w:rsidP="00775A76">
      <w:pPr>
        <w:spacing w:line="276" w:lineRule="auto"/>
        <w:ind w:firstLine="0"/>
        <w:jc w:val="center"/>
        <w:rPr>
          <w:b/>
          <w:bCs/>
          <w:sz w:val="18"/>
          <w:szCs w:val="18"/>
          <w:lang w:val="en-US" w:eastAsia="zh-CN"/>
        </w:rPr>
      </w:pPr>
      <w:r>
        <w:rPr>
          <w:rFonts w:hint="eastAsia"/>
          <w:b/>
          <w:bCs/>
          <w:sz w:val="18"/>
          <w:szCs w:val="18"/>
          <w:lang w:val="en-US" w:eastAsia="zh-CN"/>
        </w:rPr>
        <w:t xml:space="preserve">                Turnover Ratios</w:t>
      </w:r>
      <w:r w:rsidRPr="00775A76">
        <w:rPr>
          <w:rFonts w:hint="eastAsia"/>
          <w:b/>
          <w:bCs/>
          <w:sz w:val="18"/>
          <w:szCs w:val="18"/>
          <w:lang w:val="en-US" w:eastAsia="zh-CN"/>
        </w:rPr>
        <w:t xml:space="preserve"> of High-Low (D1-D5) Portfolios</w:t>
      </w:r>
    </w:p>
    <w:p w14:paraId="66B34A98" w14:textId="77777777" w:rsidR="00AB238E" w:rsidRPr="00705903" w:rsidRDefault="00AB238E" w:rsidP="0097761F">
      <w:pPr>
        <w:spacing w:line="276" w:lineRule="auto"/>
        <w:ind w:firstLine="0"/>
        <w:jc w:val="both"/>
        <w:rPr>
          <w:sz w:val="20"/>
          <w:szCs w:val="20"/>
          <w:lang w:val="en-US" w:eastAsia="zh-CN"/>
        </w:rPr>
      </w:pPr>
      <w:r w:rsidRPr="00705903">
        <w:rPr>
          <w:noProof/>
          <w:sz w:val="20"/>
          <w:szCs w:val="20"/>
          <w:lang w:val="en-US" w:eastAsia="zh-CN"/>
        </w:rPr>
        <w:drawing>
          <wp:inline distT="0" distB="0" distL="0" distR="0" wp14:anchorId="4365D318" wp14:editId="37D87595">
            <wp:extent cx="5943600" cy="2646045"/>
            <wp:effectExtent l="0" t="0" r="0" b="1905"/>
            <wp:docPr id="806388950" name="Picture 1" descr="A graph of the number of high-low and low-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88950" name="Picture 1" descr="A graph of the number of high-low and low-low&#10;&#10;AI-generated content may be incorrect."/>
                    <pic:cNvPicPr/>
                  </pic:nvPicPr>
                  <pic:blipFill rotWithShape="1">
                    <a:blip r:embed="rId31"/>
                    <a:srcRect t="4141"/>
                    <a:stretch>
                      <a:fillRect/>
                    </a:stretch>
                  </pic:blipFill>
                  <pic:spPr bwMode="auto">
                    <a:xfrm>
                      <a:off x="0" y="0"/>
                      <a:ext cx="5943600" cy="2646045"/>
                    </a:xfrm>
                    <a:prstGeom prst="rect">
                      <a:avLst/>
                    </a:prstGeom>
                    <a:ln>
                      <a:noFill/>
                    </a:ln>
                    <a:extLst>
                      <a:ext uri="{53640926-AAD7-44D8-BBD7-CCE9431645EC}">
                        <a14:shadowObscured xmlns:a14="http://schemas.microsoft.com/office/drawing/2010/main"/>
                      </a:ext>
                    </a:extLst>
                  </pic:spPr>
                </pic:pic>
              </a:graphicData>
            </a:graphic>
          </wp:inline>
        </w:drawing>
      </w:r>
    </w:p>
    <w:p w14:paraId="07418888" w14:textId="77777777" w:rsidR="00AB238E" w:rsidRPr="00705903" w:rsidRDefault="00AB238E" w:rsidP="0097761F">
      <w:pPr>
        <w:spacing w:line="276" w:lineRule="auto"/>
        <w:ind w:firstLine="0"/>
        <w:jc w:val="both"/>
        <w:rPr>
          <w:sz w:val="20"/>
          <w:szCs w:val="20"/>
          <w:lang w:val="en-US" w:eastAsia="zh-CN"/>
        </w:rPr>
      </w:pPr>
    </w:p>
    <w:p w14:paraId="781F7EAD" w14:textId="77777777" w:rsidR="00AB238E" w:rsidRPr="00705903" w:rsidRDefault="00AB238E" w:rsidP="0097761F">
      <w:pPr>
        <w:spacing w:after="160" w:line="259" w:lineRule="auto"/>
        <w:ind w:firstLine="0"/>
        <w:jc w:val="both"/>
        <w:rPr>
          <w:sz w:val="20"/>
          <w:szCs w:val="20"/>
          <w:lang w:val="en-US" w:eastAsia="zh-CN"/>
        </w:rPr>
      </w:pPr>
      <w:r w:rsidRPr="00705903">
        <w:rPr>
          <w:sz w:val="20"/>
          <w:szCs w:val="20"/>
          <w:lang w:val="en-US" w:eastAsia="zh-CN"/>
        </w:rPr>
        <w:br w:type="page"/>
      </w:r>
    </w:p>
    <w:p w14:paraId="6B4BB8AB" w14:textId="4468F4B1" w:rsidR="00AB238E" w:rsidRPr="00705903" w:rsidRDefault="00AB238E" w:rsidP="0097761F">
      <w:pPr>
        <w:pStyle w:val="Heading1"/>
      </w:pPr>
      <w:r w:rsidRPr="00705903">
        <w:t>Figure 16. Correlation Heatmaps between ESG and Fama–French Five Factors</w:t>
      </w:r>
    </w:p>
    <w:p w14:paraId="52F861D8" w14:textId="77777777" w:rsidR="00AB238E" w:rsidRPr="00705903" w:rsidRDefault="00AB238E" w:rsidP="0097761F">
      <w:pPr>
        <w:spacing w:line="276" w:lineRule="auto"/>
        <w:ind w:firstLine="0"/>
        <w:jc w:val="both"/>
        <w:rPr>
          <w:sz w:val="20"/>
          <w:szCs w:val="20"/>
          <w:lang w:val="en-US" w:eastAsia="zh-CN"/>
        </w:rPr>
      </w:pPr>
    </w:p>
    <w:p w14:paraId="1DCE80B3" w14:textId="77777777" w:rsidR="00AB238E" w:rsidRPr="00705903" w:rsidRDefault="00AB238E" w:rsidP="0097761F">
      <w:pPr>
        <w:spacing w:line="276" w:lineRule="auto"/>
        <w:ind w:firstLine="0"/>
        <w:jc w:val="both"/>
        <w:rPr>
          <w:sz w:val="20"/>
          <w:szCs w:val="20"/>
          <w:lang w:val="en-US" w:eastAsia="zh-CN"/>
        </w:rPr>
      </w:pPr>
      <w:r w:rsidRPr="00705903">
        <w:rPr>
          <w:sz w:val="20"/>
          <w:szCs w:val="20"/>
          <w:lang w:val="en-US" w:eastAsia="zh-CN"/>
        </w:rPr>
        <w:t>This figure illustrates the pairwise correlations between the constructed ESG-related High–Low (D10–D1) factor returns and the Fama–French five factors. Panel A shows the correlation of the overall ESG factor, while Panels B–D present the Environmental (E), Social (S), and Governance (G) sub-pillars, respectively.</w:t>
      </w:r>
    </w:p>
    <w:p w14:paraId="162C15B7" w14:textId="77777777" w:rsidR="00AB238E" w:rsidRPr="00705903" w:rsidRDefault="00AB238E" w:rsidP="0097761F">
      <w:pPr>
        <w:spacing w:line="276" w:lineRule="auto"/>
        <w:ind w:firstLine="0"/>
        <w:jc w:val="both"/>
        <w:rPr>
          <w:sz w:val="20"/>
          <w:szCs w:val="20"/>
          <w:lang w:val="en-US" w:eastAsia="zh-CN"/>
        </w:rPr>
      </w:pPr>
    </w:p>
    <w:p w14:paraId="1047DCF8" w14:textId="29C65740" w:rsidR="00AB238E" w:rsidRDefault="00AB238E" w:rsidP="0097761F">
      <w:pPr>
        <w:spacing w:line="276" w:lineRule="auto"/>
        <w:ind w:firstLine="0"/>
        <w:jc w:val="both"/>
        <w:rPr>
          <w:sz w:val="20"/>
          <w:szCs w:val="20"/>
          <w:lang w:eastAsia="zh-CN"/>
        </w:rPr>
      </w:pPr>
      <w:r w:rsidRPr="00705903">
        <w:rPr>
          <w:sz w:val="20"/>
          <w:szCs w:val="20"/>
          <w:lang w:val="en-US" w:eastAsia="zh-CN"/>
        </w:rPr>
        <w:t xml:space="preserve">Across all panels, ESG-related factors exhibit consistent patterns: high negative correlation with SMB (size), indicating that high-ESG portfolios tilt toward large-cap firms; and strong positive correlation with RMW (profitability), implying that ESG portfolios load heavily on profitable firms. Mild positive correlations with HML (value) suggest limited association with the value factor. Among all sub-pillars, the Governance (G) factor displays the largest correlations (|r| up to 0.63) with profitability and value, consistent with its stronger link to firm fundamentals. </w:t>
      </w:r>
      <w:r w:rsidRPr="00705903">
        <w:rPr>
          <w:sz w:val="20"/>
          <w:szCs w:val="20"/>
          <w:lang w:eastAsia="zh-CN"/>
        </w:rPr>
        <w:t>Darker shades represent stronger correlations (positive or negative). The heatmaps are based on value-weighted monthly High–Low portfolio returns from 2007 to 2022.</w:t>
      </w:r>
    </w:p>
    <w:p w14:paraId="1C8212B6" w14:textId="77777777" w:rsidR="009968BE" w:rsidRDefault="009968BE" w:rsidP="0097761F">
      <w:pPr>
        <w:spacing w:line="276" w:lineRule="auto"/>
        <w:ind w:firstLine="0"/>
        <w:jc w:val="both"/>
        <w:rPr>
          <w:sz w:val="20"/>
          <w:szCs w:val="20"/>
          <w:lang w:eastAsia="zh-CN"/>
        </w:rPr>
      </w:pPr>
    </w:p>
    <w:p w14:paraId="5B0E4CEB" w14:textId="48B984C1" w:rsidR="00AB238E" w:rsidRPr="00705903" w:rsidRDefault="009968BE" w:rsidP="00775A76">
      <w:pPr>
        <w:spacing w:line="276" w:lineRule="auto"/>
        <w:ind w:firstLine="0"/>
        <w:jc w:val="center"/>
        <w:rPr>
          <w:sz w:val="20"/>
          <w:szCs w:val="20"/>
          <w:lang w:val="en-US" w:eastAsia="zh-CN"/>
        </w:rPr>
      </w:pPr>
      <w:r w:rsidRPr="009968BE">
        <w:rPr>
          <w:b/>
          <w:bCs/>
          <w:sz w:val="18"/>
          <w:szCs w:val="18"/>
          <w:lang w:val="en-US" w:eastAsia="zh-CN"/>
        </w:rPr>
        <w:t xml:space="preserve">Correlation Heatmaps between ESG and Fama–French Five Factors </w:t>
      </w:r>
      <w:r w:rsidR="00AB238E" w:rsidRPr="00705903">
        <w:rPr>
          <w:noProof/>
          <w:sz w:val="20"/>
          <w:szCs w:val="20"/>
          <w:lang w:val="en-US" w:eastAsia="zh-CN"/>
        </w:rPr>
        <w:drawing>
          <wp:inline distT="0" distB="0" distL="0" distR="0" wp14:anchorId="6454450B" wp14:editId="656333C7">
            <wp:extent cx="5610225" cy="4883774"/>
            <wp:effectExtent l="0" t="0" r="0" b="0"/>
            <wp:docPr id="1995207252" name="Picture 1" descr="A group of squares with different shades of g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07252" name="Picture 1" descr="A group of squares with different shades of gray&#10;&#10;AI-generated content may be incorrect."/>
                    <pic:cNvPicPr/>
                  </pic:nvPicPr>
                  <pic:blipFill>
                    <a:blip r:embed="rId32"/>
                    <a:stretch>
                      <a:fillRect/>
                    </a:stretch>
                  </pic:blipFill>
                  <pic:spPr>
                    <a:xfrm>
                      <a:off x="0" y="0"/>
                      <a:ext cx="5619602" cy="4891937"/>
                    </a:xfrm>
                    <a:prstGeom prst="rect">
                      <a:avLst/>
                    </a:prstGeom>
                  </pic:spPr>
                </pic:pic>
              </a:graphicData>
            </a:graphic>
          </wp:inline>
        </w:drawing>
      </w:r>
    </w:p>
    <w:p w14:paraId="4EA9C470" w14:textId="77777777" w:rsidR="00AB238E" w:rsidRPr="00705903" w:rsidRDefault="00AB238E" w:rsidP="0097761F">
      <w:pPr>
        <w:spacing w:after="160" w:line="259" w:lineRule="auto"/>
        <w:ind w:firstLine="0"/>
        <w:jc w:val="both"/>
        <w:rPr>
          <w:sz w:val="20"/>
          <w:szCs w:val="20"/>
          <w:lang w:val="en-US" w:eastAsia="zh-CN"/>
        </w:rPr>
      </w:pPr>
      <w:r w:rsidRPr="00705903">
        <w:rPr>
          <w:sz w:val="20"/>
          <w:szCs w:val="20"/>
          <w:lang w:val="en-US" w:eastAsia="zh-CN"/>
        </w:rPr>
        <w:br w:type="page"/>
      </w:r>
    </w:p>
    <w:p w14:paraId="61E1DA32" w14:textId="77777777" w:rsidR="00AB238E" w:rsidRPr="00705903" w:rsidRDefault="00AB238E" w:rsidP="0097761F">
      <w:pPr>
        <w:pStyle w:val="Heading1"/>
      </w:pPr>
      <w:r w:rsidRPr="00705903">
        <w:t>Figure 17. ESG Event Distribution and Market Response</w:t>
      </w:r>
    </w:p>
    <w:p w14:paraId="307CA461" w14:textId="77777777" w:rsidR="00AB238E" w:rsidRPr="00705903" w:rsidRDefault="00AB238E" w:rsidP="0097761F">
      <w:pPr>
        <w:spacing w:line="259" w:lineRule="auto"/>
        <w:ind w:firstLine="0"/>
        <w:jc w:val="both"/>
        <w:rPr>
          <w:sz w:val="20"/>
          <w:szCs w:val="20"/>
          <w:lang w:val="en-US" w:eastAsia="zh-CN"/>
        </w:rPr>
      </w:pPr>
    </w:p>
    <w:p w14:paraId="76103E2B" w14:textId="29034CB2" w:rsidR="00AB238E" w:rsidRDefault="00AB238E" w:rsidP="0097761F">
      <w:pPr>
        <w:spacing w:line="259" w:lineRule="auto"/>
        <w:ind w:firstLine="0"/>
        <w:jc w:val="both"/>
        <w:rPr>
          <w:sz w:val="20"/>
          <w:szCs w:val="20"/>
          <w:lang w:val="en-US" w:eastAsia="zh-CN"/>
        </w:rPr>
      </w:pPr>
      <w:r w:rsidRPr="00705903">
        <w:rPr>
          <w:sz w:val="20"/>
          <w:szCs w:val="20"/>
          <w:lang w:val="en-US" w:eastAsia="zh-CN"/>
        </w:rPr>
        <w:t>Panel A reports the annual distribution of ESG-related events (upgrades, downgrades, and initiations) from 2007 to 2022. The steady rise in total counts indicates the rapid expansion of ESG coverage in China, particularly after 2018. Panel B presents the trend of ESG events by type. Upgrade events consistently exceed downgrades, reflecting continuous improvement in firms’ ESG performance. Initiations surge in 2010, 2016, and 2020, corresponding to key enhancements in ESG disclosure requirements. Panel C illustrates monthly portfolio returns around ESG events. Initiation events show the strongest and most volatile positive returns, implying higher information content. In contrast, upgrades and downgrades exhibit smaller, symmetric reactions, suggesting limited market sensitivity to incremental ESG score changes.</w:t>
      </w:r>
    </w:p>
    <w:p w14:paraId="360B7ED8" w14:textId="77777777" w:rsidR="009968BE" w:rsidRDefault="009968BE" w:rsidP="0097761F">
      <w:pPr>
        <w:spacing w:line="259" w:lineRule="auto"/>
        <w:ind w:firstLine="0"/>
        <w:jc w:val="both"/>
        <w:rPr>
          <w:sz w:val="20"/>
          <w:szCs w:val="20"/>
          <w:lang w:val="en-US" w:eastAsia="zh-CN"/>
        </w:rPr>
      </w:pPr>
    </w:p>
    <w:p w14:paraId="3AD21F21" w14:textId="2F5EDC76" w:rsidR="009968BE" w:rsidRPr="009968BE" w:rsidRDefault="009968BE" w:rsidP="009968BE">
      <w:pPr>
        <w:spacing w:line="259" w:lineRule="auto"/>
        <w:ind w:firstLine="0"/>
        <w:jc w:val="center"/>
        <w:rPr>
          <w:b/>
          <w:bCs/>
          <w:sz w:val="14"/>
          <w:szCs w:val="14"/>
          <w:lang w:val="en-US" w:eastAsia="zh-CN"/>
        </w:rPr>
      </w:pPr>
      <w:r w:rsidRPr="009968BE">
        <w:rPr>
          <w:b/>
          <w:bCs/>
          <w:sz w:val="18"/>
          <w:szCs w:val="16"/>
        </w:rPr>
        <w:t>ESG Event Distribution and Market Response</w:t>
      </w:r>
    </w:p>
    <w:p w14:paraId="474F8267" w14:textId="727006EA" w:rsidR="009968BE" w:rsidRDefault="00AB238E" w:rsidP="009968BE">
      <w:pPr>
        <w:spacing w:line="259" w:lineRule="auto"/>
        <w:ind w:firstLine="0"/>
        <w:jc w:val="center"/>
        <w:rPr>
          <w:sz w:val="20"/>
          <w:szCs w:val="20"/>
          <w:lang w:val="en-US" w:eastAsia="zh-CN"/>
        </w:rPr>
      </w:pPr>
      <w:r w:rsidRPr="00705903">
        <w:rPr>
          <w:noProof/>
          <w:sz w:val="20"/>
          <w:szCs w:val="20"/>
          <w:lang w:val="en-US" w:eastAsia="zh-CN"/>
        </w:rPr>
        <w:drawing>
          <wp:inline distT="0" distB="0" distL="0" distR="0" wp14:anchorId="1206A9A5" wp14:editId="01F07D64">
            <wp:extent cx="5472752" cy="5928813"/>
            <wp:effectExtent l="0" t="0" r="0" b="0"/>
            <wp:docPr id="653552617" name="Picture 3"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52617" name="Picture 3" descr="A graph of different sizes and shapes&#10;&#10;AI-generated content may be incorrec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215"/>
                    <a:stretch>
                      <a:fillRect/>
                    </a:stretch>
                  </pic:blipFill>
                  <pic:spPr bwMode="auto">
                    <a:xfrm>
                      <a:off x="0" y="0"/>
                      <a:ext cx="5475143" cy="5931403"/>
                    </a:xfrm>
                    <a:prstGeom prst="rect">
                      <a:avLst/>
                    </a:prstGeom>
                    <a:noFill/>
                    <a:ln>
                      <a:noFill/>
                    </a:ln>
                    <a:extLst>
                      <a:ext uri="{53640926-AAD7-44D8-BBD7-CCE9431645EC}">
                        <a14:shadowObscured xmlns:a14="http://schemas.microsoft.com/office/drawing/2010/main"/>
                      </a:ext>
                    </a:extLst>
                  </pic:spPr>
                </pic:pic>
              </a:graphicData>
            </a:graphic>
          </wp:inline>
        </w:drawing>
      </w:r>
    </w:p>
    <w:p w14:paraId="4EC63026" w14:textId="77777777" w:rsidR="009968BE" w:rsidRDefault="009968BE">
      <w:pPr>
        <w:spacing w:after="160" w:line="259" w:lineRule="auto"/>
        <w:ind w:firstLine="0"/>
        <w:rPr>
          <w:sz w:val="20"/>
          <w:szCs w:val="20"/>
          <w:lang w:val="en-US" w:eastAsia="zh-CN"/>
        </w:rPr>
      </w:pPr>
      <w:r>
        <w:rPr>
          <w:sz w:val="20"/>
          <w:szCs w:val="20"/>
          <w:lang w:val="en-US" w:eastAsia="zh-CN"/>
        </w:rPr>
        <w:br w:type="page"/>
      </w:r>
    </w:p>
    <w:p w14:paraId="3755D242" w14:textId="77777777" w:rsidR="00AB238E" w:rsidRPr="00705903" w:rsidRDefault="00AB238E" w:rsidP="009968BE">
      <w:pPr>
        <w:spacing w:line="259" w:lineRule="auto"/>
        <w:ind w:firstLine="0"/>
        <w:jc w:val="both"/>
        <w:rPr>
          <w:sz w:val="20"/>
          <w:szCs w:val="20"/>
          <w:lang w:val="en-US" w:eastAsia="zh-CN"/>
        </w:rPr>
      </w:pPr>
    </w:p>
    <w:p w14:paraId="504A72FF" w14:textId="77777777" w:rsidR="00AB238E" w:rsidRPr="00705903" w:rsidRDefault="00AB238E" w:rsidP="0097761F">
      <w:pPr>
        <w:pStyle w:val="Heading1"/>
      </w:pPr>
      <w:r w:rsidRPr="00705903">
        <w:t>Figure 18. Monthly Realized Volatility: ESG H–L Portfolio vs. Major Market Indices</w:t>
      </w:r>
    </w:p>
    <w:p w14:paraId="532A88B6" w14:textId="77777777" w:rsidR="00AB238E" w:rsidRPr="00705903" w:rsidRDefault="00AB238E" w:rsidP="0097761F">
      <w:pPr>
        <w:spacing w:line="259" w:lineRule="auto"/>
        <w:ind w:firstLine="0"/>
        <w:jc w:val="both"/>
        <w:rPr>
          <w:sz w:val="20"/>
          <w:szCs w:val="20"/>
          <w:lang w:eastAsia="zh-CN"/>
        </w:rPr>
      </w:pPr>
    </w:p>
    <w:p w14:paraId="21CB936C" w14:textId="77777777" w:rsidR="00AB238E" w:rsidRPr="00705903" w:rsidRDefault="00AB238E" w:rsidP="0097761F">
      <w:pPr>
        <w:spacing w:line="259" w:lineRule="auto"/>
        <w:ind w:firstLine="0"/>
        <w:jc w:val="both"/>
        <w:rPr>
          <w:sz w:val="20"/>
          <w:szCs w:val="20"/>
          <w:lang w:eastAsia="zh-CN"/>
        </w:rPr>
      </w:pPr>
      <w:r w:rsidRPr="00705903">
        <w:rPr>
          <w:sz w:val="20"/>
          <w:szCs w:val="20"/>
          <w:lang w:eastAsia="zh-CN"/>
        </w:rPr>
        <w:t>This figure plots the time-series of monthly realized volatility for the ESG high-minus-low (H–L) portfolio alongside three major Chinese stock indices—CSI 300, SSE Composite, and SZSE Component—from 2007 to 2022. The ESG H–L portfolio consistently exhibits lower volatility than the benchmark indices, indicating greater stability and weaker exposure to market-wide shocks. Volatility spikes observed during 2015–2016 and 2020 correspond to the stock market turbulence and the COVID-19 outbreak, respectively, but the ESG factor remained relatively resilient throughout these episodes, suggesting its defensive risk characteristics.</w:t>
      </w:r>
    </w:p>
    <w:p w14:paraId="19E35FE4" w14:textId="77777777" w:rsidR="00AB238E" w:rsidRDefault="00AB238E" w:rsidP="0097761F">
      <w:pPr>
        <w:spacing w:line="259" w:lineRule="auto"/>
        <w:ind w:firstLine="0"/>
        <w:jc w:val="both"/>
        <w:rPr>
          <w:sz w:val="20"/>
          <w:szCs w:val="20"/>
          <w:lang w:eastAsia="zh-CN"/>
        </w:rPr>
      </w:pPr>
    </w:p>
    <w:p w14:paraId="42E27682" w14:textId="10F9D1A0" w:rsidR="00AB238E" w:rsidRPr="00705903" w:rsidRDefault="009968BE" w:rsidP="009968BE">
      <w:pPr>
        <w:spacing w:line="259" w:lineRule="auto"/>
        <w:ind w:firstLine="0"/>
        <w:jc w:val="center"/>
        <w:rPr>
          <w:sz w:val="20"/>
          <w:szCs w:val="20"/>
          <w:lang w:eastAsia="zh-CN"/>
        </w:rPr>
      </w:pPr>
      <w:r w:rsidRPr="009968BE">
        <w:rPr>
          <w:b/>
          <w:bCs/>
          <w:sz w:val="18"/>
          <w:szCs w:val="16"/>
        </w:rPr>
        <w:t xml:space="preserve">Monthly Realized Volatility: ESG H–L Portfolio vs. Major Market Indices </w:t>
      </w:r>
      <w:r w:rsidR="00AB238E" w:rsidRPr="00705903">
        <w:rPr>
          <w:noProof/>
          <w:sz w:val="20"/>
          <w:szCs w:val="20"/>
          <w:lang w:eastAsia="zh-CN"/>
        </w:rPr>
        <w:drawing>
          <wp:inline distT="0" distB="0" distL="0" distR="0" wp14:anchorId="308F7146" wp14:editId="1FF78F1D">
            <wp:extent cx="5943600" cy="2778967"/>
            <wp:effectExtent l="0" t="0" r="0" b="2540"/>
            <wp:docPr id="214246130" name="Picture 1" descr="A graph showing the valu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6130" name="Picture 1" descr="A graph showing the value of a stock market&#10;&#10;AI-generated content may be incorrect."/>
                    <pic:cNvPicPr/>
                  </pic:nvPicPr>
                  <pic:blipFill rotWithShape="1">
                    <a:blip r:embed="rId34"/>
                    <a:srcRect t="4738"/>
                    <a:stretch>
                      <a:fillRect/>
                    </a:stretch>
                  </pic:blipFill>
                  <pic:spPr bwMode="auto">
                    <a:xfrm>
                      <a:off x="0" y="0"/>
                      <a:ext cx="5943600" cy="2778967"/>
                    </a:xfrm>
                    <a:prstGeom prst="rect">
                      <a:avLst/>
                    </a:prstGeom>
                    <a:ln>
                      <a:noFill/>
                    </a:ln>
                    <a:extLst>
                      <a:ext uri="{53640926-AAD7-44D8-BBD7-CCE9431645EC}">
                        <a14:shadowObscured xmlns:a14="http://schemas.microsoft.com/office/drawing/2010/main"/>
                      </a:ext>
                    </a:extLst>
                  </pic:spPr>
                </pic:pic>
              </a:graphicData>
            </a:graphic>
          </wp:inline>
        </w:drawing>
      </w:r>
    </w:p>
    <w:p w14:paraId="04E93A6A" w14:textId="77777777" w:rsidR="00AB238E" w:rsidRPr="00705903" w:rsidRDefault="00AB238E" w:rsidP="0097761F">
      <w:pPr>
        <w:spacing w:line="259" w:lineRule="auto"/>
        <w:ind w:firstLine="0"/>
        <w:jc w:val="both"/>
        <w:rPr>
          <w:sz w:val="20"/>
          <w:szCs w:val="20"/>
          <w:lang w:val="en-US" w:eastAsia="zh-CN"/>
        </w:rPr>
      </w:pPr>
    </w:p>
    <w:p w14:paraId="0272982E" w14:textId="77777777" w:rsidR="00AB238E" w:rsidRPr="00705903" w:rsidRDefault="00AB238E" w:rsidP="0097761F">
      <w:pPr>
        <w:spacing w:line="276" w:lineRule="auto"/>
        <w:ind w:firstLine="0"/>
        <w:jc w:val="both"/>
        <w:rPr>
          <w:sz w:val="20"/>
          <w:szCs w:val="20"/>
          <w:lang w:val="en-US" w:eastAsia="zh-CN"/>
        </w:rPr>
      </w:pPr>
    </w:p>
    <w:p w14:paraId="0144BB83" w14:textId="77777777" w:rsidR="00AB238E" w:rsidRPr="00705903" w:rsidRDefault="00AB238E" w:rsidP="0097761F">
      <w:pPr>
        <w:jc w:val="both"/>
      </w:pPr>
    </w:p>
    <w:p w14:paraId="57A85CE7" w14:textId="04D1E0F7" w:rsidR="00380C2F" w:rsidRPr="00705903" w:rsidRDefault="00380C2F" w:rsidP="0097761F">
      <w:pPr>
        <w:spacing w:after="160" w:line="259" w:lineRule="auto"/>
        <w:ind w:firstLine="0"/>
        <w:jc w:val="both"/>
        <w:rPr>
          <w:szCs w:val="24"/>
          <w:lang w:val="en-US" w:eastAsia="zh-CN"/>
        </w:rPr>
      </w:pPr>
      <w:r w:rsidRPr="00705903">
        <w:rPr>
          <w:szCs w:val="24"/>
          <w:lang w:val="en-US" w:eastAsia="zh-CN"/>
        </w:rPr>
        <w:br w:type="page"/>
      </w:r>
    </w:p>
    <w:p w14:paraId="02B01E54" w14:textId="049A6765" w:rsidR="003B5188" w:rsidRPr="00705903" w:rsidRDefault="00380C2F" w:rsidP="0097761F">
      <w:pPr>
        <w:pStyle w:val="Heading1"/>
      </w:pPr>
      <w:r w:rsidRPr="00705903">
        <w:t xml:space="preserve">Figure 19. </w:t>
      </w:r>
      <w:bookmarkStart w:id="19" w:name="_Hlk215449204"/>
      <w:r w:rsidRPr="00705903">
        <w:t>Heatmap of ESG Coverage by Industry and Year (2007–2022)</w:t>
      </w:r>
      <w:bookmarkEnd w:id="19"/>
    </w:p>
    <w:p w14:paraId="2CAED617" w14:textId="77777777" w:rsidR="00380C2F" w:rsidRPr="00705903" w:rsidRDefault="00380C2F" w:rsidP="0097761F">
      <w:pPr>
        <w:spacing w:line="240" w:lineRule="auto"/>
        <w:ind w:firstLine="0"/>
        <w:jc w:val="both"/>
        <w:rPr>
          <w:szCs w:val="24"/>
          <w:lang w:eastAsia="zh-CN"/>
        </w:rPr>
      </w:pPr>
    </w:p>
    <w:p w14:paraId="2A5EA1F2" w14:textId="0EEC70E9" w:rsidR="00380C2F" w:rsidRDefault="00380C2F" w:rsidP="0097761F">
      <w:pPr>
        <w:spacing w:line="240" w:lineRule="auto"/>
        <w:ind w:firstLine="0"/>
        <w:jc w:val="both"/>
        <w:rPr>
          <w:sz w:val="20"/>
          <w:szCs w:val="20"/>
          <w:lang w:eastAsia="zh-CN"/>
        </w:rPr>
      </w:pPr>
      <w:r w:rsidRPr="00705903">
        <w:rPr>
          <w:sz w:val="20"/>
          <w:szCs w:val="20"/>
          <w:lang w:eastAsia="zh-CN"/>
        </w:rPr>
        <w:t>This figure presents a heatmap of ESG coverage ratios for all listed firms across 11 industries from 2007 to 2022. Darker shades indicate higher coverage, with values normalized between 0 and 1. The figure illustrates a clear two-phase evolution: (</w:t>
      </w:r>
      <w:proofErr w:type="spellStart"/>
      <w:r w:rsidRPr="00705903">
        <w:rPr>
          <w:sz w:val="20"/>
          <w:szCs w:val="20"/>
          <w:lang w:eastAsia="zh-CN"/>
        </w:rPr>
        <w:t>i</w:t>
      </w:r>
      <w:proofErr w:type="spellEnd"/>
      <w:r w:rsidRPr="00705903">
        <w:rPr>
          <w:sz w:val="20"/>
          <w:szCs w:val="20"/>
          <w:lang w:eastAsia="zh-CN"/>
        </w:rPr>
        <w:t>) initial selective participation concentrated in energy-, resource-, and regulation-intensive sectors in the late 2000s, followed by (ii) rapid post-2015 diffusion across previously underrepresented industries, coinciding with the introduction of China’s Green Finance Guidelines and subsequent ESG disclosure reforms. By the early 2020s, ESG coverage converges across nearly all sectors, indicating the institutionalization of sustainability disclosure in China’s capital market.</w:t>
      </w:r>
    </w:p>
    <w:p w14:paraId="619E0CAD" w14:textId="77777777" w:rsidR="009968BE" w:rsidRPr="00705903" w:rsidRDefault="009968BE" w:rsidP="0097761F">
      <w:pPr>
        <w:spacing w:line="240" w:lineRule="auto"/>
        <w:ind w:firstLine="0"/>
        <w:jc w:val="both"/>
        <w:rPr>
          <w:sz w:val="20"/>
          <w:szCs w:val="20"/>
          <w:lang w:eastAsia="zh-CN"/>
        </w:rPr>
      </w:pPr>
    </w:p>
    <w:p w14:paraId="361ABD17" w14:textId="69983E15" w:rsidR="00380C2F" w:rsidRPr="009968BE" w:rsidRDefault="009968BE" w:rsidP="009968BE">
      <w:pPr>
        <w:spacing w:line="240" w:lineRule="auto"/>
        <w:ind w:firstLine="0"/>
        <w:jc w:val="center"/>
        <w:rPr>
          <w:b/>
          <w:bCs/>
          <w:sz w:val="18"/>
          <w:szCs w:val="18"/>
          <w:lang w:eastAsia="zh-CN"/>
        </w:rPr>
      </w:pPr>
      <w:r w:rsidRPr="009968BE">
        <w:rPr>
          <w:b/>
          <w:bCs/>
          <w:sz w:val="18"/>
          <w:szCs w:val="18"/>
          <w:lang w:eastAsia="zh-CN"/>
        </w:rPr>
        <w:t>Heatmap of ESG Coverage by Industry and Year (2007–2022)</w:t>
      </w:r>
    </w:p>
    <w:p w14:paraId="062DF327" w14:textId="571FB88D" w:rsidR="00380C2F" w:rsidRPr="00705903" w:rsidRDefault="00380C2F" w:rsidP="0097761F">
      <w:pPr>
        <w:spacing w:line="360" w:lineRule="auto"/>
        <w:ind w:firstLine="0"/>
        <w:jc w:val="both"/>
        <w:rPr>
          <w:szCs w:val="24"/>
          <w:lang w:val="en-US" w:eastAsia="zh-CN"/>
        </w:rPr>
      </w:pPr>
      <w:r w:rsidRPr="00705903">
        <w:rPr>
          <w:noProof/>
          <w:szCs w:val="24"/>
          <w:lang w:val="en-US" w:eastAsia="zh-CN"/>
        </w:rPr>
        <w:drawing>
          <wp:inline distT="0" distB="0" distL="0" distR="0" wp14:anchorId="76F7ECD5" wp14:editId="4C18F7D9">
            <wp:extent cx="5943600" cy="3040100"/>
            <wp:effectExtent l="0" t="0" r="0" b="8255"/>
            <wp:docPr id="2084661380" name="Picture 1" descr="A graph of graysca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61380" name="Picture 1" descr="A graph of grayscale squares&#10;&#10;AI-generated content may be incorrect."/>
                    <pic:cNvPicPr/>
                  </pic:nvPicPr>
                  <pic:blipFill rotWithShape="1">
                    <a:blip r:embed="rId35"/>
                    <a:srcRect t="3379"/>
                    <a:stretch>
                      <a:fillRect/>
                    </a:stretch>
                  </pic:blipFill>
                  <pic:spPr bwMode="auto">
                    <a:xfrm>
                      <a:off x="0" y="0"/>
                      <a:ext cx="5943600" cy="3040100"/>
                    </a:xfrm>
                    <a:prstGeom prst="rect">
                      <a:avLst/>
                    </a:prstGeom>
                    <a:ln>
                      <a:noFill/>
                    </a:ln>
                    <a:extLst>
                      <a:ext uri="{53640926-AAD7-44D8-BBD7-CCE9431645EC}">
                        <a14:shadowObscured xmlns:a14="http://schemas.microsoft.com/office/drawing/2010/main"/>
                      </a:ext>
                    </a:extLst>
                  </pic:spPr>
                </pic:pic>
              </a:graphicData>
            </a:graphic>
          </wp:inline>
        </w:drawing>
      </w:r>
    </w:p>
    <w:p w14:paraId="5D8A4C66" w14:textId="185498C6" w:rsidR="00A848C5" w:rsidRPr="00705903" w:rsidRDefault="00A848C5" w:rsidP="0097761F">
      <w:pPr>
        <w:spacing w:after="160" w:line="259" w:lineRule="auto"/>
        <w:ind w:firstLine="0"/>
        <w:jc w:val="both"/>
        <w:rPr>
          <w:szCs w:val="24"/>
          <w:lang w:val="en-US" w:eastAsia="zh-CN"/>
        </w:rPr>
      </w:pPr>
      <w:r w:rsidRPr="00705903">
        <w:rPr>
          <w:szCs w:val="24"/>
          <w:lang w:val="en-US" w:eastAsia="zh-CN"/>
        </w:rPr>
        <w:br w:type="page"/>
      </w:r>
    </w:p>
    <w:p w14:paraId="0075ADD0" w14:textId="1E49E087" w:rsidR="00380C2F" w:rsidRPr="00705903" w:rsidRDefault="00A848C5" w:rsidP="0097761F">
      <w:pPr>
        <w:pStyle w:val="Heading1"/>
      </w:pPr>
      <w:r w:rsidRPr="00705903">
        <w:t>Figure 20. Rolling 5-Year Average of ESG High-Low Returns</w:t>
      </w:r>
    </w:p>
    <w:p w14:paraId="501BE454" w14:textId="77777777" w:rsidR="00A848C5" w:rsidRPr="00705903" w:rsidRDefault="00A848C5" w:rsidP="0097761F">
      <w:pPr>
        <w:spacing w:line="360" w:lineRule="auto"/>
        <w:ind w:firstLine="0"/>
        <w:jc w:val="both"/>
        <w:rPr>
          <w:szCs w:val="24"/>
          <w:lang w:val="en-US" w:eastAsia="zh-CN"/>
        </w:rPr>
      </w:pPr>
    </w:p>
    <w:p w14:paraId="0CA8486C" w14:textId="057DB08C" w:rsidR="00A848C5" w:rsidRPr="00705903" w:rsidRDefault="00A848C5" w:rsidP="0097761F">
      <w:pPr>
        <w:spacing w:line="240" w:lineRule="auto"/>
        <w:ind w:firstLine="0"/>
        <w:jc w:val="both"/>
        <w:rPr>
          <w:sz w:val="20"/>
          <w:szCs w:val="20"/>
          <w:lang w:val="en-US" w:eastAsia="zh-CN"/>
        </w:rPr>
      </w:pPr>
      <w:r w:rsidRPr="00705903">
        <w:rPr>
          <w:sz w:val="20"/>
          <w:szCs w:val="20"/>
          <w:lang w:eastAsia="zh-CN"/>
        </w:rPr>
        <w:t xml:space="preserve">The figure plots the five-year rolling average of annual ESG High–Low (D1 – D5) factor returns. The pattern reveals pronounced time variation: negative values in the early 2010s, a strong rebound around the 2016–2020 green finance expansion, and a subsequent decline after 2021. The episodic </w:t>
      </w:r>
      <w:proofErr w:type="spellStart"/>
      <w:r w:rsidRPr="00705903">
        <w:rPr>
          <w:sz w:val="20"/>
          <w:szCs w:val="20"/>
          <w:lang w:eastAsia="zh-CN"/>
        </w:rPr>
        <w:t>behavior</w:t>
      </w:r>
      <w:proofErr w:type="spellEnd"/>
      <w:r w:rsidRPr="00705903">
        <w:rPr>
          <w:sz w:val="20"/>
          <w:szCs w:val="20"/>
          <w:lang w:eastAsia="zh-CN"/>
        </w:rPr>
        <w:t xml:space="preserve"> suggests that ESG-related return premia in China are regime-dependent and closely aligned with shifts in regulatory intensity and policy attention.</w:t>
      </w:r>
    </w:p>
    <w:p w14:paraId="47F9D0E4" w14:textId="77777777" w:rsidR="00705903" w:rsidRDefault="00705903" w:rsidP="0097761F">
      <w:pPr>
        <w:spacing w:line="240" w:lineRule="auto"/>
        <w:ind w:firstLine="0"/>
        <w:jc w:val="both"/>
        <w:rPr>
          <w:szCs w:val="24"/>
          <w:lang w:val="en-US" w:eastAsia="zh-CN"/>
        </w:rPr>
      </w:pPr>
    </w:p>
    <w:p w14:paraId="5AE2E944" w14:textId="4E1BCAD1" w:rsidR="009968BE" w:rsidRPr="009968BE" w:rsidRDefault="009968BE" w:rsidP="009968BE">
      <w:pPr>
        <w:spacing w:line="240" w:lineRule="auto"/>
        <w:ind w:firstLine="0"/>
        <w:jc w:val="center"/>
        <w:rPr>
          <w:b/>
          <w:bCs/>
          <w:sz w:val="18"/>
          <w:szCs w:val="18"/>
          <w:lang w:val="en-US" w:eastAsia="zh-CN"/>
        </w:rPr>
      </w:pPr>
      <w:r w:rsidRPr="009968BE">
        <w:rPr>
          <w:b/>
          <w:bCs/>
          <w:sz w:val="18"/>
          <w:szCs w:val="16"/>
        </w:rPr>
        <w:t>Rolling 5-Year Average of ESG High-Low Returns</w:t>
      </w:r>
    </w:p>
    <w:p w14:paraId="70D31A25" w14:textId="7701E49C" w:rsidR="00A848C5" w:rsidRPr="00705903" w:rsidRDefault="00A848C5" w:rsidP="0097761F">
      <w:pPr>
        <w:spacing w:line="240" w:lineRule="auto"/>
        <w:ind w:firstLine="0"/>
        <w:jc w:val="both"/>
        <w:rPr>
          <w:szCs w:val="24"/>
          <w:lang w:val="en-US" w:eastAsia="zh-CN"/>
        </w:rPr>
      </w:pPr>
      <w:r w:rsidRPr="00705903">
        <w:rPr>
          <w:noProof/>
          <w:szCs w:val="24"/>
          <w:lang w:val="en-US" w:eastAsia="zh-CN"/>
        </w:rPr>
        <w:drawing>
          <wp:inline distT="0" distB="0" distL="0" distR="0" wp14:anchorId="1EAC2DD5" wp14:editId="61EF4B1F">
            <wp:extent cx="5943600" cy="2732478"/>
            <wp:effectExtent l="0" t="0" r="0" b="0"/>
            <wp:docPr id="992716196"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16196" name="Picture 1" descr="A graph of a line graph&#10;&#10;AI-generated content may be incorrect."/>
                    <pic:cNvPicPr/>
                  </pic:nvPicPr>
                  <pic:blipFill rotWithShape="1">
                    <a:blip r:embed="rId36"/>
                    <a:srcRect t="7220"/>
                    <a:stretch>
                      <a:fillRect/>
                    </a:stretch>
                  </pic:blipFill>
                  <pic:spPr bwMode="auto">
                    <a:xfrm>
                      <a:off x="0" y="0"/>
                      <a:ext cx="5943600" cy="2732478"/>
                    </a:xfrm>
                    <a:prstGeom prst="rect">
                      <a:avLst/>
                    </a:prstGeom>
                    <a:ln>
                      <a:noFill/>
                    </a:ln>
                    <a:extLst>
                      <a:ext uri="{53640926-AAD7-44D8-BBD7-CCE9431645EC}">
                        <a14:shadowObscured xmlns:a14="http://schemas.microsoft.com/office/drawing/2010/main"/>
                      </a:ext>
                    </a:extLst>
                  </pic:spPr>
                </pic:pic>
              </a:graphicData>
            </a:graphic>
          </wp:inline>
        </w:drawing>
      </w:r>
    </w:p>
    <w:p w14:paraId="4E022BC5" w14:textId="77777777" w:rsidR="00D27FE8" w:rsidRPr="00705903" w:rsidRDefault="00D27FE8" w:rsidP="0097761F">
      <w:pPr>
        <w:spacing w:line="240" w:lineRule="auto"/>
        <w:ind w:firstLine="0"/>
        <w:jc w:val="both"/>
        <w:rPr>
          <w:szCs w:val="24"/>
          <w:lang w:val="en-US" w:eastAsia="zh-CN"/>
        </w:rPr>
      </w:pPr>
    </w:p>
    <w:p w14:paraId="31CB906E" w14:textId="77777777" w:rsidR="00D27FE8" w:rsidRPr="00705903" w:rsidRDefault="00D27FE8" w:rsidP="0097761F">
      <w:pPr>
        <w:spacing w:line="240" w:lineRule="auto"/>
        <w:ind w:firstLine="0"/>
        <w:jc w:val="both"/>
        <w:rPr>
          <w:szCs w:val="24"/>
          <w:lang w:val="en-US" w:eastAsia="zh-CN"/>
        </w:rPr>
      </w:pPr>
    </w:p>
    <w:p w14:paraId="1E793EF8" w14:textId="77777777" w:rsidR="00D27FE8" w:rsidRPr="00705903" w:rsidRDefault="00D27FE8" w:rsidP="0097761F">
      <w:pPr>
        <w:spacing w:line="240" w:lineRule="auto"/>
        <w:ind w:firstLine="0"/>
        <w:jc w:val="both"/>
        <w:rPr>
          <w:szCs w:val="24"/>
          <w:lang w:val="en-US" w:eastAsia="zh-CN"/>
        </w:rPr>
      </w:pPr>
    </w:p>
    <w:p w14:paraId="194CD871" w14:textId="34181CDA" w:rsidR="00D27FE8" w:rsidRPr="00705903" w:rsidRDefault="00D27FE8" w:rsidP="0097761F">
      <w:pPr>
        <w:spacing w:after="160" w:line="259" w:lineRule="auto"/>
        <w:ind w:firstLine="0"/>
        <w:jc w:val="both"/>
        <w:rPr>
          <w:szCs w:val="24"/>
          <w:lang w:val="en-US" w:eastAsia="zh-CN"/>
        </w:rPr>
      </w:pPr>
      <w:r w:rsidRPr="00705903">
        <w:rPr>
          <w:szCs w:val="24"/>
          <w:lang w:val="en-US" w:eastAsia="zh-CN"/>
        </w:rPr>
        <w:br w:type="page"/>
      </w:r>
    </w:p>
    <w:p w14:paraId="1C179AB5" w14:textId="0D9E9C40" w:rsidR="00D27FE8" w:rsidRPr="00705903" w:rsidRDefault="00D27FE8" w:rsidP="0097761F">
      <w:pPr>
        <w:pStyle w:val="Heading1"/>
      </w:pPr>
      <w:r w:rsidRPr="00705903">
        <w:t>Figure 21. 24-Month Rolling Alpha of the Social (S) Factor with COVID-19 Policy Timeline</w:t>
      </w:r>
    </w:p>
    <w:p w14:paraId="10AD4D97" w14:textId="77777777" w:rsidR="00D27FE8" w:rsidRPr="00705903" w:rsidRDefault="00D27FE8" w:rsidP="0097761F">
      <w:pPr>
        <w:spacing w:line="240" w:lineRule="auto"/>
        <w:ind w:firstLine="0"/>
        <w:jc w:val="both"/>
        <w:rPr>
          <w:szCs w:val="24"/>
          <w:lang w:val="en-US" w:eastAsia="zh-CN"/>
        </w:rPr>
      </w:pPr>
    </w:p>
    <w:p w14:paraId="3456F046" w14:textId="6F5AC3C3" w:rsidR="00D27FE8" w:rsidRPr="00705903" w:rsidRDefault="00D27FE8" w:rsidP="0097761F">
      <w:pPr>
        <w:spacing w:line="240" w:lineRule="auto"/>
        <w:ind w:firstLine="0"/>
        <w:jc w:val="both"/>
        <w:rPr>
          <w:sz w:val="20"/>
          <w:szCs w:val="20"/>
          <w:lang w:eastAsia="zh-CN"/>
        </w:rPr>
      </w:pPr>
      <w:r w:rsidRPr="00705903">
        <w:rPr>
          <w:sz w:val="20"/>
          <w:szCs w:val="20"/>
          <w:lang w:eastAsia="zh-CN"/>
        </w:rPr>
        <w:t>This figure plots the 24-month rolling alpha from Fama–French five-factor regressions for the Social (S) High–Low portfolio from 2017 to 2022, overlaid with key COVID-19 policy milestones—namely the outbreak (January 2020), emergency vaccine approval (July 2020), the beginning of the recovery phase (August 2020), the post-reopening transition (May 2021), and the termination of the Zero-COVID policy (December 2022). The rolling alpha turns sharply positive during the outbreak period, indicating a short-lived crisis-resilience premium for socially responsible firms. As the pandemic stabilizes, the rolling alpha declines and becomes negative in both the recovery and post-reopening phases, consistent with the regression results reported in figure. These dynamics illustrate the state-contingent and transitory nature of the S-factor premium—strengthening under acute macro uncertainty and reversing once market conditions normalize.</w:t>
      </w:r>
    </w:p>
    <w:p w14:paraId="770845A3" w14:textId="77777777" w:rsidR="00D27FE8" w:rsidRPr="00705903" w:rsidRDefault="00D27FE8" w:rsidP="0097761F">
      <w:pPr>
        <w:spacing w:line="240" w:lineRule="auto"/>
        <w:ind w:firstLine="0"/>
        <w:jc w:val="both"/>
        <w:rPr>
          <w:sz w:val="20"/>
          <w:szCs w:val="20"/>
          <w:lang w:eastAsia="zh-CN"/>
        </w:rPr>
      </w:pPr>
    </w:p>
    <w:p w14:paraId="0E8CA07D" w14:textId="5B67C861" w:rsidR="00D27FE8" w:rsidRPr="00705903" w:rsidRDefault="00D27FE8" w:rsidP="0097761F">
      <w:pPr>
        <w:spacing w:line="240" w:lineRule="auto"/>
        <w:ind w:firstLine="0"/>
        <w:jc w:val="both"/>
        <w:rPr>
          <w:sz w:val="20"/>
          <w:szCs w:val="20"/>
          <w:lang w:eastAsia="zh-CN"/>
        </w:rPr>
      </w:pPr>
      <w:r w:rsidRPr="00705903">
        <w:rPr>
          <w:sz w:val="20"/>
          <w:szCs w:val="20"/>
          <w:lang w:eastAsia="zh-CN"/>
        </w:rPr>
        <w:t>The Social (S) factor is plotted here because it is the only ESG pillar that exhibits a clear sign reversal across COVID-19 stages—positive alpha during the outbreak and negative alpha during the recovery and post-reopening phases—making it uniquely informative for visualizing the crisis-response dynamics documented in the regressions. Governance (G) and aggregate ESG factors show consistent underperformance across subperiods, and thus rolling-alpha plots provide limited additional interpretive value relative to the S-factor.</w:t>
      </w:r>
    </w:p>
    <w:p w14:paraId="2119DEB8" w14:textId="77777777" w:rsidR="00D27FE8" w:rsidRDefault="00D27FE8" w:rsidP="0097761F">
      <w:pPr>
        <w:spacing w:line="240" w:lineRule="auto"/>
        <w:ind w:firstLine="0"/>
        <w:jc w:val="both"/>
        <w:rPr>
          <w:szCs w:val="24"/>
          <w:lang w:val="en-US" w:eastAsia="zh-CN"/>
        </w:rPr>
      </w:pPr>
    </w:p>
    <w:p w14:paraId="01F206F1" w14:textId="302856E9" w:rsidR="00705903" w:rsidRPr="00705903" w:rsidRDefault="00705903" w:rsidP="00705903">
      <w:pPr>
        <w:spacing w:line="240" w:lineRule="auto"/>
        <w:ind w:firstLine="0"/>
        <w:jc w:val="center"/>
        <w:rPr>
          <w:b/>
          <w:bCs/>
          <w:sz w:val="18"/>
          <w:szCs w:val="18"/>
          <w:lang w:val="en-US" w:eastAsia="zh-CN"/>
        </w:rPr>
      </w:pPr>
      <w:r w:rsidRPr="00705903">
        <w:rPr>
          <w:rFonts w:hint="eastAsia"/>
          <w:b/>
          <w:bCs/>
          <w:sz w:val="18"/>
          <w:szCs w:val="18"/>
          <w:lang w:val="en-US" w:eastAsia="zh-CN"/>
        </w:rPr>
        <w:t>24-Month Rolling Alpha of Social (S) Factor with COVID-19 Policy Timeline</w:t>
      </w:r>
    </w:p>
    <w:p w14:paraId="2FC62440" w14:textId="7659C952" w:rsidR="00D27FE8" w:rsidRPr="00705903" w:rsidRDefault="00E24C7C" w:rsidP="0097761F">
      <w:pPr>
        <w:spacing w:line="240" w:lineRule="auto"/>
        <w:ind w:firstLine="0"/>
        <w:jc w:val="both"/>
        <w:rPr>
          <w:szCs w:val="24"/>
          <w:lang w:val="en-US" w:eastAsia="zh-CN"/>
        </w:rPr>
      </w:pPr>
      <w:r w:rsidRPr="00705903">
        <w:rPr>
          <w:noProof/>
          <w:szCs w:val="24"/>
          <w:lang w:val="en-US" w:eastAsia="zh-CN"/>
        </w:rPr>
        <w:drawing>
          <wp:inline distT="0" distB="0" distL="0" distR="0" wp14:anchorId="6D8D4CBE" wp14:editId="42F64021">
            <wp:extent cx="5943600" cy="2684073"/>
            <wp:effectExtent l="0" t="0" r="0" b="2540"/>
            <wp:docPr id="1238268439" name="Picture 1" descr="A graph showing the spread of coronavir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68439" name="Picture 1" descr="A graph showing the spread of coronavirus&#10;&#10;AI-generated content may be incorrect."/>
                    <pic:cNvPicPr/>
                  </pic:nvPicPr>
                  <pic:blipFill rotWithShape="1">
                    <a:blip r:embed="rId37"/>
                    <a:srcRect t="5755"/>
                    <a:stretch>
                      <a:fillRect/>
                    </a:stretch>
                  </pic:blipFill>
                  <pic:spPr bwMode="auto">
                    <a:xfrm>
                      <a:off x="0" y="0"/>
                      <a:ext cx="5943600" cy="2684073"/>
                    </a:xfrm>
                    <a:prstGeom prst="rect">
                      <a:avLst/>
                    </a:prstGeom>
                    <a:ln>
                      <a:noFill/>
                    </a:ln>
                    <a:extLst>
                      <a:ext uri="{53640926-AAD7-44D8-BBD7-CCE9431645EC}">
                        <a14:shadowObscured xmlns:a14="http://schemas.microsoft.com/office/drawing/2010/main"/>
                      </a:ext>
                    </a:extLst>
                  </pic:spPr>
                </pic:pic>
              </a:graphicData>
            </a:graphic>
          </wp:inline>
        </w:drawing>
      </w:r>
    </w:p>
    <w:p w14:paraId="0E785BC2" w14:textId="1CE8BEBB" w:rsidR="00D27FE8" w:rsidRPr="00705903" w:rsidRDefault="00D27FE8" w:rsidP="0097761F">
      <w:pPr>
        <w:spacing w:after="160" w:line="259" w:lineRule="auto"/>
        <w:ind w:firstLine="0"/>
        <w:jc w:val="both"/>
        <w:rPr>
          <w:szCs w:val="24"/>
          <w:lang w:val="en-US" w:eastAsia="zh-CN"/>
        </w:rPr>
      </w:pPr>
    </w:p>
    <w:p w14:paraId="493884B6" w14:textId="77777777" w:rsidR="00D27FE8" w:rsidRPr="00705903" w:rsidRDefault="00D27FE8" w:rsidP="0097761F">
      <w:pPr>
        <w:spacing w:line="240" w:lineRule="auto"/>
        <w:ind w:firstLine="0"/>
        <w:jc w:val="both"/>
        <w:rPr>
          <w:szCs w:val="24"/>
          <w:lang w:val="en-US" w:eastAsia="zh-CN"/>
        </w:rPr>
      </w:pPr>
    </w:p>
    <w:p w14:paraId="2266547A" w14:textId="091547B2" w:rsidR="00E24C7C" w:rsidRPr="00705903" w:rsidRDefault="00E24C7C" w:rsidP="0097761F">
      <w:pPr>
        <w:spacing w:after="160" w:line="259" w:lineRule="auto"/>
        <w:ind w:firstLine="0"/>
        <w:jc w:val="both"/>
        <w:rPr>
          <w:szCs w:val="24"/>
          <w:lang w:val="en-US" w:eastAsia="zh-CN"/>
        </w:rPr>
      </w:pPr>
      <w:r w:rsidRPr="00705903">
        <w:rPr>
          <w:szCs w:val="24"/>
          <w:lang w:val="en-US" w:eastAsia="zh-CN"/>
        </w:rPr>
        <w:br w:type="page"/>
      </w:r>
    </w:p>
    <w:p w14:paraId="10306AF5" w14:textId="3003C599" w:rsidR="00E24C7C" w:rsidRPr="00705903" w:rsidRDefault="00E24C7C" w:rsidP="0097761F">
      <w:pPr>
        <w:pStyle w:val="Heading1"/>
      </w:pPr>
      <w:r w:rsidRPr="00705903">
        <w:t>Figure 22. 24-Month Rolling Alpha of Governance (G) Factor with Policy &amp; Housing Cycle Timeline</w:t>
      </w:r>
    </w:p>
    <w:p w14:paraId="3C971E36" w14:textId="77777777" w:rsidR="00E24C7C" w:rsidRPr="00705903" w:rsidRDefault="00E24C7C" w:rsidP="0097761F">
      <w:pPr>
        <w:spacing w:line="240" w:lineRule="auto"/>
        <w:ind w:firstLine="0"/>
        <w:jc w:val="both"/>
        <w:rPr>
          <w:sz w:val="20"/>
          <w:szCs w:val="20"/>
          <w:lang w:val="en-US" w:eastAsia="zh-CN"/>
        </w:rPr>
      </w:pPr>
    </w:p>
    <w:p w14:paraId="17CA18A3" w14:textId="1BC0555A" w:rsidR="00E24C7C" w:rsidRPr="00705903" w:rsidRDefault="00E24C7C" w:rsidP="0097761F">
      <w:pPr>
        <w:spacing w:line="240" w:lineRule="auto"/>
        <w:ind w:firstLine="0"/>
        <w:jc w:val="both"/>
        <w:rPr>
          <w:sz w:val="20"/>
          <w:szCs w:val="20"/>
          <w:lang w:val="en-US" w:eastAsia="zh-CN"/>
        </w:rPr>
      </w:pPr>
      <w:r w:rsidRPr="00705903">
        <w:rPr>
          <w:sz w:val="20"/>
          <w:szCs w:val="20"/>
          <w:lang w:val="en-US" w:eastAsia="zh-CN"/>
        </w:rPr>
        <w:t>This figure plots the 24-month rolling alpha from Fama–French five-factor regressions for the Governance (G) High–Low portfolio between 2018 and 2023, overlaid with key policy and housing-market turning points, including the pre-crackdown baseline period (2018–2020), the implementation of the Three Red Lines leverage restriction (August 2020), the credit tightening associated with the Ant Group IPO suspension (late 2020–mid 2021), the first housing-market downturn (2021H2), the short-lived rebound in early 2022, and the renewed decline beginning in March 2022. Consistent with the regression results in Table 30, the rolling alpha is positive prior to the crackdown, turns sharply negative during the tightening phase, rebounds around the onset of the housing-price recovery, and declines again as credit conditions weaken. This nonmonotonic pattern indicates that the pricing of the G factor is highly sensitive to credit conditions and real estate capitalization dynamics, rather than to regulatory announcements alone.</w:t>
      </w:r>
    </w:p>
    <w:p w14:paraId="2C7C1A25" w14:textId="77777777" w:rsidR="00E24C7C" w:rsidRPr="00705903" w:rsidRDefault="00E24C7C" w:rsidP="0097761F">
      <w:pPr>
        <w:spacing w:line="240" w:lineRule="auto"/>
        <w:ind w:firstLine="0"/>
        <w:jc w:val="both"/>
        <w:rPr>
          <w:sz w:val="20"/>
          <w:szCs w:val="20"/>
          <w:lang w:val="en-US" w:eastAsia="zh-CN"/>
        </w:rPr>
      </w:pPr>
    </w:p>
    <w:p w14:paraId="5FA0537D" w14:textId="0C6EC028" w:rsidR="00E24C7C" w:rsidRPr="00705903" w:rsidRDefault="00E24C7C" w:rsidP="0097761F">
      <w:pPr>
        <w:spacing w:line="240" w:lineRule="auto"/>
        <w:ind w:firstLine="0"/>
        <w:jc w:val="both"/>
        <w:rPr>
          <w:sz w:val="20"/>
          <w:szCs w:val="20"/>
          <w:lang w:val="en-US" w:eastAsia="zh-CN"/>
        </w:rPr>
      </w:pPr>
      <w:r w:rsidRPr="00705903">
        <w:rPr>
          <w:sz w:val="20"/>
          <w:szCs w:val="20"/>
          <w:lang w:val="en-US" w:eastAsia="zh-CN"/>
        </w:rPr>
        <w:t xml:space="preserve">The Governance (G) factor is plotted here because it is uniquely concentrated in property developers and financial institutions and therefore is the only ESG pillar that exhibits clear cyclical responses to both policy tightening and housing-market conditions. Unlike the Environmental and Social pillars, whose returns display limited sensitivity to leverage-driven shocks, the G factor consistently prices sectoral liquidity risk: it underperforms during credit contractions and housing </w:t>
      </w:r>
      <w:proofErr w:type="gramStart"/>
      <w:r w:rsidRPr="00705903">
        <w:rPr>
          <w:sz w:val="20"/>
          <w:szCs w:val="20"/>
          <w:lang w:val="en-US" w:eastAsia="zh-CN"/>
        </w:rPr>
        <w:t>downturns, and</w:t>
      </w:r>
      <w:proofErr w:type="gramEnd"/>
      <w:r w:rsidRPr="00705903">
        <w:rPr>
          <w:sz w:val="20"/>
          <w:szCs w:val="20"/>
          <w:lang w:val="en-US" w:eastAsia="zh-CN"/>
        </w:rPr>
        <w:t xml:space="preserve"> temporarily rebounds during easing episodes. As such, the rolling-alpha pattern visualized here provides direct evidence for the leverage-sensitive and state-contingent nature of governance-related premia documented in the regression analyses.</w:t>
      </w:r>
    </w:p>
    <w:p w14:paraId="7FAD74BD" w14:textId="77777777" w:rsidR="00E24C7C" w:rsidRDefault="00E24C7C" w:rsidP="0097761F">
      <w:pPr>
        <w:spacing w:line="240" w:lineRule="auto"/>
        <w:ind w:firstLine="0"/>
        <w:jc w:val="both"/>
        <w:rPr>
          <w:sz w:val="20"/>
          <w:szCs w:val="20"/>
          <w:lang w:val="en-US" w:eastAsia="zh-CN"/>
        </w:rPr>
      </w:pPr>
    </w:p>
    <w:p w14:paraId="55D98FC1" w14:textId="13673971" w:rsidR="00705903" w:rsidRPr="00705903" w:rsidRDefault="00705903" w:rsidP="00705903">
      <w:pPr>
        <w:spacing w:line="240" w:lineRule="auto"/>
        <w:ind w:firstLine="0"/>
        <w:jc w:val="center"/>
        <w:rPr>
          <w:b/>
          <w:bCs/>
          <w:sz w:val="18"/>
          <w:szCs w:val="18"/>
          <w:lang w:val="en-US" w:eastAsia="zh-CN"/>
        </w:rPr>
      </w:pPr>
      <w:r w:rsidRPr="00705903">
        <w:rPr>
          <w:rFonts w:hint="eastAsia"/>
          <w:b/>
          <w:bCs/>
          <w:sz w:val="18"/>
          <w:szCs w:val="18"/>
          <w:lang w:val="en-US" w:eastAsia="zh-CN"/>
        </w:rPr>
        <w:t xml:space="preserve">24-Month Rolling Alpha of </w:t>
      </w:r>
      <w:r>
        <w:rPr>
          <w:rFonts w:hint="eastAsia"/>
          <w:b/>
          <w:bCs/>
          <w:sz w:val="18"/>
          <w:szCs w:val="18"/>
          <w:lang w:val="en-US" w:eastAsia="zh-CN"/>
        </w:rPr>
        <w:t xml:space="preserve">Governance (G) </w:t>
      </w:r>
      <w:r w:rsidRPr="00705903">
        <w:rPr>
          <w:rFonts w:hint="eastAsia"/>
          <w:b/>
          <w:bCs/>
          <w:sz w:val="18"/>
          <w:szCs w:val="18"/>
          <w:lang w:val="en-US" w:eastAsia="zh-CN"/>
        </w:rPr>
        <w:t xml:space="preserve">Factor with </w:t>
      </w:r>
      <w:r>
        <w:rPr>
          <w:b/>
          <w:bCs/>
          <w:sz w:val="18"/>
          <w:szCs w:val="18"/>
          <w:lang w:val="en-US" w:eastAsia="zh-CN"/>
        </w:rPr>
        <w:t>Policy</w:t>
      </w:r>
      <w:r>
        <w:rPr>
          <w:rFonts w:hint="eastAsia"/>
          <w:b/>
          <w:bCs/>
          <w:sz w:val="18"/>
          <w:szCs w:val="18"/>
          <w:lang w:val="en-US" w:eastAsia="zh-CN"/>
        </w:rPr>
        <w:t xml:space="preserve"> &amp; Housing Cycle</w:t>
      </w:r>
      <w:r w:rsidRPr="00705903">
        <w:rPr>
          <w:rFonts w:hint="eastAsia"/>
          <w:b/>
          <w:bCs/>
          <w:sz w:val="18"/>
          <w:szCs w:val="18"/>
          <w:lang w:val="en-US" w:eastAsia="zh-CN"/>
        </w:rPr>
        <w:t xml:space="preserve"> Timeline</w:t>
      </w:r>
    </w:p>
    <w:p w14:paraId="23F33BB1" w14:textId="5AF67965" w:rsidR="00E24C7C" w:rsidRPr="00705903" w:rsidRDefault="00E24C7C" w:rsidP="0097761F">
      <w:pPr>
        <w:spacing w:line="240" w:lineRule="auto"/>
        <w:ind w:firstLine="0"/>
        <w:jc w:val="both"/>
        <w:rPr>
          <w:szCs w:val="24"/>
          <w:lang w:val="en-US" w:eastAsia="zh-CN"/>
        </w:rPr>
      </w:pPr>
      <w:r w:rsidRPr="00705903">
        <w:rPr>
          <w:noProof/>
          <w:szCs w:val="24"/>
          <w:lang w:val="en-US" w:eastAsia="zh-CN"/>
        </w:rPr>
        <w:drawing>
          <wp:inline distT="0" distB="0" distL="0" distR="0" wp14:anchorId="3C9BF188" wp14:editId="45F0D6C4">
            <wp:extent cx="5943600" cy="2726510"/>
            <wp:effectExtent l="0" t="0" r="0" b="0"/>
            <wp:docPr id="626204390"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04390" name="Picture 1" descr="A graph showing the growth of the stock market&#10;&#10;AI-generated content may be incorrect."/>
                    <pic:cNvPicPr/>
                  </pic:nvPicPr>
                  <pic:blipFill rotWithShape="1">
                    <a:blip r:embed="rId38"/>
                    <a:srcRect t="6230"/>
                    <a:stretch>
                      <a:fillRect/>
                    </a:stretch>
                  </pic:blipFill>
                  <pic:spPr bwMode="auto">
                    <a:xfrm>
                      <a:off x="0" y="0"/>
                      <a:ext cx="5943600" cy="2726510"/>
                    </a:xfrm>
                    <a:prstGeom prst="rect">
                      <a:avLst/>
                    </a:prstGeom>
                    <a:ln>
                      <a:noFill/>
                    </a:ln>
                    <a:extLst>
                      <a:ext uri="{53640926-AAD7-44D8-BBD7-CCE9431645EC}">
                        <a14:shadowObscured xmlns:a14="http://schemas.microsoft.com/office/drawing/2010/main"/>
                      </a:ext>
                    </a:extLst>
                  </pic:spPr>
                </pic:pic>
              </a:graphicData>
            </a:graphic>
          </wp:inline>
        </w:drawing>
      </w:r>
    </w:p>
    <w:p w14:paraId="4185A6FC" w14:textId="77777777" w:rsidR="00E24C7C" w:rsidRPr="00705903" w:rsidRDefault="00E24C7C" w:rsidP="0097761F">
      <w:pPr>
        <w:spacing w:line="240" w:lineRule="auto"/>
        <w:ind w:firstLine="0"/>
        <w:jc w:val="both"/>
        <w:rPr>
          <w:szCs w:val="24"/>
          <w:lang w:val="en-US" w:eastAsia="zh-CN"/>
        </w:rPr>
      </w:pPr>
    </w:p>
    <w:p w14:paraId="74F141AA" w14:textId="112C7B68" w:rsidR="00E24C7C" w:rsidRPr="00705903" w:rsidRDefault="00E24C7C" w:rsidP="0097761F">
      <w:pPr>
        <w:spacing w:after="160" w:line="259" w:lineRule="auto"/>
        <w:ind w:firstLine="0"/>
        <w:jc w:val="both"/>
        <w:rPr>
          <w:szCs w:val="24"/>
          <w:lang w:val="en-US" w:eastAsia="zh-CN"/>
        </w:rPr>
      </w:pPr>
      <w:r w:rsidRPr="00705903">
        <w:rPr>
          <w:szCs w:val="24"/>
          <w:lang w:val="en-US" w:eastAsia="zh-CN"/>
        </w:rPr>
        <w:br w:type="page"/>
      </w:r>
    </w:p>
    <w:p w14:paraId="7286F435" w14:textId="1953E93A" w:rsidR="00E24C7C" w:rsidRPr="00705903" w:rsidRDefault="00F112FC" w:rsidP="0097761F">
      <w:pPr>
        <w:pStyle w:val="Heading1"/>
      </w:pPr>
      <w:r w:rsidRPr="00705903">
        <w:t>Figure 23. 24-Month Rolling Alpha of Environmental (E) Factor with Green Development Policy Timeline</w:t>
      </w:r>
    </w:p>
    <w:p w14:paraId="4FC50211" w14:textId="77777777" w:rsidR="00F112FC" w:rsidRPr="00705903" w:rsidRDefault="00F112FC" w:rsidP="0097761F">
      <w:pPr>
        <w:spacing w:line="240" w:lineRule="auto"/>
        <w:ind w:firstLine="0"/>
        <w:jc w:val="both"/>
        <w:rPr>
          <w:szCs w:val="24"/>
          <w:lang w:val="en-US" w:eastAsia="zh-CN"/>
        </w:rPr>
      </w:pPr>
    </w:p>
    <w:p w14:paraId="3090D3B2" w14:textId="6B6E4778" w:rsidR="00F112FC" w:rsidRPr="00705903" w:rsidRDefault="00F112FC" w:rsidP="0097761F">
      <w:pPr>
        <w:spacing w:line="240" w:lineRule="auto"/>
        <w:ind w:firstLine="0"/>
        <w:jc w:val="both"/>
        <w:rPr>
          <w:sz w:val="20"/>
          <w:szCs w:val="20"/>
          <w:lang w:val="en-US" w:eastAsia="zh-CN"/>
        </w:rPr>
      </w:pPr>
      <w:r w:rsidRPr="00705903">
        <w:rPr>
          <w:sz w:val="20"/>
          <w:szCs w:val="20"/>
          <w:lang w:val="en-US" w:eastAsia="zh-CN"/>
        </w:rPr>
        <w:t xml:space="preserve">This figure plots the 24-month rolling alpha from Fama–French five-factor regressions for the Environmental (E) High–Low portfolio from 2016 to 2022, overlaid with major green-development policy milestones in China. Key events include the baseline period before large-scale environmental policy reinforcement (2015–2017), the elevation of “ecological civilization” during the 19th National Congress (October 2017), the regulatory tightening that followed the First Plenary Session (March 2018), the late-cycle environmental rectification phase (2018–2019), the decline in new-energy-vehicle (NEV) sales during subsidy withdrawal (September–December 2019), the stabilization period after policy adjustments (2019–2020), the announcement of the “dual-carbon” targets (September 2020), and the subsequent stabilization phase (2021–2022). Consistent with the regression evidence in Table 31, the rolling alpha rises sharply during periods of strong policy promotion—such as the post-Congress environmental push (2017–2018) and the dual-carbon announcement (2020–2021)—indicating that the E factor delivers short-lived positive abnormal returns when policy support for green industries intensifies. In contrast, the rolling alpha turns negative or remains muted during subsidy withdrawal (2019) and in the post-2021 stabilization period, reflecting a normalization of valuations once policy novelty fades and fiscal incentives recede. </w:t>
      </w:r>
    </w:p>
    <w:p w14:paraId="4E38FDED" w14:textId="77777777" w:rsidR="00F112FC" w:rsidRPr="00705903" w:rsidRDefault="00F112FC" w:rsidP="0097761F">
      <w:pPr>
        <w:spacing w:line="240" w:lineRule="auto"/>
        <w:ind w:firstLine="0"/>
        <w:jc w:val="both"/>
        <w:rPr>
          <w:sz w:val="20"/>
          <w:szCs w:val="20"/>
          <w:lang w:val="en-US" w:eastAsia="zh-CN"/>
        </w:rPr>
      </w:pPr>
    </w:p>
    <w:p w14:paraId="6BB873D9" w14:textId="3F161BE5" w:rsidR="00F112FC" w:rsidRPr="00705903" w:rsidRDefault="00F112FC" w:rsidP="0097761F">
      <w:pPr>
        <w:spacing w:line="240" w:lineRule="auto"/>
        <w:ind w:firstLine="0"/>
        <w:jc w:val="both"/>
        <w:rPr>
          <w:sz w:val="20"/>
          <w:szCs w:val="20"/>
          <w:lang w:val="en-US" w:eastAsia="zh-CN"/>
        </w:rPr>
      </w:pPr>
      <w:r w:rsidRPr="00705903">
        <w:rPr>
          <w:sz w:val="20"/>
          <w:szCs w:val="20"/>
          <w:lang w:val="en-US" w:eastAsia="zh-CN"/>
        </w:rPr>
        <w:t xml:space="preserve">Only the Environmental (E) factor is plotted here because it is the ESG pillar most directly linked to China’s state-led green-development agenda and exhibits clear policy-cycle-dependent fluctuations. Unlike the Social factor, which responds primarily to crisis-driven sentiment, or the Governance factor, which reflects leverage-risk exposure, the E factor prices </w:t>
      </w:r>
      <w:proofErr w:type="gramStart"/>
      <w:r w:rsidRPr="00705903">
        <w:rPr>
          <w:sz w:val="20"/>
          <w:szCs w:val="20"/>
          <w:lang w:val="en-US" w:eastAsia="zh-CN"/>
        </w:rPr>
        <w:t>shifts</w:t>
      </w:r>
      <w:proofErr w:type="gramEnd"/>
      <w:r w:rsidRPr="00705903">
        <w:rPr>
          <w:sz w:val="20"/>
          <w:szCs w:val="20"/>
          <w:lang w:val="en-US" w:eastAsia="zh-CN"/>
        </w:rPr>
        <w:t xml:space="preserve"> in environmental policy emphasis, subsidy regimes, and carbon-neutrality initiatives. As such, the rolling-alpha pattern visualized here provides direct evidence that environmental-related premia in China are episodic, policy-backed, and highly sensitive to changes in national strategic priorities.</w:t>
      </w:r>
    </w:p>
    <w:p w14:paraId="115E9D95" w14:textId="5E1DD0C3" w:rsidR="00F112FC" w:rsidRDefault="00F112FC" w:rsidP="0097761F">
      <w:pPr>
        <w:spacing w:line="240" w:lineRule="auto"/>
        <w:ind w:firstLine="0"/>
        <w:jc w:val="both"/>
        <w:rPr>
          <w:szCs w:val="24"/>
          <w:lang w:val="en-US" w:eastAsia="zh-CN"/>
        </w:rPr>
      </w:pPr>
    </w:p>
    <w:p w14:paraId="24DD08C6" w14:textId="4E1C3DA7" w:rsidR="00705903" w:rsidRPr="00705903" w:rsidRDefault="00705903" w:rsidP="00705903">
      <w:pPr>
        <w:spacing w:line="240" w:lineRule="auto"/>
        <w:ind w:firstLine="0"/>
        <w:jc w:val="center"/>
        <w:rPr>
          <w:b/>
          <w:bCs/>
          <w:sz w:val="18"/>
          <w:szCs w:val="18"/>
          <w:lang w:val="en-US" w:eastAsia="zh-CN"/>
        </w:rPr>
      </w:pPr>
      <w:r w:rsidRPr="00705903">
        <w:rPr>
          <w:rFonts w:hint="eastAsia"/>
          <w:b/>
          <w:bCs/>
          <w:sz w:val="18"/>
          <w:szCs w:val="18"/>
          <w:lang w:val="en-US" w:eastAsia="zh-CN"/>
        </w:rPr>
        <w:t xml:space="preserve">24-Month Rolling Alpha of </w:t>
      </w:r>
      <w:r>
        <w:rPr>
          <w:rFonts w:hint="eastAsia"/>
          <w:b/>
          <w:bCs/>
          <w:sz w:val="18"/>
          <w:szCs w:val="18"/>
          <w:lang w:val="en-US" w:eastAsia="zh-CN"/>
        </w:rPr>
        <w:t xml:space="preserve">Environmental (E) </w:t>
      </w:r>
      <w:r w:rsidRPr="00705903">
        <w:rPr>
          <w:rFonts w:hint="eastAsia"/>
          <w:b/>
          <w:bCs/>
          <w:sz w:val="18"/>
          <w:szCs w:val="18"/>
          <w:lang w:val="en-US" w:eastAsia="zh-CN"/>
        </w:rPr>
        <w:t xml:space="preserve">Factor </w:t>
      </w:r>
      <w:r>
        <w:rPr>
          <w:rFonts w:hint="eastAsia"/>
          <w:b/>
          <w:bCs/>
          <w:sz w:val="18"/>
          <w:szCs w:val="18"/>
          <w:lang w:val="en-US" w:eastAsia="zh-CN"/>
        </w:rPr>
        <w:t>with Green Development Policy</w:t>
      </w:r>
      <w:r w:rsidRPr="00705903">
        <w:rPr>
          <w:rFonts w:hint="eastAsia"/>
          <w:b/>
          <w:bCs/>
          <w:sz w:val="18"/>
          <w:szCs w:val="18"/>
          <w:lang w:val="en-US" w:eastAsia="zh-CN"/>
        </w:rPr>
        <w:t xml:space="preserve"> Timeline</w:t>
      </w:r>
    </w:p>
    <w:p w14:paraId="53B1553D" w14:textId="034AD1A3" w:rsidR="00F112FC" w:rsidRPr="00705903" w:rsidRDefault="000B22DF" w:rsidP="0097761F">
      <w:pPr>
        <w:spacing w:line="240" w:lineRule="auto"/>
        <w:ind w:firstLine="0"/>
        <w:jc w:val="both"/>
        <w:rPr>
          <w:szCs w:val="24"/>
          <w:lang w:val="en-US" w:eastAsia="zh-CN"/>
        </w:rPr>
      </w:pPr>
      <w:r w:rsidRPr="00705903">
        <w:rPr>
          <w:noProof/>
          <w:szCs w:val="24"/>
          <w:lang w:val="en-US" w:eastAsia="zh-CN"/>
        </w:rPr>
        <w:drawing>
          <wp:inline distT="0" distB="0" distL="0" distR="0" wp14:anchorId="68590C7D" wp14:editId="4A0F329A">
            <wp:extent cx="5943600" cy="2671744"/>
            <wp:effectExtent l="0" t="0" r="0" b="0"/>
            <wp:docPr id="1750571325"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71325" name="Picture 1" descr="A graph showing the growth of the stock market&#10;&#10;AI-generated content may be incorrect."/>
                    <pic:cNvPicPr/>
                  </pic:nvPicPr>
                  <pic:blipFill rotWithShape="1">
                    <a:blip r:embed="rId39"/>
                    <a:srcRect t="5493"/>
                    <a:stretch>
                      <a:fillRect/>
                    </a:stretch>
                  </pic:blipFill>
                  <pic:spPr bwMode="auto">
                    <a:xfrm>
                      <a:off x="0" y="0"/>
                      <a:ext cx="5943600" cy="2671744"/>
                    </a:xfrm>
                    <a:prstGeom prst="rect">
                      <a:avLst/>
                    </a:prstGeom>
                    <a:ln>
                      <a:noFill/>
                    </a:ln>
                    <a:extLst>
                      <a:ext uri="{53640926-AAD7-44D8-BBD7-CCE9431645EC}">
                        <a14:shadowObscured xmlns:a14="http://schemas.microsoft.com/office/drawing/2010/main"/>
                      </a:ext>
                    </a:extLst>
                  </pic:spPr>
                </pic:pic>
              </a:graphicData>
            </a:graphic>
          </wp:inline>
        </w:drawing>
      </w:r>
    </w:p>
    <w:p w14:paraId="0EC796B0" w14:textId="77777777" w:rsidR="000960C4" w:rsidRPr="00705903" w:rsidRDefault="000960C4" w:rsidP="0097761F">
      <w:pPr>
        <w:spacing w:line="240" w:lineRule="auto"/>
        <w:ind w:firstLine="0"/>
        <w:jc w:val="both"/>
        <w:rPr>
          <w:szCs w:val="24"/>
          <w:lang w:val="en-US" w:eastAsia="zh-CN"/>
        </w:rPr>
      </w:pPr>
    </w:p>
    <w:p w14:paraId="2303A7A6" w14:textId="5E434C91" w:rsidR="000960C4" w:rsidRPr="00705903" w:rsidRDefault="000960C4" w:rsidP="0097761F">
      <w:pPr>
        <w:spacing w:after="160" w:line="259" w:lineRule="auto"/>
        <w:ind w:firstLine="0"/>
        <w:jc w:val="both"/>
        <w:rPr>
          <w:szCs w:val="24"/>
          <w:lang w:val="en-US" w:eastAsia="zh-CN"/>
        </w:rPr>
      </w:pPr>
      <w:r w:rsidRPr="00705903">
        <w:rPr>
          <w:szCs w:val="24"/>
          <w:lang w:val="en-US" w:eastAsia="zh-CN"/>
        </w:rPr>
        <w:br w:type="page"/>
      </w:r>
    </w:p>
    <w:p w14:paraId="56DD3888" w14:textId="58018771" w:rsidR="000960C4" w:rsidRPr="00705903" w:rsidRDefault="000960C4" w:rsidP="0097761F">
      <w:pPr>
        <w:pStyle w:val="Heading1"/>
      </w:pPr>
      <w:r w:rsidRPr="00705903">
        <w:t>Figure 24. Cross-Database Comparison of ESG Ratings: CSMAR vs. CNRDS (2015–2020)</w:t>
      </w:r>
    </w:p>
    <w:p w14:paraId="4ED81AE2" w14:textId="77777777" w:rsidR="000960C4" w:rsidRPr="00705903" w:rsidRDefault="000960C4" w:rsidP="0097761F">
      <w:pPr>
        <w:spacing w:line="240" w:lineRule="auto"/>
        <w:ind w:firstLine="0"/>
        <w:jc w:val="both"/>
        <w:rPr>
          <w:sz w:val="20"/>
          <w:szCs w:val="20"/>
          <w:lang w:val="en-US" w:eastAsia="zh-CN"/>
        </w:rPr>
      </w:pPr>
    </w:p>
    <w:p w14:paraId="407694FB" w14:textId="5C6979F2" w:rsidR="000960C4" w:rsidRPr="00705903" w:rsidRDefault="000960C4" w:rsidP="0097761F">
      <w:pPr>
        <w:spacing w:line="240" w:lineRule="auto"/>
        <w:ind w:firstLine="0"/>
        <w:jc w:val="both"/>
        <w:rPr>
          <w:sz w:val="20"/>
          <w:szCs w:val="20"/>
          <w:lang w:val="en-US" w:eastAsia="zh-CN"/>
        </w:rPr>
      </w:pPr>
      <w:r w:rsidRPr="00705903">
        <w:rPr>
          <w:sz w:val="20"/>
          <w:szCs w:val="20"/>
          <w:lang w:val="en-US" w:eastAsia="zh-CN"/>
        </w:rPr>
        <w:t>Panel A shows that raw ESG scores from CSMAR and CNRDS exhibit virtually no systematic relationship. The points form a wide, unstructured cloud with no visible linear pattern, reinforcing the low rank (ρ = 0.066) and level (r = 0.057) correlations. In Panel B, percentile normalization does not meaningfully improve alignment. If the two rating systems were consistent in relative ranking, the scatter would cluster around an upward-sloping 45° pattern; instead, the plot remains horizontally dispersed, indicating that firms ranked highly by one provider are not similarly ranked by the other.</w:t>
      </w:r>
    </w:p>
    <w:p w14:paraId="7B9A027E" w14:textId="77777777" w:rsidR="000960C4" w:rsidRPr="00705903" w:rsidRDefault="000960C4" w:rsidP="0097761F">
      <w:pPr>
        <w:spacing w:line="240" w:lineRule="auto"/>
        <w:ind w:firstLine="0"/>
        <w:jc w:val="both"/>
        <w:rPr>
          <w:sz w:val="20"/>
          <w:szCs w:val="20"/>
          <w:lang w:val="en-US" w:eastAsia="zh-CN"/>
        </w:rPr>
      </w:pPr>
    </w:p>
    <w:p w14:paraId="6E70191E" w14:textId="28EF7C5A" w:rsidR="000960C4" w:rsidRPr="00705903" w:rsidRDefault="000960C4" w:rsidP="0097761F">
      <w:pPr>
        <w:spacing w:line="240" w:lineRule="auto"/>
        <w:ind w:firstLine="0"/>
        <w:jc w:val="both"/>
        <w:rPr>
          <w:sz w:val="20"/>
          <w:szCs w:val="20"/>
          <w:lang w:val="en-US" w:eastAsia="zh-CN"/>
        </w:rPr>
      </w:pPr>
      <w:r w:rsidRPr="00705903">
        <w:rPr>
          <w:sz w:val="20"/>
          <w:szCs w:val="20"/>
          <w:lang w:val="en-US" w:eastAsia="zh-CN"/>
        </w:rPr>
        <w:t>These figures visually confirm a key empirical message: ESG disagreement in China is structural, persistent, and unaffected by normalization. Thus, the weak/negative ESG return patterns documented in the paper are unlikely to be artifacts of a particular scoring scale and instead reflect fundamental divergence in rating methodologies.</w:t>
      </w:r>
    </w:p>
    <w:p w14:paraId="343B5AD1" w14:textId="77777777" w:rsidR="000960C4" w:rsidRDefault="000960C4" w:rsidP="0097761F">
      <w:pPr>
        <w:spacing w:line="240" w:lineRule="auto"/>
        <w:ind w:firstLine="0"/>
        <w:jc w:val="both"/>
        <w:rPr>
          <w:szCs w:val="24"/>
          <w:lang w:val="en-US" w:eastAsia="zh-CN"/>
        </w:rPr>
      </w:pPr>
    </w:p>
    <w:p w14:paraId="7832CC35" w14:textId="43E0550B" w:rsidR="00705903" w:rsidRPr="009968BE" w:rsidRDefault="009968BE" w:rsidP="009968BE">
      <w:pPr>
        <w:spacing w:line="240" w:lineRule="auto"/>
        <w:ind w:firstLine="0"/>
        <w:jc w:val="center"/>
        <w:rPr>
          <w:b/>
          <w:bCs/>
          <w:sz w:val="18"/>
          <w:szCs w:val="18"/>
          <w:lang w:val="en-US" w:eastAsia="zh-CN"/>
        </w:rPr>
      </w:pPr>
      <w:r w:rsidRPr="009968BE">
        <w:rPr>
          <w:b/>
          <w:bCs/>
          <w:sz w:val="18"/>
          <w:szCs w:val="16"/>
        </w:rPr>
        <w:t>Cross-Database Comparison of ESG Ratings: CSMAR vs. CNRDS (2015–2020)</w:t>
      </w:r>
    </w:p>
    <w:p w14:paraId="01280AF3" w14:textId="228CA348" w:rsidR="000960C4" w:rsidRPr="009A3234" w:rsidRDefault="00775A76" w:rsidP="0097761F">
      <w:pPr>
        <w:spacing w:line="240" w:lineRule="auto"/>
        <w:ind w:firstLine="0"/>
        <w:jc w:val="both"/>
        <w:rPr>
          <w:szCs w:val="24"/>
          <w:lang w:val="en-US" w:eastAsia="zh-CN"/>
        </w:rPr>
      </w:pPr>
      <w:r w:rsidRPr="00775A76">
        <w:rPr>
          <w:noProof/>
          <w:szCs w:val="24"/>
          <w:lang w:val="en-US" w:eastAsia="zh-CN"/>
        </w:rPr>
        <w:drawing>
          <wp:inline distT="0" distB="0" distL="0" distR="0" wp14:anchorId="23399A32" wp14:editId="75ED37E9">
            <wp:extent cx="6080166" cy="2578874"/>
            <wp:effectExtent l="0" t="0" r="0" b="0"/>
            <wp:docPr id="157241727" name="Picture 1"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1727" name="Picture 1" descr="A graph of a number of dots&#10;&#10;AI-generated content may be incorrect."/>
                    <pic:cNvPicPr/>
                  </pic:nvPicPr>
                  <pic:blipFill>
                    <a:blip r:embed="rId40"/>
                    <a:stretch>
                      <a:fillRect/>
                    </a:stretch>
                  </pic:blipFill>
                  <pic:spPr>
                    <a:xfrm>
                      <a:off x="0" y="0"/>
                      <a:ext cx="6081340" cy="2579372"/>
                    </a:xfrm>
                    <a:prstGeom prst="rect">
                      <a:avLst/>
                    </a:prstGeom>
                  </pic:spPr>
                </pic:pic>
              </a:graphicData>
            </a:graphic>
          </wp:inline>
        </w:drawing>
      </w:r>
    </w:p>
    <w:p w14:paraId="7EEC544F" w14:textId="77777777" w:rsidR="000960C4" w:rsidRPr="009A3234" w:rsidRDefault="000960C4" w:rsidP="0097761F">
      <w:pPr>
        <w:spacing w:line="240" w:lineRule="auto"/>
        <w:ind w:firstLine="0"/>
        <w:jc w:val="both"/>
        <w:rPr>
          <w:szCs w:val="24"/>
          <w:lang w:val="en-US" w:eastAsia="zh-CN"/>
        </w:rPr>
      </w:pPr>
    </w:p>
    <w:p w14:paraId="71E41225" w14:textId="77777777" w:rsidR="000960C4" w:rsidRPr="009A3234" w:rsidRDefault="000960C4" w:rsidP="0097761F">
      <w:pPr>
        <w:spacing w:line="240" w:lineRule="auto"/>
        <w:ind w:firstLine="0"/>
        <w:jc w:val="both"/>
        <w:rPr>
          <w:szCs w:val="24"/>
          <w:lang w:val="en-US" w:eastAsia="zh-CN"/>
        </w:rPr>
      </w:pPr>
    </w:p>
    <w:p w14:paraId="68BB7C7B" w14:textId="77777777" w:rsidR="000960C4" w:rsidRPr="009A3234" w:rsidRDefault="000960C4" w:rsidP="0097761F">
      <w:pPr>
        <w:spacing w:line="240" w:lineRule="auto"/>
        <w:ind w:firstLine="0"/>
        <w:jc w:val="both"/>
        <w:rPr>
          <w:szCs w:val="24"/>
          <w:lang w:val="en-US" w:eastAsia="zh-CN"/>
        </w:rPr>
      </w:pPr>
    </w:p>
    <w:p w14:paraId="499FC8C8" w14:textId="77777777" w:rsidR="000960C4" w:rsidRPr="009A3234" w:rsidRDefault="000960C4" w:rsidP="0097761F">
      <w:pPr>
        <w:spacing w:line="240" w:lineRule="auto"/>
        <w:ind w:firstLine="0"/>
        <w:jc w:val="both"/>
        <w:rPr>
          <w:szCs w:val="24"/>
          <w:lang w:val="en-US" w:eastAsia="zh-CN"/>
        </w:rPr>
      </w:pPr>
    </w:p>
    <w:sectPr w:rsidR="000960C4" w:rsidRPr="009A3234" w:rsidSect="006268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2008E" w14:textId="77777777" w:rsidR="005E4DF9" w:rsidRDefault="005E4DF9" w:rsidP="00C63D6F">
      <w:pPr>
        <w:spacing w:line="240" w:lineRule="auto"/>
      </w:pPr>
      <w:r>
        <w:separator/>
      </w:r>
    </w:p>
  </w:endnote>
  <w:endnote w:type="continuationSeparator" w:id="0">
    <w:p w14:paraId="61BDFE10" w14:textId="77777777" w:rsidR="005E4DF9" w:rsidRDefault="005E4DF9" w:rsidP="00C63D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298356"/>
      <w:docPartObj>
        <w:docPartGallery w:val="Page Numbers (Bottom of Page)"/>
        <w:docPartUnique/>
      </w:docPartObj>
    </w:sdtPr>
    <w:sdtEndPr>
      <w:rPr>
        <w:noProof/>
      </w:rPr>
    </w:sdtEndPr>
    <w:sdtContent>
      <w:p w14:paraId="2D4281B3" w14:textId="3A97941E" w:rsidR="00C63D6F" w:rsidRDefault="00C63D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52A3F4" w14:textId="77777777" w:rsidR="00C63D6F" w:rsidRDefault="00C63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8F061" w14:textId="77777777" w:rsidR="005E4DF9" w:rsidRDefault="005E4DF9" w:rsidP="00C63D6F">
      <w:pPr>
        <w:spacing w:line="240" w:lineRule="auto"/>
      </w:pPr>
      <w:r>
        <w:separator/>
      </w:r>
    </w:p>
  </w:footnote>
  <w:footnote w:type="continuationSeparator" w:id="0">
    <w:p w14:paraId="0ED7319F" w14:textId="77777777" w:rsidR="005E4DF9" w:rsidRDefault="005E4DF9" w:rsidP="00C63D6F">
      <w:pPr>
        <w:spacing w:line="240" w:lineRule="auto"/>
      </w:pPr>
      <w:r>
        <w:continuationSeparator/>
      </w:r>
    </w:p>
  </w:footnote>
  <w:footnote w:id="1">
    <w:p w14:paraId="5270A01E" w14:textId="343AC7C3" w:rsidR="00D41A58" w:rsidRPr="001D4987" w:rsidRDefault="00D41A58" w:rsidP="0097761F">
      <w:pPr>
        <w:pStyle w:val="FootnoteText"/>
        <w:jc w:val="both"/>
        <w:rPr>
          <w:lang w:eastAsia="zh-CN"/>
        </w:rPr>
      </w:pPr>
      <w:r w:rsidRPr="001D4987">
        <w:rPr>
          <w:rStyle w:val="FootnoteReference"/>
        </w:rPr>
        <w:footnoteRef/>
      </w:r>
      <w:r w:rsidRPr="001D4987">
        <w:t xml:space="preserve"> CNRDS (Chinese Research Data Services Platform, </w:t>
      </w:r>
      <w:hyperlink r:id="rId1" w:history="1">
        <w:r w:rsidRPr="001D4987">
          <w:rPr>
            <w:rStyle w:val="Hyperlink"/>
          </w:rPr>
          <w:t>www.cnrds.com</w:t>
        </w:r>
      </w:hyperlink>
      <w:r w:rsidRPr="001D4987">
        <w:rPr>
          <w:rFonts w:hint="eastAsia"/>
          <w:lang w:eastAsia="zh-CN"/>
        </w:rPr>
        <w:t xml:space="preserve">) </w:t>
      </w:r>
      <w:r w:rsidRPr="001D4987">
        <w:rPr>
          <w:lang w:eastAsia="zh-CN"/>
        </w:rPr>
        <w:t>is a leading domestic data provider supported by the National Natural Science Foundation of China (NSFC) and Tsinghua University, specializing in Chinese financial and ESG data.</w:t>
      </w:r>
    </w:p>
  </w:footnote>
  <w:footnote w:id="2">
    <w:p w14:paraId="55C40ACD" w14:textId="09497C87" w:rsidR="00D41A58" w:rsidRPr="001D4987" w:rsidRDefault="00D41A58" w:rsidP="0097761F">
      <w:pPr>
        <w:pStyle w:val="FootnoteText"/>
        <w:jc w:val="both"/>
        <w:rPr>
          <w:lang w:eastAsia="zh-CN"/>
        </w:rPr>
      </w:pPr>
      <w:r w:rsidRPr="001D4987">
        <w:rPr>
          <w:rStyle w:val="FootnoteReference"/>
        </w:rPr>
        <w:footnoteRef/>
      </w:r>
      <w:r w:rsidRPr="001D4987">
        <w:t xml:space="preserve"> CNRDS data collection involves manual verification and automated text-mining from multiple disclosure channels, ensuring both breadth and data quality across corporate filings and media reports.</w:t>
      </w:r>
    </w:p>
  </w:footnote>
  <w:footnote w:id="3">
    <w:p w14:paraId="5B88FEEC" w14:textId="595716FA" w:rsidR="00D41A58" w:rsidRPr="001D4987" w:rsidRDefault="00D41A58" w:rsidP="0097761F">
      <w:pPr>
        <w:pStyle w:val="FootnoteText"/>
        <w:jc w:val="both"/>
        <w:rPr>
          <w:lang w:eastAsia="zh-CN"/>
        </w:rPr>
      </w:pPr>
      <w:r w:rsidRPr="001D4987">
        <w:rPr>
          <w:rStyle w:val="FootnoteReference"/>
        </w:rPr>
        <w:footnoteRef/>
      </w:r>
      <w:r w:rsidRPr="001D4987">
        <w:t xml:space="preserve"> MSCI ESG and Refinitiv ESG databases include only a partial subset of Chinese A-share firms, typically large-cap constituents of the MSCI China Index or cross-listed entities, thus limiting representativeness for the full A-share market.</w:t>
      </w:r>
    </w:p>
  </w:footnote>
  <w:footnote w:id="4">
    <w:p w14:paraId="12F90EB3" w14:textId="587D21FC" w:rsidR="00D41A58" w:rsidRPr="001D4987" w:rsidRDefault="00D41A58" w:rsidP="0097761F">
      <w:pPr>
        <w:pStyle w:val="FootnoteText"/>
        <w:jc w:val="both"/>
        <w:rPr>
          <w:lang w:eastAsia="zh-CN"/>
        </w:rPr>
      </w:pPr>
      <w:r w:rsidRPr="001D4987">
        <w:rPr>
          <w:rStyle w:val="FootnoteReference"/>
        </w:rPr>
        <w:footnoteRef/>
      </w:r>
      <w:r w:rsidRPr="001D4987">
        <w:t xml:space="preserve"> CSMAR and Wind provide firm-level financial and market variables widely used in Chinese capital market research; merging follows firm code and fiscal year alignment procedures consistent with prior literature.</w:t>
      </w:r>
    </w:p>
  </w:footnote>
  <w:footnote w:id="5">
    <w:p w14:paraId="2152DF87" w14:textId="2F683B1F" w:rsidR="00D41A58" w:rsidRPr="001D4987" w:rsidRDefault="00D41A58" w:rsidP="0097761F">
      <w:pPr>
        <w:pStyle w:val="FootnoteText"/>
        <w:jc w:val="both"/>
        <w:rPr>
          <w:lang w:eastAsia="zh-CN"/>
        </w:rPr>
      </w:pPr>
      <w:r w:rsidRPr="001D4987">
        <w:rPr>
          <w:rStyle w:val="FootnoteReference"/>
        </w:rPr>
        <w:footnoteRef/>
      </w:r>
      <w:r w:rsidRPr="001D4987">
        <w:t xml:space="preserve"> </w:t>
      </w:r>
      <w:r w:rsidRPr="001D4987">
        <w:t xml:space="preserve">Winsorization at the 1st and 99th percentiles </w:t>
      </w:r>
      <w:r w:rsidRPr="001D4987">
        <w:t>is standard in empirical finance to mitigate the effect of outliers (see Fama &amp; French, 1993; Jegadeesh &amp; Titman, 1993).</w:t>
      </w:r>
    </w:p>
  </w:footnote>
  <w:footnote w:id="6">
    <w:p w14:paraId="24706102" w14:textId="5AC94CD4" w:rsidR="007C364A" w:rsidRPr="001D4987" w:rsidRDefault="007C364A" w:rsidP="0097761F">
      <w:pPr>
        <w:pStyle w:val="FootnoteText"/>
        <w:jc w:val="both"/>
        <w:rPr>
          <w:lang w:val="en-US" w:eastAsia="zh-CN"/>
        </w:rPr>
      </w:pPr>
      <w:r w:rsidRPr="001D4987">
        <w:rPr>
          <w:rStyle w:val="FootnoteReference"/>
        </w:rPr>
        <w:footnoteRef/>
      </w:r>
      <w:r w:rsidRPr="001D4987">
        <w:t xml:space="preserve"> </w:t>
      </w:r>
      <w:r w:rsidR="00921F22" w:rsidRPr="001D4987">
        <w:rPr>
          <w:lang w:val="en-US"/>
        </w:rPr>
        <w:t>Table 2 – Time Trend of ESG Rating Coverage and Scores (2007–2022) reports the yearly ESG coverage ratio and mean ESG scores across all dimensions. ESG rating coverage increased substantially from 27.5% in 2007 to 95.4% in 2022, while the mean overall ESG score rose from 18.7 to 31.6 over the same period. Notably, the</w:t>
      </w:r>
      <w:r w:rsidR="00921F22" w:rsidRPr="001D4987">
        <w:rPr>
          <w:rFonts w:hint="eastAsia"/>
          <w:lang w:val="en-US" w:eastAsia="zh-CN"/>
        </w:rPr>
        <w:t xml:space="preserve"> </w:t>
      </w:r>
      <w:r w:rsidR="00921F22" w:rsidRPr="001D4987">
        <w:rPr>
          <w:lang w:val="en-US"/>
        </w:rPr>
        <w:t>Environmental (E) score demonstrated the most significant growth, increasing from 6.1 to 37.1, reflecting heightened emphasis on environmental performance in recent years.</w:t>
      </w:r>
      <w:r w:rsidR="002960B5" w:rsidRPr="001D4987">
        <w:rPr>
          <w:rFonts w:hint="eastAsia"/>
          <w:lang w:val="en-US" w:eastAsia="zh-CN"/>
        </w:rPr>
        <w:t xml:space="preserve"> </w:t>
      </w:r>
      <w:r w:rsidR="002960B5" w:rsidRPr="001D4987">
        <w:rPr>
          <w:lang w:val="en-US" w:eastAsia="zh-CN"/>
        </w:rPr>
        <w:t>Figure 1 plots this upward trend, showing inflection points i</w:t>
      </w:r>
      <w:r w:rsidR="002960B5" w:rsidRPr="001D4987">
        <w:rPr>
          <w:rFonts w:hint="eastAsia"/>
          <w:lang w:val="en-US" w:eastAsia="zh-CN"/>
        </w:rPr>
        <w:t>n 2010</w:t>
      </w:r>
      <w:r w:rsidR="002960B5" w:rsidRPr="001D4987">
        <w:rPr>
          <w:lang w:val="en-US" w:eastAsia="zh-CN"/>
        </w:rPr>
        <w:t xml:space="preserve"> and 2020.</w:t>
      </w:r>
    </w:p>
  </w:footnote>
  <w:footnote w:id="7">
    <w:p w14:paraId="7BDCB5C6" w14:textId="2C827011" w:rsidR="007C364A" w:rsidRPr="001D4987" w:rsidRDefault="007C364A" w:rsidP="0097761F">
      <w:pPr>
        <w:pStyle w:val="FootnoteText"/>
        <w:jc w:val="both"/>
        <w:rPr>
          <w:lang w:val="en-US" w:eastAsia="zh-CN"/>
        </w:rPr>
      </w:pPr>
      <w:r w:rsidRPr="001D4987">
        <w:rPr>
          <w:rStyle w:val="FootnoteReference"/>
        </w:rPr>
        <w:footnoteRef/>
      </w:r>
      <w:r w:rsidRPr="001D4987">
        <w:t xml:space="preserve"> Table 3 – </w:t>
      </w:r>
      <w:r w:rsidR="002960B5" w:rsidRPr="001D4987">
        <w:t>Annual ESG Rating Coverage Ratio by GICS Industry (200</w:t>
      </w:r>
      <w:r w:rsidR="002960B5" w:rsidRPr="001D4987">
        <w:rPr>
          <w:rFonts w:hint="eastAsia"/>
        </w:rPr>
        <w:t>7</w:t>
      </w:r>
      <w:r w:rsidR="002960B5" w:rsidRPr="001D4987">
        <w:t>–202</w:t>
      </w:r>
      <w:r w:rsidR="002960B5" w:rsidRPr="001D4987">
        <w:rPr>
          <w:rFonts w:hint="eastAsia"/>
        </w:rPr>
        <w:t>2</w:t>
      </w:r>
      <w:r w:rsidR="002960B5" w:rsidRPr="001D4987">
        <w:t>)</w:t>
      </w:r>
      <w:r w:rsidRPr="001D4987">
        <w:t xml:space="preserve"> and Table </w:t>
      </w:r>
      <w:r w:rsidR="0021741E" w:rsidRPr="001D4987">
        <w:rPr>
          <w:rFonts w:hint="eastAsia"/>
          <w:lang w:eastAsia="zh-CN"/>
        </w:rPr>
        <w:t>5</w:t>
      </w:r>
      <w:r w:rsidRPr="001D4987">
        <w:t xml:space="preserve"> – </w:t>
      </w:r>
      <w:r w:rsidR="002960B5" w:rsidRPr="001D4987">
        <w:t>Average ESG Ratings by Industry (2007–202</w:t>
      </w:r>
      <w:r w:rsidR="007A5849" w:rsidRPr="001D4987">
        <w:rPr>
          <w:rFonts w:hint="eastAsia"/>
          <w:lang w:eastAsia="zh-CN"/>
        </w:rPr>
        <w:t>2</w:t>
      </w:r>
      <w:r w:rsidR="002960B5" w:rsidRPr="001D4987">
        <w:t>)</w:t>
      </w:r>
      <w:r w:rsidRPr="001D4987">
        <w:t xml:space="preserve"> summarize cross-sectional heterogeneity. Consumer staples, health care, and </w:t>
      </w:r>
      <w:r w:rsidR="00404D19" w:rsidRPr="001D4987">
        <w:rPr>
          <w:rFonts w:hint="eastAsia"/>
          <w:lang w:eastAsia="zh-CN"/>
        </w:rPr>
        <w:t>m</w:t>
      </w:r>
      <w:r w:rsidR="002960B5" w:rsidRPr="001D4987">
        <w:rPr>
          <w:rFonts w:hint="eastAsia"/>
          <w:lang w:eastAsia="zh-CN"/>
        </w:rPr>
        <w:t>aterials</w:t>
      </w:r>
      <w:r w:rsidRPr="001D4987">
        <w:t xml:space="preserve"> record mean ESG scores above </w:t>
      </w:r>
      <w:r w:rsidR="002960B5" w:rsidRPr="001D4987">
        <w:rPr>
          <w:rFonts w:hint="eastAsia"/>
          <w:lang w:eastAsia="zh-CN"/>
        </w:rPr>
        <w:t>3</w:t>
      </w:r>
      <w:r w:rsidRPr="001D4987">
        <w:t xml:space="preserve">0; </w:t>
      </w:r>
      <w:r w:rsidR="002960B5" w:rsidRPr="001D4987">
        <w:rPr>
          <w:rFonts w:hint="eastAsia"/>
          <w:lang w:eastAsia="zh-CN"/>
        </w:rPr>
        <w:t>telecommunication</w:t>
      </w:r>
      <w:r w:rsidRPr="001D4987">
        <w:t xml:space="preserve"> and real estate average below </w:t>
      </w:r>
      <w:r w:rsidR="002960B5" w:rsidRPr="001D4987">
        <w:rPr>
          <w:rFonts w:hint="eastAsia"/>
          <w:lang w:eastAsia="zh-CN"/>
        </w:rPr>
        <w:t>2</w:t>
      </w:r>
      <w:r w:rsidRPr="001D4987">
        <w:t xml:space="preserve">0. Figure </w:t>
      </w:r>
      <w:r w:rsidR="002960B5" w:rsidRPr="001D4987">
        <w:rPr>
          <w:rFonts w:hint="eastAsia"/>
          <w:lang w:eastAsia="zh-CN"/>
        </w:rPr>
        <w:t>3 and Figure 4</w:t>
      </w:r>
      <w:r w:rsidRPr="001D4987">
        <w:t xml:space="preserve"> visualizes this dispersion.</w:t>
      </w:r>
      <w:r w:rsidR="002960B5" w:rsidRPr="001D4987">
        <w:rPr>
          <w:rFonts w:hint="eastAsia"/>
          <w:lang w:eastAsia="zh-CN"/>
        </w:rPr>
        <w:t xml:space="preserve"> </w:t>
      </w:r>
    </w:p>
  </w:footnote>
  <w:footnote w:id="8">
    <w:p w14:paraId="4FE76E18" w14:textId="0F8C1A16" w:rsidR="007C364A" w:rsidRPr="001D4987" w:rsidRDefault="007C364A" w:rsidP="0097761F">
      <w:pPr>
        <w:pStyle w:val="FootnoteText"/>
        <w:jc w:val="both"/>
        <w:rPr>
          <w:lang w:val="en-US"/>
        </w:rPr>
      </w:pPr>
      <w:r w:rsidRPr="001D4987">
        <w:rPr>
          <w:rStyle w:val="FootnoteReference"/>
        </w:rPr>
        <w:footnoteRef/>
      </w:r>
      <w:r w:rsidRPr="001D4987">
        <w:t xml:space="preserve"> Tables </w:t>
      </w:r>
      <w:r w:rsidR="00A62962" w:rsidRPr="001D4987">
        <w:rPr>
          <w:rFonts w:hint="eastAsia"/>
          <w:lang w:eastAsia="zh-CN"/>
        </w:rPr>
        <w:t>8</w:t>
      </w:r>
      <w:r w:rsidRPr="001D4987">
        <w:t xml:space="preserve"> – </w:t>
      </w:r>
      <w:r w:rsidR="00404D19" w:rsidRPr="001D4987">
        <w:t>Average Industry-level E, S, G Ratings (2007–2022)</w:t>
      </w:r>
      <w:r w:rsidRPr="001D4987">
        <w:t xml:space="preserve"> show that the E dimension exhibits the widest spread (standard deviation = </w:t>
      </w:r>
      <w:r w:rsidR="007A5849" w:rsidRPr="001D4987">
        <w:rPr>
          <w:rFonts w:hint="eastAsia"/>
          <w:lang w:eastAsia="zh-CN"/>
        </w:rPr>
        <w:t>5.52</w:t>
      </w:r>
      <w:r w:rsidRPr="001D4987">
        <w:t>), followed by G (</w:t>
      </w:r>
      <w:r w:rsidR="007A5849" w:rsidRPr="001D4987">
        <w:rPr>
          <w:rFonts w:hint="eastAsia"/>
          <w:lang w:eastAsia="zh-CN"/>
        </w:rPr>
        <w:t>3.89</w:t>
      </w:r>
      <w:r w:rsidRPr="001D4987">
        <w:t>) and S (</w:t>
      </w:r>
      <w:r w:rsidR="007A5849" w:rsidRPr="001D4987">
        <w:rPr>
          <w:rFonts w:hint="eastAsia"/>
          <w:lang w:eastAsia="zh-CN"/>
        </w:rPr>
        <w:t>3.57</w:t>
      </w:r>
      <w:r w:rsidRPr="001D4987">
        <w:t>). This pattern indicates stronger regulatory heterogeneity in environmental performance.</w:t>
      </w:r>
    </w:p>
  </w:footnote>
  <w:footnote w:id="9">
    <w:p w14:paraId="7AF9E340" w14:textId="002AEC99" w:rsidR="007C364A" w:rsidRPr="001D4987" w:rsidRDefault="007C364A" w:rsidP="0097761F">
      <w:pPr>
        <w:pStyle w:val="FootnoteText"/>
        <w:jc w:val="both"/>
        <w:rPr>
          <w:lang w:val="en-US"/>
        </w:rPr>
      </w:pPr>
      <w:r w:rsidRPr="001D4987">
        <w:rPr>
          <w:rStyle w:val="FootnoteReference"/>
        </w:rPr>
        <w:footnoteRef/>
      </w:r>
      <w:r w:rsidRPr="001D4987">
        <w:t xml:space="preserve"> Figure </w:t>
      </w:r>
      <w:r w:rsidR="002D5E26" w:rsidRPr="001D4987">
        <w:rPr>
          <w:rFonts w:hint="eastAsia"/>
          <w:lang w:eastAsia="zh-CN"/>
        </w:rPr>
        <w:t>1</w:t>
      </w:r>
      <w:r w:rsidRPr="001D4987">
        <w:t xml:space="preserve"> – </w:t>
      </w:r>
      <w:r w:rsidR="002D5E26" w:rsidRPr="001D4987">
        <w:t>Temporal Evolution of ESG Performance and Coverage (2007-2022)</w:t>
      </w:r>
      <w:r w:rsidRPr="001D4987">
        <w:t xml:space="preserve"> plots ESG rating trajectories and key policy milestones, including the 2015 Green Finance Guidelines and the 2020 Disclosure Reform. The post-policy years show statistically significant upward shifts in mean ESG scores (p &lt; 0.05).</w:t>
      </w:r>
    </w:p>
  </w:footnote>
  <w:footnote w:id="10">
    <w:p w14:paraId="78D6C5F6" w14:textId="1970F795" w:rsidR="008543A7" w:rsidRPr="001D4987" w:rsidRDefault="008543A7" w:rsidP="0097761F">
      <w:pPr>
        <w:pStyle w:val="FootnoteText"/>
        <w:jc w:val="both"/>
        <w:rPr>
          <w:lang w:val="en-US"/>
        </w:rPr>
      </w:pPr>
      <w:r w:rsidRPr="001D4987">
        <w:rPr>
          <w:rStyle w:val="FootnoteReference"/>
        </w:rPr>
        <w:footnoteRef/>
      </w:r>
      <w:r w:rsidRPr="001D4987">
        <w:t xml:space="preserve"> The one-month Treasury bill yield data </w:t>
      </w:r>
      <w:r w:rsidRPr="001D4987">
        <w:t>are obtained from the People’s Bank of China (PBoC) via the WIND Financial Terminal. The use of this rate follows standard Chinese market conventions in empirical asset-pricing research (e.g., Huang et al., 2020; Broadstock et al., 2021).</w:t>
      </w:r>
    </w:p>
  </w:footnote>
  <w:footnote w:id="11">
    <w:p w14:paraId="6930A93B" w14:textId="47E738CD" w:rsidR="00BA460E" w:rsidRPr="001D4987" w:rsidRDefault="00BA460E" w:rsidP="0097761F">
      <w:pPr>
        <w:pStyle w:val="FootnoteText"/>
        <w:jc w:val="both"/>
        <w:rPr>
          <w:lang w:eastAsia="zh-CN"/>
        </w:rPr>
      </w:pPr>
      <w:r w:rsidRPr="001D4987">
        <w:rPr>
          <w:rStyle w:val="FootnoteReference"/>
        </w:rPr>
        <w:footnoteRef/>
      </w:r>
      <w:r w:rsidRPr="001D4987">
        <w:t xml:space="preserve"> This definition follows standard practice in Fama and French (1993, 2015) and is consistent with volatility-based risk assessments in ESG portfolio studies (e.g., Broadstock et al., 2021).</w:t>
      </w:r>
    </w:p>
  </w:footnote>
  <w:footnote w:id="12">
    <w:p w14:paraId="2EDE2705" w14:textId="2F211935" w:rsidR="00BA460E" w:rsidRPr="001D4987" w:rsidRDefault="00BA460E" w:rsidP="0097761F">
      <w:pPr>
        <w:pStyle w:val="FootnoteText"/>
        <w:jc w:val="both"/>
        <w:rPr>
          <w:lang w:eastAsia="zh-CN"/>
        </w:rPr>
      </w:pPr>
      <w:r w:rsidRPr="001D4987">
        <w:rPr>
          <w:rStyle w:val="FootnoteReference"/>
        </w:rPr>
        <w:footnoteRef/>
      </w:r>
      <w:r w:rsidRPr="001D4987">
        <w:t xml:space="preserve"> Lower semi-deviation captures volatility conditional on negative excess returns, isolating downside risk from total variance. It has been widely used to measure downside exposure in asymmetric return distributions (Ang et al., 2006; Fu, 2009).</w:t>
      </w:r>
    </w:p>
  </w:footnote>
  <w:footnote w:id="13">
    <w:p w14:paraId="0B7466FF" w14:textId="5EE708C1" w:rsidR="00BA460E" w:rsidRPr="001D4987" w:rsidRDefault="00BA460E" w:rsidP="0097761F">
      <w:pPr>
        <w:pStyle w:val="FootnoteText"/>
        <w:jc w:val="both"/>
        <w:rPr>
          <w:lang w:eastAsia="zh-CN"/>
        </w:rPr>
      </w:pPr>
      <w:r w:rsidRPr="001D4987">
        <w:rPr>
          <w:rStyle w:val="FootnoteReference"/>
        </w:rPr>
        <w:footnoteRef/>
      </w:r>
      <w:r w:rsidRPr="001D4987">
        <w:t xml:space="preserve"> </w:t>
      </w:r>
      <w:r w:rsidRPr="001D4987">
        <w:t>VaR is computed as the empirical quantile of portfolio returns at the 5% tail, representing the maximum expected loss with 95% confidence. All returns are standardized prior to quantile estimation.</w:t>
      </w:r>
    </w:p>
  </w:footnote>
  <w:footnote w:id="14">
    <w:p w14:paraId="3D397F2A" w14:textId="75C9F95C" w:rsidR="00BA460E" w:rsidRPr="001D4987" w:rsidRDefault="00BA460E" w:rsidP="0097761F">
      <w:pPr>
        <w:pStyle w:val="FootnoteText"/>
        <w:jc w:val="both"/>
        <w:rPr>
          <w:lang w:eastAsia="zh-CN"/>
        </w:rPr>
      </w:pPr>
      <w:r w:rsidRPr="001D4987">
        <w:rPr>
          <w:rStyle w:val="FootnoteReference"/>
        </w:rPr>
        <w:footnoteRef/>
      </w:r>
      <w:r w:rsidRPr="001D4987">
        <w:t xml:space="preserve"> Crash thresholds of -5%, -8%, and -10% are chosen to capture varying degrees of market stress, consistent with Kim, Li, and Zhang (2011) and Chen, Hong, and Stein (2001). The results are robust to alternative cutoffs.</w:t>
      </w:r>
    </w:p>
  </w:footnote>
  <w:footnote w:id="15">
    <w:p w14:paraId="13A8D5A9" w14:textId="2B9901F6" w:rsidR="00B3107C" w:rsidRPr="001D4987" w:rsidRDefault="00B3107C" w:rsidP="0097761F">
      <w:pPr>
        <w:pStyle w:val="FootnoteText"/>
        <w:jc w:val="both"/>
      </w:pPr>
      <w:r w:rsidRPr="001D4987">
        <w:rPr>
          <w:rStyle w:val="FootnoteReference"/>
        </w:rPr>
        <w:footnoteRef/>
      </w:r>
      <w:r w:rsidRPr="001D4987">
        <w:t xml:space="preserve"> The subperiod segmentation reflects major institutional and policy regimes in China’s capital markets, including the introduction of green finance initiatives (2015), the COVID-19 pandemic (2020), and the regulatory normalization phase (2022). This classification ensures that observed shifts in ESG returns correspond to meaningful macro-policy transitions rather than random fluctuations.</w:t>
      </w:r>
    </w:p>
  </w:footnote>
  <w:footnote w:id="16">
    <w:p w14:paraId="1B98F45C" w14:textId="31DD165E" w:rsidR="00B3107C" w:rsidRPr="001D4987" w:rsidRDefault="00B3107C" w:rsidP="0097761F">
      <w:pPr>
        <w:pStyle w:val="FootnoteText"/>
        <w:jc w:val="both"/>
        <w:rPr>
          <w:lang w:eastAsia="zh-CN"/>
        </w:rPr>
      </w:pPr>
      <w:r w:rsidRPr="001D4987">
        <w:rPr>
          <w:rStyle w:val="FootnoteReference"/>
        </w:rPr>
        <w:footnoteRef/>
      </w:r>
      <w:r w:rsidRPr="001D4987">
        <w:t xml:space="preserve"> The use of HAC standard errors with a 12-month lag follows the convention in monthly-return studies (see Fama and French, 2015; Ang et al., 2006). Shorter lag structures (e.g., 6 or 9 months) produce qualitatively similar inferences, confirming the robustness of the specification.</w:t>
      </w:r>
    </w:p>
  </w:footnote>
  <w:footnote w:id="17">
    <w:p w14:paraId="4B559C23" w14:textId="062DAE41" w:rsidR="00B3107C" w:rsidRPr="001D4987" w:rsidRDefault="00B3107C" w:rsidP="0097761F">
      <w:pPr>
        <w:pStyle w:val="FootnoteText"/>
        <w:jc w:val="both"/>
        <w:rPr>
          <w:lang w:eastAsia="zh-CN"/>
        </w:rPr>
      </w:pPr>
      <w:r w:rsidRPr="001D4987">
        <w:rPr>
          <w:rStyle w:val="FootnoteReference"/>
        </w:rPr>
        <w:footnoteRef/>
      </w:r>
      <w:r w:rsidRPr="001D4987">
        <w:t xml:space="preserve"> The calendar-time portfolio approach mitigates event clustering bias that arises when multiple firms experience ESG-related announcements within the same month. It also accounts for overlapping holding periods, which are common in multi-firm event environments.</w:t>
      </w:r>
    </w:p>
  </w:footnote>
  <w:footnote w:id="18">
    <w:p w14:paraId="43C0B0A7" w14:textId="0C6DB6BA" w:rsidR="00B3107C" w:rsidRPr="001D4987" w:rsidRDefault="00B3107C" w:rsidP="0097761F">
      <w:pPr>
        <w:pStyle w:val="FootnoteText"/>
        <w:jc w:val="both"/>
        <w:rPr>
          <w:lang w:eastAsia="zh-CN"/>
        </w:rPr>
      </w:pPr>
      <w:r w:rsidRPr="001D4987">
        <w:rPr>
          <w:rStyle w:val="FootnoteReference"/>
        </w:rPr>
        <w:footnoteRef/>
      </w:r>
      <w:r w:rsidRPr="001D4987">
        <w:t xml:space="preserve"> The 12-month post-event window balances the trade-off between capturing medium-term market reactions and avoiding excessive noise from unrelated price movements. Shorter (6-month) holding periods yield similar directional results but lower statistical power.</w:t>
      </w:r>
    </w:p>
  </w:footnote>
  <w:footnote w:id="19">
    <w:p w14:paraId="1703708B" w14:textId="3A8F649C" w:rsidR="00B3107C" w:rsidRPr="001D4987" w:rsidRDefault="00B3107C" w:rsidP="0097761F">
      <w:pPr>
        <w:pStyle w:val="FootnoteText"/>
        <w:jc w:val="both"/>
        <w:rPr>
          <w:lang w:eastAsia="zh-CN"/>
        </w:rPr>
      </w:pPr>
      <w:r w:rsidRPr="001D4987">
        <w:rPr>
          <w:rStyle w:val="FootnoteReference"/>
        </w:rPr>
        <w:footnoteRef/>
      </w:r>
      <w:r w:rsidRPr="001D4987">
        <w:t xml:space="preserve"> The inclusion of the five-factor model ensures comparability with global ESG-return studies while accounting for unique characteristics of the Chinese market, such as higher state-ownership concentration and sectoral regulation intensity.</w:t>
      </w:r>
    </w:p>
  </w:footnote>
  <w:footnote w:id="20">
    <w:p w14:paraId="2A91E32A" w14:textId="04802D12" w:rsidR="00B3107C" w:rsidRPr="001D4987" w:rsidRDefault="00B3107C" w:rsidP="0097761F">
      <w:pPr>
        <w:pStyle w:val="FootnoteText"/>
        <w:jc w:val="both"/>
        <w:rPr>
          <w:lang w:eastAsia="zh-CN"/>
        </w:rPr>
      </w:pPr>
      <w:r w:rsidRPr="001D4987">
        <w:rPr>
          <w:rStyle w:val="FootnoteReference"/>
        </w:rPr>
        <w:footnoteRef/>
      </w:r>
      <w:r w:rsidRPr="001D4987">
        <w:t xml:space="preserve"> These indices jointly represent over 90% of the total market capitalization of A-share listed firms, providing a comprehensive baseline for evaluating systematic risk exposure.</w:t>
      </w:r>
    </w:p>
  </w:footnote>
  <w:footnote w:id="21">
    <w:p w14:paraId="08C401ED" w14:textId="567AFBAB" w:rsidR="00B3107C" w:rsidRPr="001D4987" w:rsidRDefault="00B3107C" w:rsidP="0097761F">
      <w:pPr>
        <w:pStyle w:val="FootnoteText"/>
        <w:jc w:val="both"/>
        <w:rPr>
          <w:lang w:eastAsia="zh-CN"/>
        </w:rPr>
      </w:pPr>
      <w:r w:rsidRPr="001D4987">
        <w:rPr>
          <w:rStyle w:val="FootnoteReference"/>
        </w:rPr>
        <w:footnoteRef/>
      </w:r>
      <w:r w:rsidRPr="001D4987">
        <w:t xml:space="preserve"> Alternative risk metrics, such as the Omega ratio and Conditional </w:t>
      </w:r>
      <w:r w:rsidRPr="001D4987">
        <w:t>VaR, were also computed for robustness; results remained consistent and are available upon request.</w:t>
      </w:r>
    </w:p>
  </w:footnote>
  <w:footnote w:id="22">
    <w:p w14:paraId="0A60B19C" w14:textId="654A32E7" w:rsidR="00B35CDC" w:rsidRPr="001D4987" w:rsidRDefault="00B35CDC" w:rsidP="0097761F">
      <w:pPr>
        <w:pStyle w:val="FootnoteText"/>
        <w:jc w:val="both"/>
        <w:rPr>
          <w:lang w:eastAsia="zh-CN"/>
        </w:rPr>
      </w:pPr>
      <w:r w:rsidRPr="001D4987">
        <w:rPr>
          <w:rStyle w:val="FootnoteReference"/>
        </w:rPr>
        <w:footnoteRef/>
      </w:r>
      <w:r w:rsidRPr="001D4987">
        <w:t xml:space="preserve"> </w:t>
      </w:r>
      <w:r w:rsidRPr="001D4987">
        <w:rPr>
          <w:szCs w:val="24"/>
          <w:lang w:val="en-US"/>
        </w:rPr>
        <w:t>This period coincides with China’s “Green Finance” policy rollout and the 2016 establishment of the Green Bond Endorsed Project Catalogue.</w:t>
      </w:r>
    </w:p>
  </w:footnote>
  <w:footnote w:id="23">
    <w:p w14:paraId="4B6A5475" w14:textId="7AF69C69" w:rsidR="00B35CDC" w:rsidRPr="001D4987" w:rsidRDefault="00B35CDC" w:rsidP="0097761F">
      <w:pPr>
        <w:pStyle w:val="FootnoteText"/>
        <w:jc w:val="both"/>
        <w:rPr>
          <w:lang w:eastAsia="zh-CN"/>
        </w:rPr>
      </w:pPr>
      <w:r w:rsidRPr="001D4987">
        <w:rPr>
          <w:rStyle w:val="FootnoteReference"/>
        </w:rPr>
        <w:footnoteRef/>
      </w:r>
      <w:r w:rsidRPr="001D4987">
        <w:t xml:space="preserve"> </w:t>
      </w:r>
      <w:r w:rsidRPr="001D4987">
        <w:rPr>
          <w:szCs w:val="24"/>
          <w:lang w:val="en-US"/>
        </w:rPr>
        <w:t>Empirical asset pricing literature notes that high turnover often undermines factor profitability due to implementation frictions; see Novy-Marx &amp; Velikov, 2016, Journal of Financial Economics</w:t>
      </w:r>
    </w:p>
  </w:footnote>
  <w:footnote w:id="24">
    <w:p w14:paraId="64CD30D1" w14:textId="6D430931" w:rsidR="00B35CDC" w:rsidRPr="001D4987" w:rsidRDefault="00B35CDC" w:rsidP="0097761F">
      <w:pPr>
        <w:pStyle w:val="FootnoteText"/>
        <w:jc w:val="both"/>
        <w:rPr>
          <w:lang w:eastAsia="zh-CN"/>
        </w:rPr>
      </w:pPr>
      <w:r w:rsidRPr="001D4987">
        <w:rPr>
          <w:rStyle w:val="FootnoteReference"/>
        </w:rPr>
        <w:footnoteRef/>
      </w:r>
      <w:r w:rsidRPr="001D4987">
        <w:t xml:space="preserve"> </w:t>
      </w:r>
      <w:r w:rsidRPr="001D4987">
        <w:rPr>
          <w:szCs w:val="24"/>
          <w:lang w:val="en-US"/>
        </w:rPr>
        <w:t>See Fama &amp; French, 2015, Journal of Financial Economics, for the definition of the five-factor model and the interpretation of RMW and CMA loadings</w:t>
      </w:r>
    </w:p>
  </w:footnote>
  <w:footnote w:id="25">
    <w:p w14:paraId="6691C129" w14:textId="7D5E6C36" w:rsidR="00B35CDC" w:rsidRPr="001D4987" w:rsidRDefault="00B35CDC" w:rsidP="0097761F">
      <w:pPr>
        <w:pStyle w:val="FootnoteText"/>
        <w:jc w:val="both"/>
        <w:rPr>
          <w:lang w:eastAsia="zh-CN"/>
        </w:rPr>
      </w:pPr>
      <w:r w:rsidRPr="001D4987">
        <w:rPr>
          <w:rStyle w:val="FootnoteReference"/>
        </w:rPr>
        <w:footnoteRef/>
      </w:r>
      <w:r w:rsidRPr="001D4987">
        <w:t xml:space="preserve"> </w:t>
      </w:r>
      <w:r w:rsidRPr="001D4987">
        <w:rPr>
          <w:szCs w:val="24"/>
          <w:lang w:val="en-US"/>
        </w:rPr>
        <w:t>Footnote 5: See Pedersen, Fitzgibbons, &amp; Pomorski, 2021, Journal of Financial Economics, for a global analysis of “Responsible Investing” factors and their time-varying exposures.</w:t>
      </w:r>
    </w:p>
  </w:footnote>
  <w:footnote w:id="26">
    <w:p w14:paraId="12BFEAEE" w14:textId="77777777" w:rsidR="006E5478" w:rsidRPr="001D4987" w:rsidRDefault="006E5478" w:rsidP="0097761F">
      <w:pPr>
        <w:pStyle w:val="FootnoteText"/>
        <w:jc w:val="both"/>
        <w:rPr>
          <w:lang w:eastAsia="zh-CN"/>
        </w:rPr>
      </w:pPr>
      <w:r w:rsidRPr="001D4987">
        <w:rPr>
          <w:rStyle w:val="FootnoteReference"/>
        </w:rPr>
        <w:footnoteRef/>
      </w:r>
      <w:r w:rsidRPr="001D4987">
        <w:t xml:space="preserve"> Pandemic segmentation follows the four institutional milestones defined by China’s epidemic and mobility policies (National Health Commission, 2020–2022).</w:t>
      </w:r>
    </w:p>
  </w:footnote>
  <w:footnote w:id="27">
    <w:p w14:paraId="29A4F8FB" w14:textId="77777777" w:rsidR="006E5478" w:rsidRPr="001D4987" w:rsidRDefault="006E5478" w:rsidP="0097761F">
      <w:pPr>
        <w:pStyle w:val="FootnoteText"/>
        <w:jc w:val="both"/>
        <w:rPr>
          <w:lang w:eastAsia="zh-CN"/>
        </w:rPr>
      </w:pPr>
      <w:r w:rsidRPr="001D4987">
        <w:rPr>
          <w:rStyle w:val="FootnoteReference"/>
        </w:rPr>
        <w:footnoteRef/>
      </w:r>
      <w:r w:rsidRPr="001D4987">
        <w:t xml:space="preserve"> These results align with Broadstock et al. (2021, Journal of International Financial Markets, Institutions &amp; Money) and Pedersen et al. (2021, Journal of Financial Economics), who document time-varying ESG risk premia driven by market sentiment and policy uncertainty.</w:t>
      </w:r>
    </w:p>
  </w:footnote>
  <w:footnote w:id="28">
    <w:p w14:paraId="38F07459" w14:textId="77777777" w:rsidR="006E5478" w:rsidRPr="001D4987" w:rsidRDefault="006E5478" w:rsidP="0097761F">
      <w:pPr>
        <w:pStyle w:val="FootnoteText"/>
        <w:jc w:val="both"/>
        <w:rPr>
          <w:lang w:eastAsia="zh-CN"/>
        </w:rPr>
      </w:pPr>
      <w:r w:rsidRPr="001D4987">
        <w:rPr>
          <w:rStyle w:val="FootnoteReference"/>
        </w:rPr>
        <w:footnoteRef/>
      </w:r>
      <w:r w:rsidRPr="001D4987">
        <w:t xml:space="preserve"> The governance factor’s sectoral concentration in property and finance follows Li, Liao, and Shen (2021), China Economic Review.</w:t>
      </w:r>
    </w:p>
  </w:footnote>
  <w:footnote w:id="29">
    <w:p w14:paraId="34C6A530" w14:textId="65C51CA6" w:rsidR="00EB536A" w:rsidRPr="001D4987" w:rsidRDefault="00EB536A" w:rsidP="0097761F">
      <w:pPr>
        <w:pStyle w:val="FootnoteText"/>
        <w:jc w:val="both"/>
        <w:rPr>
          <w:lang w:eastAsia="zh-CN"/>
        </w:rPr>
      </w:pPr>
      <w:r w:rsidRPr="001D4987">
        <w:rPr>
          <w:rStyle w:val="FootnoteReference"/>
        </w:rPr>
        <w:footnoteRef/>
      </w:r>
      <w:r w:rsidRPr="001D4987">
        <w:t xml:space="preserve"> See China Index Academy, “China Real-Estate Market 2022 Summary &amp; 2023 Outlook”, Sina Finance (2023-01-01).</w:t>
      </w:r>
    </w:p>
  </w:footnote>
  <w:footnote w:id="30">
    <w:p w14:paraId="5982FBE1" w14:textId="5AB59169" w:rsidR="00EB536A" w:rsidRPr="001D4987" w:rsidRDefault="00EB536A" w:rsidP="0097761F">
      <w:pPr>
        <w:pStyle w:val="FootnoteText"/>
        <w:jc w:val="both"/>
        <w:rPr>
          <w:lang w:eastAsia="zh-CN"/>
        </w:rPr>
      </w:pPr>
      <w:r w:rsidRPr="001D4987">
        <w:rPr>
          <w:rStyle w:val="FootnoteReference"/>
        </w:rPr>
        <w:footnoteRef/>
      </w:r>
      <w:r w:rsidRPr="001D4987">
        <w:t xml:space="preserve"> </w:t>
      </w:r>
      <w:r w:rsidR="00046EFB" w:rsidRPr="001D4987">
        <w:t xml:space="preserve">The cyclical co-movement between leverage and valuation corresponds to the financial-accelerator frameworks of </w:t>
      </w:r>
      <w:r w:rsidR="00046EFB" w:rsidRPr="001D4987">
        <w:t>Brunnermeier and Koby (2018) and Kiyotaki and Moore (1997).</w:t>
      </w:r>
    </w:p>
  </w:footnote>
  <w:footnote w:id="31">
    <w:p w14:paraId="1170802F" w14:textId="44135763" w:rsidR="00EB536A" w:rsidRPr="001D4987" w:rsidRDefault="00EB536A" w:rsidP="0097761F">
      <w:pPr>
        <w:pStyle w:val="FootnoteText"/>
        <w:jc w:val="both"/>
        <w:rPr>
          <w:lang w:eastAsia="zh-CN"/>
        </w:rPr>
      </w:pPr>
      <w:r w:rsidRPr="001D4987">
        <w:rPr>
          <w:rStyle w:val="FootnoteReference"/>
        </w:rPr>
        <w:footnoteRef/>
      </w:r>
      <w:r w:rsidRPr="001D4987">
        <w:t xml:space="preserve"> Similar cyclical responses of governance-related leverage shocks are documented in Chen, He, and Liu (2022), Journal of Financial Economics.</w:t>
      </w:r>
    </w:p>
  </w:footnote>
  <w:footnote w:id="32">
    <w:p w14:paraId="23C5B0A2" w14:textId="34E3FA59" w:rsidR="007D5B67" w:rsidRPr="001D4987" w:rsidRDefault="007D5B67" w:rsidP="0097761F">
      <w:pPr>
        <w:pStyle w:val="FootnoteText"/>
        <w:jc w:val="both"/>
        <w:rPr>
          <w:lang w:eastAsia="zh-CN"/>
        </w:rPr>
      </w:pPr>
      <w:r w:rsidRPr="001D4987">
        <w:rPr>
          <w:rStyle w:val="FootnoteReference"/>
        </w:rPr>
        <w:footnoteRef/>
      </w:r>
      <w:r w:rsidRPr="001D4987">
        <w:t xml:space="preserve"> The segmentation of environmental policy phases follows Beijing News (2020) and Sina Finance (2023), which summarize the chronological evolution of China’s green-development agenda.</w:t>
      </w:r>
    </w:p>
  </w:footnote>
  <w:footnote w:id="33">
    <w:p w14:paraId="7504CD2F" w14:textId="77777777" w:rsidR="00F70AFF" w:rsidRPr="001D4987" w:rsidRDefault="00F70AFF" w:rsidP="0097761F">
      <w:pPr>
        <w:pStyle w:val="FootnoteText"/>
        <w:jc w:val="both"/>
        <w:rPr>
          <w:lang w:eastAsia="zh-CN"/>
        </w:rPr>
      </w:pPr>
      <w:r w:rsidRPr="001D4987">
        <w:rPr>
          <w:rStyle w:val="FootnoteReference"/>
        </w:rPr>
        <w:footnoteRef/>
      </w:r>
      <w:r w:rsidRPr="001D4987">
        <w:t xml:space="preserve"> Krüger (2015), </w:t>
      </w:r>
      <w:r w:rsidRPr="001D4987">
        <w:rPr>
          <w:i/>
          <w:iCs/>
        </w:rPr>
        <w:t>“Corporate Goodness and Shareholder Wealth,” Journal of Financial Economics</w:t>
      </w:r>
      <w:r w:rsidRPr="001D4987">
        <w:t>, 115 (2): 304–329. The stronger initiation response observed in China likely reflects greater information asymmetry and lower baseline disclosure quality among firms newly entering ESG coverage.</w:t>
      </w:r>
    </w:p>
  </w:footnote>
  <w:footnote w:id="34">
    <w:p w14:paraId="5F12A145" w14:textId="52060D82" w:rsidR="007D5B67" w:rsidRPr="001D4987" w:rsidRDefault="007D5B67" w:rsidP="0097761F">
      <w:pPr>
        <w:pStyle w:val="FootnoteText"/>
        <w:jc w:val="both"/>
        <w:rPr>
          <w:lang w:eastAsia="zh-CN"/>
        </w:rPr>
      </w:pPr>
      <w:r w:rsidRPr="001D4987">
        <w:rPr>
          <w:rStyle w:val="FootnoteReference"/>
        </w:rPr>
        <w:footnoteRef/>
      </w:r>
      <w:r w:rsidRPr="001D4987">
        <w:t xml:space="preserve"> See Report to the 19th National Congress of the CPC (October 18, 2017).</w:t>
      </w:r>
    </w:p>
  </w:footnote>
  <w:footnote w:id="35">
    <w:p w14:paraId="54CB0814" w14:textId="50FB569B" w:rsidR="007D5B67" w:rsidRPr="001D4987" w:rsidRDefault="007D5B67" w:rsidP="0097761F">
      <w:pPr>
        <w:pStyle w:val="FootnoteText"/>
        <w:jc w:val="both"/>
        <w:rPr>
          <w:lang w:eastAsia="zh-CN"/>
        </w:rPr>
      </w:pPr>
      <w:r w:rsidRPr="001D4987">
        <w:rPr>
          <w:rStyle w:val="FootnoteReference"/>
        </w:rPr>
        <w:footnoteRef/>
      </w:r>
      <w:r w:rsidRPr="001D4987">
        <w:t xml:space="preserve"> </w:t>
      </w:r>
      <w:r w:rsidRPr="001D4987">
        <w:t>Constitutional Amendment of the People’s Republic of China, adopted March 11, 2018.</w:t>
      </w:r>
    </w:p>
  </w:footnote>
  <w:footnote w:id="36">
    <w:p w14:paraId="3D04D65E" w14:textId="72C955AE" w:rsidR="007D5B67" w:rsidRPr="001D4987" w:rsidRDefault="007D5B67" w:rsidP="0097761F">
      <w:pPr>
        <w:pStyle w:val="FootnoteText"/>
        <w:jc w:val="both"/>
      </w:pPr>
      <w:r w:rsidRPr="001D4987">
        <w:rPr>
          <w:rStyle w:val="FootnoteReference"/>
        </w:rPr>
        <w:footnoteRef/>
      </w:r>
      <w:r w:rsidRPr="001D4987">
        <w:t xml:space="preserve"> State Council Executive Meeting decision, March 31, 2020; see Beijing News (2020).</w:t>
      </w:r>
    </w:p>
  </w:footnote>
  <w:footnote w:id="37">
    <w:p w14:paraId="480E15AE" w14:textId="2DDF83A0" w:rsidR="00555CF3" w:rsidRDefault="00555CF3" w:rsidP="0097761F">
      <w:pPr>
        <w:pStyle w:val="FootnoteText"/>
        <w:jc w:val="both"/>
        <w:rPr>
          <w:lang w:eastAsia="zh-CN"/>
        </w:rPr>
      </w:pPr>
      <w:r w:rsidRPr="001D4987">
        <w:rPr>
          <w:rStyle w:val="FootnoteReference"/>
        </w:rPr>
        <w:footnoteRef/>
      </w:r>
      <w:r w:rsidRPr="001D4987">
        <w:t xml:space="preserve"> President Xi Jinping’s address at the 75th UN General Assembly, September 22, 2020, reaffirmed China’s “</w:t>
      </w:r>
      <w:r w:rsidRPr="001D4987">
        <w:t>dual-carbon” targets (peak CO₂ by 2030, neutrality by 2060).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55E0"/>
    <w:multiLevelType w:val="hybridMultilevel"/>
    <w:tmpl w:val="500AEDE6"/>
    <w:lvl w:ilvl="0" w:tplc="6E4E2D1E">
      <w:start w:val="1"/>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A52A48"/>
    <w:multiLevelType w:val="hybridMultilevel"/>
    <w:tmpl w:val="1A6AD2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3B1C72"/>
    <w:multiLevelType w:val="hybridMultilevel"/>
    <w:tmpl w:val="082612A0"/>
    <w:lvl w:ilvl="0" w:tplc="DBE804B8">
      <w:numFmt w:val="bullet"/>
      <w:lvlText w:val=""/>
      <w:lvlJc w:val="left"/>
      <w:pPr>
        <w:ind w:left="720" w:hanging="360"/>
      </w:pPr>
      <w:rPr>
        <w:rFonts w:ascii="Symbol" w:eastAsia="楷体"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9142E"/>
    <w:multiLevelType w:val="hybridMultilevel"/>
    <w:tmpl w:val="E1924A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1B2BFA"/>
    <w:multiLevelType w:val="hybridMultilevel"/>
    <w:tmpl w:val="B336BD58"/>
    <w:lvl w:ilvl="0" w:tplc="DBE804B8">
      <w:numFmt w:val="bullet"/>
      <w:lvlText w:val=""/>
      <w:lvlJc w:val="left"/>
      <w:pPr>
        <w:ind w:left="360" w:hanging="360"/>
      </w:pPr>
      <w:rPr>
        <w:rFonts w:ascii="Symbol" w:eastAsia="楷体"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0C40DC"/>
    <w:multiLevelType w:val="hybridMultilevel"/>
    <w:tmpl w:val="D3EEF20A"/>
    <w:lvl w:ilvl="0" w:tplc="DBE804B8">
      <w:numFmt w:val="bullet"/>
      <w:lvlText w:val=""/>
      <w:lvlJc w:val="left"/>
      <w:pPr>
        <w:ind w:left="720" w:hanging="360"/>
      </w:pPr>
      <w:rPr>
        <w:rFonts w:ascii="Symbol" w:eastAsia="楷体"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8C5C5D"/>
    <w:multiLevelType w:val="multilevel"/>
    <w:tmpl w:val="379C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371EE"/>
    <w:multiLevelType w:val="multilevel"/>
    <w:tmpl w:val="1CE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304B9"/>
    <w:multiLevelType w:val="hybridMultilevel"/>
    <w:tmpl w:val="A10A9C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FBA66A4"/>
    <w:multiLevelType w:val="hybridMultilevel"/>
    <w:tmpl w:val="5784D8FE"/>
    <w:lvl w:ilvl="0" w:tplc="6E4E2D1E">
      <w:start w:val="1"/>
      <w:numFmt w:val="bullet"/>
      <w:lvlText w:val="-"/>
      <w:lvlJc w:val="left"/>
      <w:pPr>
        <w:ind w:left="360" w:hanging="360"/>
      </w:pPr>
      <w:rPr>
        <w:rFonts w:ascii="Times New Roman" w:eastAsia="宋体"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1B84E83"/>
    <w:multiLevelType w:val="hybridMultilevel"/>
    <w:tmpl w:val="726E5F58"/>
    <w:lvl w:ilvl="0" w:tplc="DBE804B8">
      <w:numFmt w:val="bullet"/>
      <w:lvlText w:val=""/>
      <w:lvlJc w:val="left"/>
      <w:pPr>
        <w:ind w:left="720" w:hanging="360"/>
      </w:pPr>
      <w:rPr>
        <w:rFonts w:ascii="Symbol" w:eastAsia="楷体"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96966"/>
    <w:multiLevelType w:val="hybridMultilevel"/>
    <w:tmpl w:val="02E68CA0"/>
    <w:lvl w:ilvl="0" w:tplc="5E3485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665284"/>
    <w:multiLevelType w:val="multilevel"/>
    <w:tmpl w:val="7E96D24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277F5BE7"/>
    <w:multiLevelType w:val="multilevel"/>
    <w:tmpl w:val="DE74BB0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FF74BD"/>
    <w:multiLevelType w:val="hybridMultilevel"/>
    <w:tmpl w:val="87425E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2F1891"/>
    <w:multiLevelType w:val="multilevel"/>
    <w:tmpl w:val="05AE4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E02C20"/>
    <w:multiLevelType w:val="hybridMultilevel"/>
    <w:tmpl w:val="021C6242"/>
    <w:lvl w:ilvl="0" w:tplc="0409000F">
      <w:start w:val="1"/>
      <w:numFmt w:val="decimal"/>
      <w:lvlText w:val="%1."/>
      <w:lvlJc w:val="left"/>
      <w:pPr>
        <w:ind w:left="720" w:hanging="360"/>
      </w:pPr>
      <w:rPr>
        <w:rFonts w:hint="default"/>
      </w:rPr>
    </w:lvl>
    <w:lvl w:ilvl="1" w:tplc="0FCEC336">
      <w:start w:val="1"/>
      <w:numFmt w:val="bullet"/>
      <w:lvlText w:val="-"/>
      <w:lvlJc w:val="left"/>
      <w:pPr>
        <w:ind w:left="1440" w:hanging="360"/>
      </w:pPr>
      <w:rPr>
        <w:rFonts w:ascii="楷体" w:eastAsia="楷体" w:hAnsi="楷体" w:cs="Times New Roman" w:hint="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5229E8"/>
    <w:multiLevelType w:val="hybridMultilevel"/>
    <w:tmpl w:val="E5D80F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7831C5"/>
    <w:multiLevelType w:val="hybridMultilevel"/>
    <w:tmpl w:val="5D98F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9192B26"/>
    <w:multiLevelType w:val="hybridMultilevel"/>
    <w:tmpl w:val="7B9EB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A4B1CF7"/>
    <w:multiLevelType w:val="hybridMultilevel"/>
    <w:tmpl w:val="43C07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7E67A7E"/>
    <w:multiLevelType w:val="hybridMultilevel"/>
    <w:tmpl w:val="D6F874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D4215EA"/>
    <w:multiLevelType w:val="hybridMultilevel"/>
    <w:tmpl w:val="BB123F28"/>
    <w:lvl w:ilvl="0" w:tplc="7054D91C">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6B22E1"/>
    <w:multiLevelType w:val="multilevel"/>
    <w:tmpl w:val="A836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3F3EF6"/>
    <w:multiLevelType w:val="hybridMultilevel"/>
    <w:tmpl w:val="52842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371167"/>
    <w:multiLevelType w:val="hybridMultilevel"/>
    <w:tmpl w:val="E1A07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8D65A2"/>
    <w:multiLevelType w:val="multilevel"/>
    <w:tmpl w:val="A6BCE27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647B38"/>
    <w:multiLevelType w:val="multilevel"/>
    <w:tmpl w:val="DBB2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B97283"/>
    <w:multiLevelType w:val="hybridMultilevel"/>
    <w:tmpl w:val="94FA9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232456"/>
    <w:multiLevelType w:val="multilevel"/>
    <w:tmpl w:val="75E2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750D9F"/>
    <w:multiLevelType w:val="hybridMultilevel"/>
    <w:tmpl w:val="5958DD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32A5183"/>
    <w:multiLevelType w:val="hybridMultilevel"/>
    <w:tmpl w:val="AB5C9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4B63456"/>
    <w:multiLevelType w:val="hybridMultilevel"/>
    <w:tmpl w:val="2870CF86"/>
    <w:lvl w:ilvl="0" w:tplc="DBE804B8">
      <w:numFmt w:val="bullet"/>
      <w:lvlText w:val=""/>
      <w:lvlJc w:val="left"/>
      <w:pPr>
        <w:ind w:left="720" w:hanging="360"/>
      </w:pPr>
      <w:rPr>
        <w:rFonts w:ascii="Symbol" w:eastAsia="楷体"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12600F"/>
    <w:multiLevelType w:val="hybridMultilevel"/>
    <w:tmpl w:val="50347226"/>
    <w:lvl w:ilvl="0" w:tplc="DBE804B8">
      <w:numFmt w:val="bullet"/>
      <w:lvlText w:val=""/>
      <w:lvlJc w:val="left"/>
      <w:pPr>
        <w:ind w:left="720" w:hanging="360"/>
      </w:pPr>
      <w:rPr>
        <w:rFonts w:ascii="Symbol" w:eastAsia="楷体"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641217"/>
    <w:multiLevelType w:val="hybridMultilevel"/>
    <w:tmpl w:val="502E756A"/>
    <w:lvl w:ilvl="0" w:tplc="1A96404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71327783">
    <w:abstractNumId w:val="15"/>
  </w:num>
  <w:num w:numId="2" w16cid:durableId="2147039281">
    <w:abstractNumId w:val="28"/>
  </w:num>
  <w:num w:numId="3" w16cid:durableId="687483003">
    <w:abstractNumId w:val="29"/>
  </w:num>
  <w:num w:numId="4" w16cid:durableId="849759663">
    <w:abstractNumId w:val="33"/>
  </w:num>
  <w:num w:numId="5" w16cid:durableId="1426222112">
    <w:abstractNumId w:val="24"/>
  </w:num>
  <w:num w:numId="6" w16cid:durableId="1355691581">
    <w:abstractNumId w:val="32"/>
  </w:num>
  <w:num w:numId="7" w16cid:durableId="1141924937">
    <w:abstractNumId w:val="10"/>
  </w:num>
  <w:num w:numId="8" w16cid:durableId="1128670517">
    <w:abstractNumId w:val="4"/>
  </w:num>
  <w:num w:numId="9" w16cid:durableId="128134563">
    <w:abstractNumId w:val="2"/>
  </w:num>
  <w:num w:numId="10" w16cid:durableId="308830307">
    <w:abstractNumId w:val="5"/>
  </w:num>
  <w:num w:numId="11" w16cid:durableId="194270669">
    <w:abstractNumId w:val="16"/>
  </w:num>
  <w:num w:numId="12" w16cid:durableId="1807508057">
    <w:abstractNumId w:val="17"/>
  </w:num>
  <w:num w:numId="13" w16cid:durableId="1381703900">
    <w:abstractNumId w:val="11"/>
  </w:num>
  <w:num w:numId="14" w16cid:durableId="1052343552">
    <w:abstractNumId w:val="12"/>
  </w:num>
  <w:num w:numId="15" w16cid:durableId="1440220882">
    <w:abstractNumId w:val="14"/>
  </w:num>
  <w:num w:numId="16" w16cid:durableId="581916688">
    <w:abstractNumId w:val="7"/>
  </w:num>
  <w:num w:numId="17" w16cid:durableId="1868761478">
    <w:abstractNumId w:val="6"/>
  </w:num>
  <w:num w:numId="18" w16cid:durableId="120657988">
    <w:abstractNumId w:val="1"/>
  </w:num>
  <w:num w:numId="19" w16cid:durableId="2059083090">
    <w:abstractNumId w:val="8"/>
  </w:num>
  <w:num w:numId="20" w16cid:durableId="1025063036">
    <w:abstractNumId w:val="18"/>
  </w:num>
  <w:num w:numId="21" w16cid:durableId="1036084425">
    <w:abstractNumId w:val="21"/>
  </w:num>
  <w:num w:numId="22" w16cid:durableId="1023435733">
    <w:abstractNumId w:val="19"/>
  </w:num>
  <w:num w:numId="23" w16cid:durableId="290864399">
    <w:abstractNumId w:val="20"/>
  </w:num>
  <w:num w:numId="24" w16cid:durableId="1844972411">
    <w:abstractNumId w:val="3"/>
  </w:num>
  <w:num w:numId="25" w16cid:durableId="348604631">
    <w:abstractNumId w:val="0"/>
  </w:num>
  <w:num w:numId="26" w16cid:durableId="10961741">
    <w:abstractNumId w:val="9"/>
  </w:num>
  <w:num w:numId="27" w16cid:durableId="397048469">
    <w:abstractNumId w:val="31"/>
  </w:num>
  <w:num w:numId="28" w16cid:durableId="1189832449">
    <w:abstractNumId w:val="30"/>
  </w:num>
  <w:num w:numId="29" w16cid:durableId="1960330629">
    <w:abstractNumId w:val="22"/>
  </w:num>
  <w:num w:numId="30" w16cid:durableId="912932610">
    <w:abstractNumId w:val="27"/>
  </w:num>
  <w:num w:numId="31" w16cid:durableId="2107455253">
    <w:abstractNumId w:val="23"/>
  </w:num>
  <w:num w:numId="32" w16cid:durableId="1118333157">
    <w:abstractNumId w:val="13"/>
  </w:num>
  <w:num w:numId="33" w16cid:durableId="1309819122">
    <w:abstractNumId w:val="26"/>
  </w:num>
  <w:num w:numId="34" w16cid:durableId="171602884">
    <w:abstractNumId w:val="25"/>
  </w:num>
  <w:num w:numId="35" w16cid:durableId="4296209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8E7"/>
    <w:rsid w:val="00012F84"/>
    <w:rsid w:val="000340E2"/>
    <w:rsid w:val="00036775"/>
    <w:rsid w:val="0004689A"/>
    <w:rsid w:val="00046EFB"/>
    <w:rsid w:val="00057326"/>
    <w:rsid w:val="00067EDE"/>
    <w:rsid w:val="000760C1"/>
    <w:rsid w:val="000778C2"/>
    <w:rsid w:val="00077A2D"/>
    <w:rsid w:val="000852D0"/>
    <w:rsid w:val="0009375A"/>
    <w:rsid w:val="000960C4"/>
    <w:rsid w:val="000A4655"/>
    <w:rsid w:val="000B22DF"/>
    <w:rsid w:val="000B4231"/>
    <w:rsid w:val="000B4927"/>
    <w:rsid w:val="000E690A"/>
    <w:rsid w:val="000F0B2D"/>
    <w:rsid w:val="000F6383"/>
    <w:rsid w:val="00102800"/>
    <w:rsid w:val="00107A87"/>
    <w:rsid w:val="001263CE"/>
    <w:rsid w:val="0012788E"/>
    <w:rsid w:val="00131EB2"/>
    <w:rsid w:val="001355CC"/>
    <w:rsid w:val="001523FA"/>
    <w:rsid w:val="00162876"/>
    <w:rsid w:val="00162BB2"/>
    <w:rsid w:val="001806F3"/>
    <w:rsid w:val="0018114C"/>
    <w:rsid w:val="001867E8"/>
    <w:rsid w:val="00186C7C"/>
    <w:rsid w:val="00192F61"/>
    <w:rsid w:val="001A7DE4"/>
    <w:rsid w:val="001B7066"/>
    <w:rsid w:val="001C069E"/>
    <w:rsid w:val="001C44F2"/>
    <w:rsid w:val="001D39F6"/>
    <w:rsid w:val="001D4099"/>
    <w:rsid w:val="001D4987"/>
    <w:rsid w:val="001E25A8"/>
    <w:rsid w:val="001E3D2B"/>
    <w:rsid w:val="001E663F"/>
    <w:rsid w:val="001F58AC"/>
    <w:rsid w:val="001F6D26"/>
    <w:rsid w:val="001F6F09"/>
    <w:rsid w:val="00204C86"/>
    <w:rsid w:val="00213659"/>
    <w:rsid w:val="0021741E"/>
    <w:rsid w:val="00217D34"/>
    <w:rsid w:val="00226AEE"/>
    <w:rsid w:val="0022707E"/>
    <w:rsid w:val="00244C6D"/>
    <w:rsid w:val="00253789"/>
    <w:rsid w:val="00255287"/>
    <w:rsid w:val="00255468"/>
    <w:rsid w:val="00271907"/>
    <w:rsid w:val="0029606A"/>
    <w:rsid w:val="002960B5"/>
    <w:rsid w:val="002B0F4B"/>
    <w:rsid w:val="002B6355"/>
    <w:rsid w:val="002C1328"/>
    <w:rsid w:val="002C6814"/>
    <w:rsid w:val="002D24B9"/>
    <w:rsid w:val="002D2CBC"/>
    <w:rsid w:val="002D5E26"/>
    <w:rsid w:val="002D625C"/>
    <w:rsid w:val="002E16E8"/>
    <w:rsid w:val="00307005"/>
    <w:rsid w:val="0030772E"/>
    <w:rsid w:val="00312129"/>
    <w:rsid w:val="00316BE1"/>
    <w:rsid w:val="00323498"/>
    <w:rsid w:val="003329D4"/>
    <w:rsid w:val="00337957"/>
    <w:rsid w:val="00355991"/>
    <w:rsid w:val="00374F6F"/>
    <w:rsid w:val="00380A3F"/>
    <w:rsid w:val="00380C2F"/>
    <w:rsid w:val="00384E6D"/>
    <w:rsid w:val="00387C12"/>
    <w:rsid w:val="00397FB4"/>
    <w:rsid w:val="003B5188"/>
    <w:rsid w:val="003B720D"/>
    <w:rsid w:val="003B768B"/>
    <w:rsid w:val="003C2652"/>
    <w:rsid w:val="003C3CD4"/>
    <w:rsid w:val="003C5615"/>
    <w:rsid w:val="003D2790"/>
    <w:rsid w:val="003E6DA3"/>
    <w:rsid w:val="003E72EB"/>
    <w:rsid w:val="003F2118"/>
    <w:rsid w:val="003F2337"/>
    <w:rsid w:val="003F75C2"/>
    <w:rsid w:val="00404D19"/>
    <w:rsid w:val="00411941"/>
    <w:rsid w:val="004134D4"/>
    <w:rsid w:val="004203B0"/>
    <w:rsid w:val="004335AE"/>
    <w:rsid w:val="004345E1"/>
    <w:rsid w:val="004353EB"/>
    <w:rsid w:val="004554DE"/>
    <w:rsid w:val="004568FF"/>
    <w:rsid w:val="00457679"/>
    <w:rsid w:val="004646CC"/>
    <w:rsid w:val="004658F5"/>
    <w:rsid w:val="0047586B"/>
    <w:rsid w:val="0047768B"/>
    <w:rsid w:val="00485832"/>
    <w:rsid w:val="004903F4"/>
    <w:rsid w:val="00490662"/>
    <w:rsid w:val="0049085A"/>
    <w:rsid w:val="004B02D6"/>
    <w:rsid w:val="004B3A5F"/>
    <w:rsid w:val="004B7145"/>
    <w:rsid w:val="004C0EF5"/>
    <w:rsid w:val="004C31DE"/>
    <w:rsid w:val="004E1331"/>
    <w:rsid w:val="004F488C"/>
    <w:rsid w:val="005050CA"/>
    <w:rsid w:val="00513C01"/>
    <w:rsid w:val="00515427"/>
    <w:rsid w:val="00534438"/>
    <w:rsid w:val="005364B7"/>
    <w:rsid w:val="00537C36"/>
    <w:rsid w:val="00546C6B"/>
    <w:rsid w:val="00554240"/>
    <w:rsid w:val="00555CF3"/>
    <w:rsid w:val="00570337"/>
    <w:rsid w:val="0057191B"/>
    <w:rsid w:val="005762C6"/>
    <w:rsid w:val="0057723D"/>
    <w:rsid w:val="005A33EC"/>
    <w:rsid w:val="005A3FD5"/>
    <w:rsid w:val="005B0520"/>
    <w:rsid w:val="005B2D15"/>
    <w:rsid w:val="005C5B9C"/>
    <w:rsid w:val="005D0C1F"/>
    <w:rsid w:val="005E102A"/>
    <w:rsid w:val="005E4DF9"/>
    <w:rsid w:val="005F0888"/>
    <w:rsid w:val="005F5221"/>
    <w:rsid w:val="005F7CD1"/>
    <w:rsid w:val="00610F63"/>
    <w:rsid w:val="006137E2"/>
    <w:rsid w:val="006152D7"/>
    <w:rsid w:val="006238F7"/>
    <w:rsid w:val="006268E7"/>
    <w:rsid w:val="00632482"/>
    <w:rsid w:val="006355E7"/>
    <w:rsid w:val="00640262"/>
    <w:rsid w:val="00644673"/>
    <w:rsid w:val="00654400"/>
    <w:rsid w:val="0065519E"/>
    <w:rsid w:val="00660802"/>
    <w:rsid w:val="00663E56"/>
    <w:rsid w:val="00670CC6"/>
    <w:rsid w:val="0067397D"/>
    <w:rsid w:val="00683A29"/>
    <w:rsid w:val="00692245"/>
    <w:rsid w:val="0069396C"/>
    <w:rsid w:val="006C589B"/>
    <w:rsid w:val="006E4764"/>
    <w:rsid w:val="006E5478"/>
    <w:rsid w:val="006E79F7"/>
    <w:rsid w:val="006F1978"/>
    <w:rsid w:val="006F1DF1"/>
    <w:rsid w:val="00702DAB"/>
    <w:rsid w:val="00705903"/>
    <w:rsid w:val="00711AE1"/>
    <w:rsid w:val="00743FE2"/>
    <w:rsid w:val="0074696A"/>
    <w:rsid w:val="00751ACC"/>
    <w:rsid w:val="00752A59"/>
    <w:rsid w:val="00757905"/>
    <w:rsid w:val="00767F35"/>
    <w:rsid w:val="00773252"/>
    <w:rsid w:val="007754C0"/>
    <w:rsid w:val="00775A76"/>
    <w:rsid w:val="00782DA3"/>
    <w:rsid w:val="00790D92"/>
    <w:rsid w:val="007A3436"/>
    <w:rsid w:val="007A5849"/>
    <w:rsid w:val="007A7533"/>
    <w:rsid w:val="007B7D4E"/>
    <w:rsid w:val="007C364A"/>
    <w:rsid w:val="007C3FDF"/>
    <w:rsid w:val="007D2EC4"/>
    <w:rsid w:val="007D5B67"/>
    <w:rsid w:val="007D602D"/>
    <w:rsid w:val="007E2491"/>
    <w:rsid w:val="007E38D6"/>
    <w:rsid w:val="007E6162"/>
    <w:rsid w:val="007E7A2A"/>
    <w:rsid w:val="007F2DAC"/>
    <w:rsid w:val="007F33E9"/>
    <w:rsid w:val="008056C9"/>
    <w:rsid w:val="008060D9"/>
    <w:rsid w:val="008063F4"/>
    <w:rsid w:val="00810939"/>
    <w:rsid w:val="00811A7B"/>
    <w:rsid w:val="0081211E"/>
    <w:rsid w:val="008321E7"/>
    <w:rsid w:val="00836441"/>
    <w:rsid w:val="008543A7"/>
    <w:rsid w:val="00854C2B"/>
    <w:rsid w:val="008672F1"/>
    <w:rsid w:val="0088077B"/>
    <w:rsid w:val="00891205"/>
    <w:rsid w:val="00893EF8"/>
    <w:rsid w:val="0089473C"/>
    <w:rsid w:val="008B1948"/>
    <w:rsid w:val="008D7654"/>
    <w:rsid w:val="008E1385"/>
    <w:rsid w:val="008E373D"/>
    <w:rsid w:val="008F5D54"/>
    <w:rsid w:val="009027A1"/>
    <w:rsid w:val="009030CE"/>
    <w:rsid w:val="00906B8A"/>
    <w:rsid w:val="00921F22"/>
    <w:rsid w:val="009230DF"/>
    <w:rsid w:val="009266C2"/>
    <w:rsid w:val="00936C8C"/>
    <w:rsid w:val="009411EB"/>
    <w:rsid w:val="00943EF0"/>
    <w:rsid w:val="009510A1"/>
    <w:rsid w:val="009549B8"/>
    <w:rsid w:val="00955403"/>
    <w:rsid w:val="009574C7"/>
    <w:rsid w:val="0096183A"/>
    <w:rsid w:val="00976EAD"/>
    <w:rsid w:val="0097761F"/>
    <w:rsid w:val="009919D7"/>
    <w:rsid w:val="009968BE"/>
    <w:rsid w:val="009A3234"/>
    <w:rsid w:val="009A3FD2"/>
    <w:rsid w:val="009D180E"/>
    <w:rsid w:val="009D4248"/>
    <w:rsid w:val="009D5009"/>
    <w:rsid w:val="009E6F9F"/>
    <w:rsid w:val="009E7952"/>
    <w:rsid w:val="009F02C0"/>
    <w:rsid w:val="00A06DEB"/>
    <w:rsid w:val="00A11DCA"/>
    <w:rsid w:val="00A20847"/>
    <w:rsid w:val="00A2142B"/>
    <w:rsid w:val="00A55DA5"/>
    <w:rsid w:val="00A60733"/>
    <w:rsid w:val="00A62962"/>
    <w:rsid w:val="00A848C5"/>
    <w:rsid w:val="00AA38CD"/>
    <w:rsid w:val="00AA73F4"/>
    <w:rsid w:val="00AB238E"/>
    <w:rsid w:val="00AB4486"/>
    <w:rsid w:val="00AB4A0E"/>
    <w:rsid w:val="00AC3144"/>
    <w:rsid w:val="00AC4246"/>
    <w:rsid w:val="00AC53CD"/>
    <w:rsid w:val="00AD06A5"/>
    <w:rsid w:val="00AF4522"/>
    <w:rsid w:val="00AF57B6"/>
    <w:rsid w:val="00B13A35"/>
    <w:rsid w:val="00B21BED"/>
    <w:rsid w:val="00B26427"/>
    <w:rsid w:val="00B3107C"/>
    <w:rsid w:val="00B31450"/>
    <w:rsid w:val="00B35CDC"/>
    <w:rsid w:val="00B4137F"/>
    <w:rsid w:val="00B54EF8"/>
    <w:rsid w:val="00B60F96"/>
    <w:rsid w:val="00B70D20"/>
    <w:rsid w:val="00B7585F"/>
    <w:rsid w:val="00B7608D"/>
    <w:rsid w:val="00B82815"/>
    <w:rsid w:val="00BA460E"/>
    <w:rsid w:val="00BC24BF"/>
    <w:rsid w:val="00BE359B"/>
    <w:rsid w:val="00BE447A"/>
    <w:rsid w:val="00BF2D15"/>
    <w:rsid w:val="00BF7313"/>
    <w:rsid w:val="00C03DFC"/>
    <w:rsid w:val="00C05634"/>
    <w:rsid w:val="00C14B95"/>
    <w:rsid w:val="00C21C2A"/>
    <w:rsid w:val="00C34205"/>
    <w:rsid w:val="00C4138C"/>
    <w:rsid w:val="00C43F36"/>
    <w:rsid w:val="00C44372"/>
    <w:rsid w:val="00C47848"/>
    <w:rsid w:val="00C63D6F"/>
    <w:rsid w:val="00C70195"/>
    <w:rsid w:val="00C72B64"/>
    <w:rsid w:val="00C8199C"/>
    <w:rsid w:val="00C8460F"/>
    <w:rsid w:val="00C92A87"/>
    <w:rsid w:val="00C941BF"/>
    <w:rsid w:val="00C94F68"/>
    <w:rsid w:val="00C9599C"/>
    <w:rsid w:val="00C95FD9"/>
    <w:rsid w:val="00CA2B61"/>
    <w:rsid w:val="00CC44DF"/>
    <w:rsid w:val="00CD08BA"/>
    <w:rsid w:val="00CD194B"/>
    <w:rsid w:val="00CD5312"/>
    <w:rsid w:val="00CD6A28"/>
    <w:rsid w:val="00CE0293"/>
    <w:rsid w:val="00CE57A9"/>
    <w:rsid w:val="00CE754D"/>
    <w:rsid w:val="00D00AF5"/>
    <w:rsid w:val="00D00B31"/>
    <w:rsid w:val="00D07266"/>
    <w:rsid w:val="00D164AF"/>
    <w:rsid w:val="00D27523"/>
    <w:rsid w:val="00D27FE8"/>
    <w:rsid w:val="00D36A69"/>
    <w:rsid w:val="00D41A58"/>
    <w:rsid w:val="00D45001"/>
    <w:rsid w:val="00D547BD"/>
    <w:rsid w:val="00D604EA"/>
    <w:rsid w:val="00D71BAE"/>
    <w:rsid w:val="00D77695"/>
    <w:rsid w:val="00D823A8"/>
    <w:rsid w:val="00D8546C"/>
    <w:rsid w:val="00DB3D65"/>
    <w:rsid w:val="00DC07FB"/>
    <w:rsid w:val="00DC16D6"/>
    <w:rsid w:val="00DE2B1C"/>
    <w:rsid w:val="00DE7CC7"/>
    <w:rsid w:val="00E035B8"/>
    <w:rsid w:val="00E1551B"/>
    <w:rsid w:val="00E24C7C"/>
    <w:rsid w:val="00E3452B"/>
    <w:rsid w:val="00E4576F"/>
    <w:rsid w:val="00E85015"/>
    <w:rsid w:val="00E91945"/>
    <w:rsid w:val="00E95D91"/>
    <w:rsid w:val="00EA5A5E"/>
    <w:rsid w:val="00EB3F1C"/>
    <w:rsid w:val="00EB536A"/>
    <w:rsid w:val="00EC0C3A"/>
    <w:rsid w:val="00EC3017"/>
    <w:rsid w:val="00ED078F"/>
    <w:rsid w:val="00ED78EF"/>
    <w:rsid w:val="00EE02E3"/>
    <w:rsid w:val="00EF08F2"/>
    <w:rsid w:val="00EF2877"/>
    <w:rsid w:val="00EF6399"/>
    <w:rsid w:val="00F0174E"/>
    <w:rsid w:val="00F04A83"/>
    <w:rsid w:val="00F05492"/>
    <w:rsid w:val="00F112FC"/>
    <w:rsid w:val="00F1185C"/>
    <w:rsid w:val="00F20675"/>
    <w:rsid w:val="00F268CD"/>
    <w:rsid w:val="00F44CA1"/>
    <w:rsid w:val="00F606D4"/>
    <w:rsid w:val="00F60E30"/>
    <w:rsid w:val="00F6166B"/>
    <w:rsid w:val="00F70AFF"/>
    <w:rsid w:val="00F713B9"/>
    <w:rsid w:val="00F74AB9"/>
    <w:rsid w:val="00F80171"/>
    <w:rsid w:val="00F808A3"/>
    <w:rsid w:val="00FB0B01"/>
    <w:rsid w:val="00FB1875"/>
    <w:rsid w:val="00FB1DA1"/>
    <w:rsid w:val="00FC3279"/>
    <w:rsid w:val="00FC33AC"/>
    <w:rsid w:val="00FC5359"/>
    <w:rsid w:val="00FD5046"/>
    <w:rsid w:val="00FD7C08"/>
    <w:rsid w:val="00FE068A"/>
    <w:rsid w:val="00FE34F0"/>
    <w:rsid w:val="00FE6056"/>
    <w:rsid w:val="00FE656E"/>
    <w:rsid w:val="00FF0CD7"/>
    <w:rsid w:val="00FF5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5560F"/>
  <w15:chartTrackingRefBased/>
  <w15:docId w15:val="{AA11D094-30DE-4640-B2D3-D9D083E77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634"/>
    <w:pPr>
      <w:spacing w:after="0" w:line="480" w:lineRule="auto"/>
      <w:ind w:firstLine="360"/>
    </w:pPr>
    <w:rPr>
      <w:rFonts w:ascii="Times New Roman" w:eastAsia="宋体" w:hAnsi="Times New Roman" w:cs="Times New Roman"/>
      <w:kern w:val="0"/>
      <w:sz w:val="24"/>
      <w:lang w:val="en-GB" w:eastAsia="en-US"/>
    </w:rPr>
  </w:style>
  <w:style w:type="paragraph" w:styleId="Heading1">
    <w:name w:val="heading 1"/>
    <w:basedOn w:val="ListParagraph"/>
    <w:next w:val="Normal"/>
    <w:link w:val="Heading1Char"/>
    <w:uiPriority w:val="9"/>
    <w:qFormat/>
    <w:rsid w:val="0097761F"/>
    <w:pPr>
      <w:spacing w:line="360" w:lineRule="auto"/>
      <w:ind w:left="360" w:hanging="360"/>
      <w:jc w:val="center"/>
      <w:outlineLvl w:val="0"/>
    </w:pPr>
    <w:rPr>
      <w:b/>
      <w:bCs/>
      <w:sz w:val="28"/>
      <w:szCs w:val="28"/>
      <w:lang w:val="en-US" w:eastAsia="zh-CN"/>
    </w:rPr>
  </w:style>
  <w:style w:type="paragraph" w:styleId="Heading2">
    <w:name w:val="heading 2"/>
    <w:basedOn w:val="Normal"/>
    <w:next w:val="Normal"/>
    <w:link w:val="Heading2Char"/>
    <w:uiPriority w:val="9"/>
    <w:unhideWhenUsed/>
    <w:qFormat/>
    <w:rsid w:val="0097761F"/>
    <w:pPr>
      <w:spacing w:line="360" w:lineRule="auto"/>
      <w:ind w:firstLine="0"/>
      <w:jc w:val="center"/>
      <w:outlineLvl w:val="1"/>
    </w:pPr>
    <w:rPr>
      <w:b/>
      <w:bCs/>
      <w:lang w:val="en-US" w:eastAsia="zh-CN"/>
    </w:rPr>
  </w:style>
  <w:style w:type="paragraph" w:styleId="Heading3">
    <w:name w:val="heading 3"/>
    <w:basedOn w:val="Normal"/>
    <w:next w:val="Normal"/>
    <w:link w:val="Heading3Char"/>
    <w:uiPriority w:val="9"/>
    <w:unhideWhenUsed/>
    <w:qFormat/>
    <w:rsid w:val="0097761F"/>
    <w:pPr>
      <w:spacing w:line="360" w:lineRule="auto"/>
      <w:ind w:firstLine="0"/>
      <w:jc w:val="center"/>
      <w:outlineLvl w:val="2"/>
    </w:pPr>
    <w:rPr>
      <w:i/>
      <w:iCs/>
      <w:lang w:val="en-US"/>
    </w:rPr>
  </w:style>
  <w:style w:type="paragraph" w:styleId="Heading4">
    <w:name w:val="heading 4"/>
    <w:basedOn w:val="Normal"/>
    <w:next w:val="Normal"/>
    <w:link w:val="Heading4Char"/>
    <w:uiPriority w:val="9"/>
    <w:unhideWhenUsed/>
    <w:qFormat/>
    <w:rsid w:val="006268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8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8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8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8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8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61F"/>
    <w:rPr>
      <w:rFonts w:ascii="Times New Roman" w:eastAsia="宋体" w:hAnsi="Times New Roman" w:cs="Times New Roman"/>
      <w:b/>
      <w:bCs/>
      <w:kern w:val="0"/>
      <w:sz w:val="28"/>
      <w:szCs w:val="28"/>
    </w:rPr>
  </w:style>
  <w:style w:type="character" w:customStyle="1" w:styleId="Heading2Char">
    <w:name w:val="Heading 2 Char"/>
    <w:basedOn w:val="DefaultParagraphFont"/>
    <w:link w:val="Heading2"/>
    <w:uiPriority w:val="9"/>
    <w:rsid w:val="0097761F"/>
    <w:rPr>
      <w:rFonts w:ascii="Times New Roman" w:eastAsia="宋体" w:hAnsi="Times New Roman" w:cs="Times New Roman"/>
      <w:b/>
      <w:bCs/>
      <w:kern w:val="0"/>
      <w:sz w:val="24"/>
    </w:rPr>
  </w:style>
  <w:style w:type="character" w:customStyle="1" w:styleId="Heading3Char">
    <w:name w:val="Heading 3 Char"/>
    <w:basedOn w:val="DefaultParagraphFont"/>
    <w:link w:val="Heading3"/>
    <w:uiPriority w:val="9"/>
    <w:rsid w:val="0097761F"/>
    <w:rPr>
      <w:rFonts w:ascii="Times New Roman" w:eastAsia="宋体" w:hAnsi="Times New Roman" w:cs="Times New Roman"/>
      <w:i/>
      <w:iCs/>
      <w:kern w:val="0"/>
      <w:sz w:val="24"/>
      <w:lang w:eastAsia="en-US"/>
    </w:rPr>
  </w:style>
  <w:style w:type="character" w:customStyle="1" w:styleId="Heading4Char">
    <w:name w:val="Heading 4 Char"/>
    <w:basedOn w:val="DefaultParagraphFont"/>
    <w:link w:val="Heading4"/>
    <w:uiPriority w:val="9"/>
    <w:rsid w:val="006268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8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8E7"/>
    <w:rPr>
      <w:rFonts w:eastAsiaTheme="majorEastAsia" w:cstheme="majorBidi"/>
      <w:color w:val="272727" w:themeColor="text1" w:themeTint="D8"/>
    </w:rPr>
  </w:style>
  <w:style w:type="paragraph" w:styleId="Title">
    <w:name w:val="Title"/>
    <w:basedOn w:val="Normal"/>
    <w:next w:val="Normal"/>
    <w:link w:val="TitleChar"/>
    <w:uiPriority w:val="10"/>
    <w:qFormat/>
    <w:rsid w:val="00626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8E7"/>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8E7"/>
    <w:pPr>
      <w:spacing w:before="160"/>
      <w:jc w:val="center"/>
    </w:pPr>
    <w:rPr>
      <w:i/>
      <w:iCs/>
      <w:color w:val="404040" w:themeColor="text1" w:themeTint="BF"/>
    </w:rPr>
  </w:style>
  <w:style w:type="character" w:customStyle="1" w:styleId="QuoteChar">
    <w:name w:val="Quote Char"/>
    <w:basedOn w:val="DefaultParagraphFont"/>
    <w:link w:val="Quote"/>
    <w:uiPriority w:val="29"/>
    <w:rsid w:val="006268E7"/>
    <w:rPr>
      <w:i/>
      <w:iCs/>
      <w:color w:val="404040" w:themeColor="text1" w:themeTint="BF"/>
    </w:rPr>
  </w:style>
  <w:style w:type="paragraph" w:styleId="ListParagraph">
    <w:name w:val="List Paragraph"/>
    <w:basedOn w:val="Normal"/>
    <w:uiPriority w:val="34"/>
    <w:qFormat/>
    <w:rsid w:val="006268E7"/>
    <w:pPr>
      <w:ind w:left="720"/>
      <w:contextualSpacing/>
    </w:pPr>
  </w:style>
  <w:style w:type="character" w:styleId="IntenseEmphasis">
    <w:name w:val="Intense Emphasis"/>
    <w:basedOn w:val="DefaultParagraphFont"/>
    <w:uiPriority w:val="21"/>
    <w:qFormat/>
    <w:rsid w:val="006268E7"/>
    <w:rPr>
      <w:i/>
      <w:iCs/>
      <w:color w:val="2F5496" w:themeColor="accent1" w:themeShade="BF"/>
    </w:rPr>
  </w:style>
  <w:style w:type="paragraph" w:styleId="IntenseQuote">
    <w:name w:val="Intense Quote"/>
    <w:basedOn w:val="Normal"/>
    <w:next w:val="Normal"/>
    <w:link w:val="IntenseQuoteChar"/>
    <w:uiPriority w:val="30"/>
    <w:qFormat/>
    <w:rsid w:val="00626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8E7"/>
    <w:rPr>
      <w:i/>
      <w:iCs/>
      <w:color w:val="2F5496" w:themeColor="accent1" w:themeShade="BF"/>
    </w:rPr>
  </w:style>
  <w:style w:type="character" w:styleId="IntenseReference">
    <w:name w:val="Intense Reference"/>
    <w:basedOn w:val="DefaultParagraphFont"/>
    <w:uiPriority w:val="32"/>
    <w:qFormat/>
    <w:rsid w:val="006268E7"/>
    <w:rPr>
      <w:b/>
      <w:bCs/>
      <w:smallCaps/>
      <w:color w:val="2F5496" w:themeColor="accent1" w:themeShade="BF"/>
      <w:spacing w:val="5"/>
    </w:rPr>
  </w:style>
  <w:style w:type="paragraph" w:styleId="NormalWeb">
    <w:name w:val="Normal (Web)"/>
    <w:basedOn w:val="Normal"/>
    <w:uiPriority w:val="99"/>
    <w:unhideWhenUsed/>
    <w:rsid w:val="00CD08BA"/>
    <w:rPr>
      <w:szCs w:val="24"/>
    </w:rPr>
  </w:style>
  <w:style w:type="table" w:styleId="PlainTable3">
    <w:name w:val="Plain Table 3"/>
    <w:basedOn w:val="TableNormal"/>
    <w:uiPriority w:val="43"/>
    <w:rsid w:val="00CD08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CD08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6446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773252"/>
    <w:rPr>
      <w:color w:val="666666"/>
    </w:rPr>
  </w:style>
  <w:style w:type="character" w:styleId="Strong">
    <w:name w:val="Strong"/>
    <w:basedOn w:val="DefaultParagraphFont"/>
    <w:uiPriority w:val="22"/>
    <w:qFormat/>
    <w:rsid w:val="00204C86"/>
    <w:rPr>
      <w:b/>
      <w:bCs/>
    </w:rPr>
  </w:style>
  <w:style w:type="character" w:styleId="Emphasis">
    <w:name w:val="Emphasis"/>
    <w:basedOn w:val="DefaultParagraphFont"/>
    <w:uiPriority w:val="20"/>
    <w:qFormat/>
    <w:rsid w:val="00204C86"/>
    <w:rPr>
      <w:i/>
      <w:iCs/>
    </w:rPr>
  </w:style>
  <w:style w:type="table" w:styleId="GridTable1Light">
    <w:name w:val="Grid Table 1 Light"/>
    <w:basedOn w:val="TableNormal"/>
    <w:uiPriority w:val="46"/>
    <w:rsid w:val="00C701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extstyle">
    <w:name w:val="Textstyle"/>
    <w:basedOn w:val="Normal"/>
    <w:uiPriority w:val="99"/>
    <w:qFormat/>
    <w:rsid w:val="00057326"/>
    <w:pPr>
      <w:ind w:firstLine="720"/>
    </w:pPr>
    <w:rPr>
      <w:rFonts w:eastAsia="Times New Roman"/>
      <w:szCs w:val="20"/>
      <w14:ligatures w14:val="none"/>
    </w:rPr>
  </w:style>
  <w:style w:type="table" w:styleId="TableGrid">
    <w:name w:val="Table Grid"/>
    <w:basedOn w:val="TableNormal"/>
    <w:uiPriority w:val="39"/>
    <w:rsid w:val="00AB4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3D6F"/>
    <w:pPr>
      <w:tabs>
        <w:tab w:val="center" w:pos="4320"/>
        <w:tab w:val="right" w:pos="8640"/>
      </w:tabs>
      <w:spacing w:line="240" w:lineRule="auto"/>
    </w:pPr>
  </w:style>
  <w:style w:type="character" w:customStyle="1" w:styleId="HeaderChar">
    <w:name w:val="Header Char"/>
    <w:basedOn w:val="DefaultParagraphFont"/>
    <w:link w:val="Header"/>
    <w:uiPriority w:val="99"/>
    <w:rsid w:val="00C63D6F"/>
    <w:rPr>
      <w:rFonts w:ascii="Times New Roman" w:eastAsia="宋体" w:hAnsi="Times New Roman" w:cs="Times New Roman"/>
      <w:kern w:val="0"/>
      <w:sz w:val="24"/>
      <w:lang w:val="en-GB" w:eastAsia="en-US"/>
    </w:rPr>
  </w:style>
  <w:style w:type="paragraph" w:styleId="Footer">
    <w:name w:val="footer"/>
    <w:basedOn w:val="Normal"/>
    <w:link w:val="FooterChar"/>
    <w:uiPriority w:val="99"/>
    <w:unhideWhenUsed/>
    <w:rsid w:val="00C63D6F"/>
    <w:pPr>
      <w:tabs>
        <w:tab w:val="center" w:pos="4320"/>
        <w:tab w:val="right" w:pos="8640"/>
      </w:tabs>
      <w:spacing w:line="240" w:lineRule="auto"/>
    </w:pPr>
  </w:style>
  <w:style w:type="character" w:customStyle="1" w:styleId="FooterChar">
    <w:name w:val="Footer Char"/>
    <w:basedOn w:val="DefaultParagraphFont"/>
    <w:link w:val="Footer"/>
    <w:uiPriority w:val="99"/>
    <w:rsid w:val="00C63D6F"/>
    <w:rPr>
      <w:rFonts w:ascii="Times New Roman" w:eastAsia="宋体" w:hAnsi="Times New Roman" w:cs="Times New Roman"/>
      <w:kern w:val="0"/>
      <w:sz w:val="24"/>
      <w:lang w:val="en-GB" w:eastAsia="en-US"/>
    </w:rPr>
  </w:style>
  <w:style w:type="character" w:styleId="Hyperlink">
    <w:name w:val="Hyperlink"/>
    <w:basedOn w:val="DefaultParagraphFont"/>
    <w:uiPriority w:val="99"/>
    <w:unhideWhenUsed/>
    <w:rsid w:val="00F20675"/>
    <w:rPr>
      <w:color w:val="0563C1" w:themeColor="hyperlink"/>
      <w:u w:val="single"/>
    </w:rPr>
  </w:style>
  <w:style w:type="character" w:styleId="UnresolvedMention">
    <w:name w:val="Unresolved Mention"/>
    <w:basedOn w:val="DefaultParagraphFont"/>
    <w:uiPriority w:val="99"/>
    <w:semiHidden/>
    <w:unhideWhenUsed/>
    <w:rsid w:val="00F20675"/>
    <w:rPr>
      <w:color w:val="605E5C"/>
      <w:shd w:val="clear" w:color="auto" w:fill="E1DFDD"/>
    </w:rPr>
  </w:style>
  <w:style w:type="paragraph" w:styleId="EndnoteText">
    <w:name w:val="endnote text"/>
    <w:basedOn w:val="Normal"/>
    <w:link w:val="EndnoteTextChar"/>
    <w:uiPriority w:val="99"/>
    <w:semiHidden/>
    <w:unhideWhenUsed/>
    <w:rsid w:val="00D41A58"/>
    <w:pPr>
      <w:spacing w:line="240" w:lineRule="auto"/>
    </w:pPr>
    <w:rPr>
      <w:sz w:val="20"/>
      <w:szCs w:val="20"/>
    </w:rPr>
  </w:style>
  <w:style w:type="character" w:customStyle="1" w:styleId="EndnoteTextChar">
    <w:name w:val="Endnote Text Char"/>
    <w:basedOn w:val="DefaultParagraphFont"/>
    <w:link w:val="EndnoteText"/>
    <w:uiPriority w:val="99"/>
    <w:semiHidden/>
    <w:rsid w:val="00D41A58"/>
    <w:rPr>
      <w:rFonts w:ascii="Times New Roman" w:eastAsia="宋体" w:hAnsi="Times New Roman" w:cs="Times New Roman"/>
      <w:kern w:val="0"/>
      <w:sz w:val="20"/>
      <w:szCs w:val="20"/>
      <w:lang w:val="en-GB" w:eastAsia="en-US"/>
    </w:rPr>
  </w:style>
  <w:style w:type="character" w:styleId="EndnoteReference">
    <w:name w:val="endnote reference"/>
    <w:basedOn w:val="DefaultParagraphFont"/>
    <w:uiPriority w:val="99"/>
    <w:semiHidden/>
    <w:unhideWhenUsed/>
    <w:rsid w:val="00D41A58"/>
    <w:rPr>
      <w:vertAlign w:val="superscript"/>
    </w:rPr>
  </w:style>
  <w:style w:type="paragraph" w:styleId="FootnoteText">
    <w:name w:val="footnote text"/>
    <w:basedOn w:val="Normal"/>
    <w:link w:val="FootnoteTextChar"/>
    <w:uiPriority w:val="99"/>
    <w:semiHidden/>
    <w:unhideWhenUsed/>
    <w:rsid w:val="00D41A58"/>
    <w:pPr>
      <w:spacing w:line="240" w:lineRule="auto"/>
    </w:pPr>
    <w:rPr>
      <w:sz w:val="20"/>
      <w:szCs w:val="20"/>
    </w:rPr>
  </w:style>
  <w:style w:type="character" w:customStyle="1" w:styleId="FootnoteTextChar">
    <w:name w:val="Footnote Text Char"/>
    <w:basedOn w:val="DefaultParagraphFont"/>
    <w:link w:val="FootnoteText"/>
    <w:uiPriority w:val="99"/>
    <w:semiHidden/>
    <w:rsid w:val="00D41A58"/>
    <w:rPr>
      <w:rFonts w:ascii="Times New Roman" w:eastAsia="宋体" w:hAnsi="Times New Roman" w:cs="Times New Roman"/>
      <w:kern w:val="0"/>
      <w:sz w:val="20"/>
      <w:szCs w:val="20"/>
      <w:lang w:val="en-GB" w:eastAsia="en-US"/>
    </w:rPr>
  </w:style>
  <w:style w:type="character" w:styleId="FootnoteReference">
    <w:name w:val="footnote reference"/>
    <w:basedOn w:val="DefaultParagraphFont"/>
    <w:uiPriority w:val="99"/>
    <w:semiHidden/>
    <w:unhideWhenUsed/>
    <w:rsid w:val="00D41A58"/>
    <w:rPr>
      <w:vertAlign w:val="superscript"/>
    </w:rPr>
  </w:style>
  <w:style w:type="paragraph" w:styleId="Date">
    <w:name w:val="Date"/>
    <w:basedOn w:val="Normal"/>
    <w:next w:val="Normal"/>
    <w:link w:val="DateChar"/>
    <w:uiPriority w:val="99"/>
    <w:semiHidden/>
    <w:unhideWhenUsed/>
    <w:rsid w:val="00271907"/>
  </w:style>
  <w:style w:type="character" w:customStyle="1" w:styleId="DateChar">
    <w:name w:val="Date Char"/>
    <w:basedOn w:val="DefaultParagraphFont"/>
    <w:link w:val="Date"/>
    <w:uiPriority w:val="99"/>
    <w:semiHidden/>
    <w:rsid w:val="00271907"/>
    <w:rPr>
      <w:rFonts w:ascii="Times New Roman" w:eastAsia="宋体" w:hAnsi="Times New Roman" w:cs="Times New Roman"/>
      <w:kern w:val="0"/>
      <w:sz w:val="24"/>
      <w:lang w:val="en-GB" w:eastAsia="en-US"/>
    </w:rPr>
  </w:style>
  <w:style w:type="character" w:styleId="CommentReference">
    <w:name w:val="annotation reference"/>
    <w:basedOn w:val="DefaultParagraphFont"/>
    <w:uiPriority w:val="99"/>
    <w:semiHidden/>
    <w:unhideWhenUsed/>
    <w:rsid w:val="00F268CD"/>
    <w:rPr>
      <w:sz w:val="16"/>
      <w:szCs w:val="16"/>
    </w:rPr>
  </w:style>
  <w:style w:type="paragraph" w:styleId="CommentText">
    <w:name w:val="annotation text"/>
    <w:basedOn w:val="Normal"/>
    <w:link w:val="CommentTextChar"/>
    <w:uiPriority w:val="99"/>
    <w:unhideWhenUsed/>
    <w:rsid w:val="00F268CD"/>
    <w:pPr>
      <w:spacing w:line="240" w:lineRule="auto"/>
    </w:pPr>
    <w:rPr>
      <w:sz w:val="20"/>
      <w:szCs w:val="20"/>
    </w:rPr>
  </w:style>
  <w:style w:type="character" w:customStyle="1" w:styleId="CommentTextChar">
    <w:name w:val="Comment Text Char"/>
    <w:basedOn w:val="DefaultParagraphFont"/>
    <w:link w:val="CommentText"/>
    <w:uiPriority w:val="99"/>
    <w:rsid w:val="00F268CD"/>
    <w:rPr>
      <w:rFonts w:ascii="Times New Roman" w:eastAsia="宋体" w:hAnsi="Times New Roman" w:cs="Times New Roman"/>
      <w:kern w:val="0"/>
      <w:sz w:val="20"/>
      <w:szCs w:val="20"/>
      <w:lang w:val="en-GB" w:eastAsia="en-US"/>
    </w:rPr>
  </w:style>
  <w:style w:type="paragraph" w:styleId="CommentSubject">
    <w:name w:val="annotation subject"/>
    <w:basedOn w:val="CommentText"/>
    <w:next w:val="CommentText"/>
    <w:link w:val="CommentSubjectChar"/>
    <w:uiPriority w:val="99"/>
    <w:semiHidden/>
    <w:unhideWhenUsed/>
    <w:rsid w:val="00F268CD"/>
    <w:rPr>
      <w:b/>
      <w:bCs/>
    </w:rPr>
  </w:style>
  <w:style w:type="character" w:customStyle="1" w:styleId="CommentSubjectChar">
    <w:name w:val="Comment Subject Char"/>
    <w:basedOn w:val="CommentTextChar"/>
    <w:link w:val="CommentSubject"/>
    <w:uiPriority w:val="99"/>
    <w:semiHidden/>
    <w:rsid w:val="00F268CD"/>
    <w:rPr>
      <w:rFonts w:ascii="Times New Roman" w:eastAsia="宋体" w:hAnsi="Times New Roman" w:cs="Times New Roman"/>
      <w:b/>
      <w:bCs/>
      <w:kern w:val="0"/>
      <w:sz w:val="20"/>
      <w:szCs w:val="20"/>
      <w:lang w:val="en-GB" w:eastAsia="en-US"/>
    </w:rPr>
  </w:style>
  <w:style w:type="paragraph" w:styleId="HTMLPreformatted">
    <w:name w:val="HTML Preformatted"/>
    <w:basedOn w:val="Normal"/>
    <w:link w:val="HTMLPreformattedChar"/>
    <w:uiPriority w:val="99"/>
    <w:semiHidden/>
    <w:unhideWhenUsed/>
    <w:rsid w:val="0032349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23498"/>
    <w:rPr>
      <w:rFonts w:ascii="Consolas" w:eastAsia="宋体" w:hAnsi="Consolas" w:cs="Times New Roman"/>
      <w:kern w:val="0"/>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bc.gov.cn"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doi.org/10.1016/j.chieco.2023.102025"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www.bjnews.com.cn"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yperlink" Target="https://doi.org/10.1093/rcfs/cfaa011" TargetMode="External"/><Relationship Id="rId3" Type="http://schemas.openxmlformats.org/officeDocument/2006/relationships/styles" Target="styles.xml"/><Relationship Id="rId12" Type="http://schemas.openxmlformats.org/officeDocument/2006/relationships/hyperlink" Target="https://finance.sina.com.cn"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_rels/footnotes.xml.rels><?xml version="1.0" encoding="UTF-8" standalone="yes"?>
<Relationships xmlns="http://schemas.openxmlformats.org/package/2006/relationships"><Relationship Id="rId1" Type="http://schemas.openxmlformats.org/officeDocument/2006/relationships/hyperlink" Target="http://www.cn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A3789-3CA8-4432-AF30-E99DB51C7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13374</TotalTime>
  <Pages>1</Pages>
  <Words>32306</Words>
  <Characters>184148</Characters>
  <Application>Microsoft Office Word</Application>
  <DocSecurity>0</DocSecurity>
  <Lines>1534</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Wanyi Zhao</dc:creator>
  <cp:keywords/>
  <dc:description/>
  <cp:lastModifiedBy>Vicky Zhao</cp:lastModifiedBy>
  <cp:revision>79</cp:revision>
  <cp:lastPrinted>2025-11-30T08:58:00Z</cp:lastPrinted>
  <dcterms:created xsi:type="dcterms:W3CDTF">2025-10-11T20:43:00Z</dcterms:created>
  <dcterms:modified xsi:type="dcterms:W3CDTF">2025-12-01T07:46:00Z</dcterms:modified>
</cp:coreProperties>
</file>