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64653"/>
          <w:sz w:val="44"/>
          <w:szCs w:val="44"/>
        </w:rPr>
        <w:t xml:space="preserve">ANALYSE DES PERTES POST-RÉCOLTE DE L'ARACHIDE</w:t>
      </w:r>
    </w:p>
    <w:p>
      <w:pPr>
        <w:spacing w:before="200"/>
        <w:jc w:val="center"/>
      </w:pPr>
      <w:r>
        <w:rPr>
          <w:color w:val="2a9d8f"/>
          <w:sz w:val="32"/>
          <w:szCs w:val="32"/>
        </w:rPr>
        <w:t xml:space="preserve">et de leurs impacts socio-économiques</w:t>
      </w:r>
    </w:p>
    <w:p>
      <w:pPr>
        <w:spacing w:before="600"/>
        <w:jc w:val="center"/>
      </w:pPr>
      <w:r>
        <w:rPr>
          <w:sz w:val="24"/>
          <w:szCs w:val="24"/>
        </w:rPr>
        <w:t xml:space="preserve">Communes de Nioro Alassane Tall, Keur Samba Guèye et Keur Saloum Diané — Sénégal</w:t>
      </w:r>
    </w:p>
    <w:p>
      <w:pPr>
        <w:spacing w:before="200"/>
        <w:jc w:val="center"/>
      </w:pPr>
      <w:r>
        <w:rPr>
          <w:i/>
          <w:iCs/>
          <w:sz w:val="22"/>
          <w:szCs w:val="22"/>
        </w:rPr>
        <w:t xml:space="preserve">Rapport analytique complet · enquête auprès de 195 producteurs et suivi pondéral de 192 lots</w:t>
      </w:r>
    </w:p>
    <w:p>
      <w:pPr>
        <w:spacing w:before="1800"/>
        <w:jc w:val="center"/>
      </w:pPr>
      <w:r>
        <w:rPr>
          <w:sz w:val="24"/>
          <w:szCs w:val="24"/>
        </w:rPr>
        <w:t xml:space="preserve">Septembre 2026</w:t>
      </w:r>
    </w:p>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Résumé exécutif pour décideurs</w:t>
      </w:r>
    </w:p>
    <w:p>
      <w:pPr>
        <w:spacing w:after="120"/>
      </w:pPr>
      <w:r>
        <w:rPr>
          <w:b/>
          <w:bCs/>
        </w:rPr>
        <w:t xml:space="preserve">Le problème.</w:t>
      </w:r>
      <w:r>
        <w:t xml:space="preserve"> Dans les trois communes étudiées, trois producteurs d'arachide sur quatre déclarent perdre une partie de leur stock chaque année, pour une valeur médiane de </w:t>
      </w:r>
      <w:r>
        <w:rPr>
          <w:b/>
          <w:bCs/>
        </w:rPr>
        <w:t xml:space="preserve">50 000 FCFA</w:t>
      </w:r>
      <w:r>
        <w:t xml:space="preserve"> par exploitation (jusqu'à 500 000 FCFA). 92 % doivent racheter de l'arachide en cours d'année à environ 1 000 FCFA/kg, et 38 % financent ces achats par l'emprunt. Seuls 16 % des ménages couvrent leurs besoins alimentaires sur l'année.</w:t>
      </w:r>
    </w:p>
    <w:p>
      <w:pPr>
        <w:spacing w:after="120"/>
      </w:pPr>
      <w:r>
        <w:rPr>
          <w:b/>
          <w:bCs/>
        </w:rPr>
        <w:t xml:space="preserve">Les pertes mesurées.</w:t>
      </w:r>
      <w:r>
        <w:t xml:space="preserve"> Le suivi pondéral de 192 lots donne une perte moyenne de </w:t>
      </w:r>
      <w:r>
        <w:rPr>
          <w:b/>
          <w:bCs/>
        </w:rPr>
        <w:t xml:space="preserve">3,8 % sur les gousses</w:t>
      </w:r>
      <w:r>
        <w:t xml:space="preserve"> et </w:t>
      </w:r>
      <w:r>
        <w:rPr>
          <w:b/>
          <w:bCs/>
        </w:rPr>
        <w:t xml:space="preserve">8 % sur les graines décortiquées</w:t>
      </w:r>
      <w:r>
        <w:t xml:space="preserve"> (respectivement 2,2 % et 5,4 % en volume pondéré). Un quart des lots de gousses et un tiers des lots de décortiqué sont touchés, avec des pertes atteignant 33 % et 50 %.</w:t>
      </w:r>
    </w:p>
    <w:p>
      <w:pPr>
        <w:spacing w:after="120"/>
      </w:pPr>
      <w:r>
        <w:rPr>
          <w:b/>
          <w:bCs/>
        </w:rPr>
        <w:t xml:space="preserve">Le levier n° 1 : le contenant hermétique.</w:t>
      </w:r>
      <w:r>
        <w:t xml:space="preserve"> Aucun des 25 lots stockés en bidon ou fût n'a perdu de poids, contre 10,8 % de perte moyenne pour le décortiqué en sac. Dans l'enquête, la probabilité de déclarer des pertes est divisée par 10 chez les utilisateurs de fûts/bidons, à traitement, taille et commune constants (régression logistique, p &lt; 0,001). Keur Samba Guèye, où 41 % des producteurs utilisent ces contenants, est la commune la moins touchée (55 % de pertes déclarées contre 86–88 % ailleurs).</w:t>
      </w:r>
    </w:p>
    <w:p>
      <w:pPr>
        <w:spacing w:after="120"/>
      </w:pPr>
      <w:r>
        <w:rPr>
          <w:b/>
          <w:bCs/>
        </w:rPr>
        <w:t xml:space="preserve">Ce qui ne suffit pas.</w:t>
      </w:r>
      <w:r>
        <w:t xml:space="preserve"> Le traitement chimique (perles de phosphure d'aluminium), utilisé par 85 % des producteurs, ne montre aucun effet protecteur propre une fois le contenant pris en compte ; 57 % des lots décortiqués traités en sac ont perdu du poids. L'association perles + poudre insecticide est en revanche plus efficace sur gousses (1,3 % de perte contre 5,9 %). Décortiquer avant stockage double le taux de perte.</w:t>
      </w:r>
    </w:p>
    <w:p>
      <w:pPr>
        <w:spacing w:after="120"/>
      </w:pPr>
      <w:r>
        <w:rPr>
          <w:b/>
          <w:bCs/>
        </w:rPr>
        <w:t xml:space="preserve">Avant le stockage.</w:t>
      </w:r>
      <w:r>
        <w:t xml:space="preserve"> 90 % des producteurs jugent importantes les pertes au séchage (séchage au sol au champ universel : pluies tardives, animaux, moisissures), contre 8 % pour le battage. La présence de champignons dans le stock multiplie par 2,6 les chances de pertes — signature d'un séchage insuffisant.</w:t>
      </w:r>
    </w:p>
    <w:p>
      <w:pPr>
        <w:spacing w:after="120"/>
      </w:pPr>
      <w:r>
        <w:rPr>
          <w:b/>
          <w:bCs/>
        </w:rPr>
        <w:t xml:space="preserve">Le coût humain.</w:t>
      </w:r>
      <w:r>
        <w:t xml:space="preserve"> 63 % rapportent des conséquences sociales (alimentation 98 %, scolarité des enfants 51 %, santé 21 %). Le surcroît de travail lié au tri et à la surveillance des stocks repose sur les </w:t>
      </w:r>
      <w:r>
        <w:rPr>
          <w:b/>
          <w:bCs/>
        </w:rPr>
        <w:t xml:space="preserve">femmes dans 97 % des cas</w:t>
      </w:r>
      <w:r>
        <w:t xml:space="preserve">. Aucun producteur ne connaît de technologie de stockage améliorée ; 7 % ont reçu une formation.</w:t>
      </w:r>
    </w:p>
    <w:p>
      <w:pPr>
        <w:pStyle w:val="Heading3"/>
        <w:spacing w:after="80" w:before="160"/>
      </w:pPr>
      <w:r>
        <w:t xml:space="preserve">Recommandations prioritaires</w:t>
      </w:r>
    </w:p>
    <w:p>
      <w:pPr>
        <w:pStyle w:val="ListParagraph"/>
        <w:numPr>
          <w:ilvl w:val="0"/>
          <w:numId w:val="2"/>
        </w:numPr>
        <w:spacing w:after="60"/>
      </w:pPr>
      <w:r>
        <w:rPr>
          <w:b/>
          <w:bCs/>
        </w:rPr>
        <w:t xml:space="preserve">Équiper</w:t>
      </w:r>
      <w:r>
        <w:t xml:space="preserve"> : diffuser fûts métalliques 200 L / bidons (ou sacs hermétiques triple-couche) — objectif &gt; 80 % d'adoption en 3 ans, en priorité à Keur Saloum Diané et chez les 58 % de « petits producteurs vulnérables ». Retour sur investissement &lt; 1 an au regard des 50 000 FCFA de pertes médianes.</w:t>
      </w:r>
    </w:p>
    <w:p>
      <w:pPr>
        <w:pStyle w:val="ListParagraph"/>
        <w:numPr>
          <w:ilvl w:val="0"/>
          <w:numId w:val="2"/>
        </w:numPr>
        <w:spacing w:after="60"/>
      </w:pPr>
      <w:r>
        <w:rPr>
          <w:b/>
          <w:bCs/>
        </w:rPr>
        <w:t xml:space="preserve">Stocker en gousses</w:t>
      </w:r>
      <w:r>
        <w:t xml:space="preserve"> et ne décortiquer qu'à la vente ou au semis ; pour les stocks maintenus en sacs, combiner fumigant et poudre insecticide avec formation aux bonnes pratiques de sécurité.</w:t>
      </w:r>
    </w:p>
    <w:p>
      <w:pPr>
        <w:pStyle w:val="ListParagraph"/>
        <w:numPr>
          <w:ilvl w:val="0"/>
          <w:numId w:val="2"/>
        </w:numPr>
        <w:spacing w:after="60"/>
      </w:pPr>
      <w:r>
        <w:rPr>
          <w:b/>
          <w:bCs/>
        </w:rPr>
        <w:t xml:space="preserve">Sécher mieux</w:t>
      </w:r>
      <w:r>
        <w:t xml:space="preserve"> : bâches ou claies surélevées, protection contre les animaux, contrôle d'humidité avant mise en stock ; tri des gousses immatures et cassées.</w:t>
      </w:r>
    </w:p>
    <w:p>
      <w:pPr>
        <w:pStyle w:val="ListParagraph"/>
        <w:numPr>
          <w:ilvl w:val="0"/>
          <w:numId w:val="2"/>
        </w:numPr>
        <w:spacing w:after="60"/>
      </w:pPr>
      <w:r>
        <w:rPr>
          <w:b/>
          <w:bCs/>
        </w:rPr>
        <w:t xml:space="preserve">Construire des magasins villageois couplés au warrantage</w:t>
      </w:r>
      <w:r>
        <w:t xml:space="preserve"> (première demande spontanée des producteurs : 52 %) pour éviter la vente précoce et le rachat à prix fort.</w:t>
      </w:r>
    </w:p>
    <w:p>
      <w:pPr>
        <w:pStyle w:val="ListParagraph"/>
        <w:numPr>
          <w:ilvl w:val="0"/>
          <w:numId w:val="2"/>
        </w:numPr>
        <w:spacing w:after="60"/>
      </w:pPr>
      <w:r>
        <w:rPr>
          <w:b/>
          <w:bCs/>
        </w:rPr>
        <w:t xml:space="preserve">Informer et former</w:t>
      </w:r>
      <w:r>
        <w:t xml:space="preserve">, en ciblant les femmes qui gèrent les stocks ; instaurer une inspection de stock à mi-saison, fenêtre où les pertes s'installent.</w:t>
      </w:r>
    </w:p>
    <w:p>
      <w:r>
        <w:br w:type="page"/>
      </w:r>
    </w:p>
    <w:p>
      <w:pPr>
        <w:pStyle w:val="Heading1"/>
        <w:spacing w:after="160" w:before="360"/>
      </w:pPr>
      <w:r>
        <w:t xml:space="preserve">1. Compréhension métier</w:t>
      </w:r>
    </w:p>
    <w:p>
      <w:pPr>
        <w:pStyle w:val="Heading2"/>
        <w:spacing w:after="120" w:before="240"/>
      </w:pPr>
      <w:r>
        <w:t xml:space="preserve">1.1 Objectifs</w:t>
      </w:r>
    </w:p>
    <w:p>
      <w:pPr>
        <w:pStyle w:val="ListParagraph"/>
        <w:numPr>
          <w:ilvl w:val="0"/>
          <w:numId w:val="3"/>
        </w:numPr>
        <w:spacing w:after="60"/>
      </w:pPr>
      <w:r>
        <w:t xml:space="preserve">Quantifier les pertes post-récolte (perçues et mesurées) au séchage, au battage et au stockage.</w:t>
      </w:r>
    </w:p>
    <w:p>
      <w:pPr>
        <w:pStyle w:val="ListParagraph"/>
        <w:numPr>
          <w:ilvl w:val="0"/>
          <w:numId w:val="3"/>
        </w:numPr>
        <w:spacing w:after="60"/>
      </w:pPr>
      <w:r>
        <w:t xml:space="preserve">Identifier les déterminants des pertes de stockage : contenant, lieu, traitement, durée, volume, profil du producteur.</w:t>
      </w:r>
    </w:p>
    <w:p>
      <w:pPr>
        <w:pStyle w:val="ListParagraph"/>
        <w:numPr>
          <w:ilvl w:val="0"/>
          <w:numId w:val="3"/>
        </w:numPr>
        <w:spacing w:after="60"/>
      </w:pPr>
      <w:r>
        <w:t xml:space="preserve">Évaluer les impacts socio-économiques : valeur des pertes, sécurité alimentaire, achats compensatoires, endettement, charge de travail.</w:t>
      </w:r>
    </w:p>
    <w:p>
      <w:pPr>
        <w:pStyle w:val="ListParagraph"/>
        <w:numPr>
          <w:ilvl w:val="0"/>
          <w:numId w:val="3"/>
        </w:numPr>
        <w:spacing w:after="60"/>
      </w:pPr>
      <w:r>
        <w:t xml:space="preserve">Segmenter les producteurs pour cibler les interventions et formuler des recommandations exploitables.</w:t>
      </w:r>
    </w:p>
    <w:p>
      <w:pPr>
        <w:pStyle w:val="Heading2"/>
        <w:spacing w:after="120" w:before="240"/>
      </w:pPr>
      <w:r>
        <w:t xml:space="preserve">1.2 Hypothèses testées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500"/>
      </w:tblGrid>
      <w:tr>
        <w:trPr>
          <w:tblHeader/>
        </w:trPr>
        <w:tc>
          <w:tcPr>
            <w:tcW w:type="dxa" w:w="900"/>
            <w:shd w:fill="264653" w:color="auto" w:val="clear"/>
            <w:tcMar>
              <w:top w:type="dxa" w:w="60"/>
              <w:left w:type="dxa" w:w="80"/>
              <w:bottom w:type="dxa" w:w="60"/>
              <w:right w:type="dxa" w:w="80"/>
            </w:tcMar>
          </w:tcPr>
          <w:p>
            <w:r>
              <w:rPr>
                <w:b/>
                <w:bCs/>
                <w:color w:val="FFFFFF"/>
                <w:sz w:val="18"/>
                <w:szCs w:val="18"/>
              </w:rPr>
              <w:t xml:space="preserve">Code</w:t>
            </w:r>
          </w:p>
        </w:tc>
        <w:tc>
          <w:tcPr>
            <w:tcW w:type="dxa" w:w="5200"/>
            <w:shd w:fill="264653" w:color="auto" w:val="clear"/>
            <w:tcMar>
              <w:top w:type="dxa" w:w="60"/>
              <w:left w:type="dxa" w:w="80"/>
              <w:bottom w:type="dxa" w:w="60"/>
              <w:right w:type="dxa" w:w="80"/>
            </w:tcMar>
          </w:tcPr>
          <w:p>
            <w:r>
              <w:rPr>
                <w:b/>
                <w:bCs/>
                <w:color w:val="FFFFFF"/>
                <w:sz w:val="18"/>
                <w:szCs w:val="18"/>
              </w:rPr>
              <w:t xml:space="preserve">Hypothèse</w:t>
            </w:r>
          </w:p>
        </w:tc>
        <w:tc>
          <w:tcPr>
            <w:tcW w:type="dxa" w:w="3500"/>
            <w:shd w:fill="264653" w:color="auto" w:val="clear"/>
            <w:tcMar>
              <w:top w:type="dxa" w:w="60"/>
              <w:left w:type="dxa" w:w="80"/>
              <w:bottom w:type="dxa" w:w="60"/>
              <w:right w:type="dxa" w:w="80"/>
            </w:tcMar>
          </w:tcPr>
          <w:p>
            <w:r>
              <w:rPr>
                <w:b/>
                <w:bCs/>
                <w:color w:val="FFFFFF"/>
                <w:sz w:val="18"/>
                <w:szCs w:val="18"/>
              </w:rPr>
              <w:t xml:space="preserve">Verdict</w:t>
            </w:r>
          </w:p>
        </w:tc>
      </w:tr>
      <w:tr>
        <w:tc>
          <w:tcPr>
            <w:tcW w:type="dxa" w:w="900"/>
            <w:tcMar>
              <w:top w:type="dxa" w:w="60"/>
              <w:left w:type="dxa" w:w="80"/>
              <w:bottom w:type="dxa" w:w="60"/>
              <w:right w:type="dxa" w:w="80"/>
            </w:tcMar>
          </w:tcPr>
          <w:p>
            <w:r>
              <w:rPr>
                <w:b w:val="false"/>
                <w:bCs w:val="false"/>
                <w:color w:val="000000"/>
                <w:sz w:val="18"/>
                <w:szCs w:val="18"/>
              </w:rPr>
              <w:t xml:space="preserve">H1</w:t>
            </w:r>
          </w:p>
        </w:tc>
        <w:tc>
          <w:tcPr>
            <w:tcW w:type="dxa" w:w="5200"/>
            <w:tcMar>
              <w:top w:type="dxa" w:w="60"/>
              <w:left w:type="dxa" w:w="80"/>
              <w:bottom w:type="dxa" w:w="60"/>
              <w:right w:type="dxa" w:w="80"/>
            </w:tcMar>
          </w:tcPr>
          <w:p>
            <w:r>
              <w:rPr>
                <w:b w:val="false"/>
                <w:bCs w:val="false"/>
                <w:color w:val="000000"/>
                <w:sz w:val="18"/>
                <w:szCs w:val="18"/>
              </w:rPr>
              <w:t xml:space="preserve">Les graines décortiquées perdent plus que les gousses</w:t>
            </w:r>
          </w:p>
        </w:tc>
        <w:tc>
          <w:tcPr>
            <w:tcW w:type="dxa" w:w="3500"/>
            <w:tcMar>
              <w:top w:type="dxa" w:w="60"/>
              <w:left w:type="dxa" w:w="80"/>
              <w:bottom w:type="dxa" w:w="60"/>
              <w:right w:type="dxa" w:w="80"/>
            </w:tcMar>
          </w:tcPr>
          <w:p>
            <w:r>
              <w:rPr>
                <w:b w:val="false"/>
                <w:bCs w:val="false"/>
                <w:color w:val="000000"/>
                <w:sz w:val="18"/>
                <w:szCs w:val="18"/>
              </w:rPr>
              <w:t xml:space="preserve">Confirmée (p = 0,003)</w:t>
            </w:r>
          </w:p>
        </w:tc>
      </w:tr>
      <w:tr>
        <w:tc>
          <w:tcPr>
            <w:tcW w:type="dxa" w:w="900"/>
            <w:tcMar>
              <w:top w:type="dxa" w:w="60"/>
              <w:left w:type="dxa" w:w="80"/>
              <w:bottom w:type="dxa" w:w="60"/>
              <w:right w:type="dxa" w:w="80"/>
            </w:tcMar>
          </w:tcPr>
          <w:p>
            <w:r>
              <w:rPr>
                <w:b w:val="false"/>
                <w:bCs w:val="false"/>
                <w:color w:val="000000"/>
                <w:sz w:val="18"/>
                <w:szCs w:val="18"/>
              </w:rPr>
              <w:t xml:space="preserve">H2</w:t>
            </w:r>
          </w:p>
        </w:tc>
        <w:tc>
          <w:tcPr>
            <w:tcW w:type="dxa" w:w="5200"/>
            <w:tcMar>
              <w:top w:type="dxa" w:w="60"/>
              <w:left w:type="dxa" w:w="80"/>
              <w:bottom w:type="dxa" w:w="60"/>
              <w:right w:type="dxa" w:w="80"/>
            </w:tcMar>
          </w:tcPr>
          <w:p>
            <w:r>
              <w:rPr>
                <w:b w:val="false"/>
                <w:bCs w:val="false"/>
                <w:color w:val="000000"/>
                <w:sz w:val="18"/>
                <w:szCs w:val="18"/>
              </w:rPr>
              <w:t xml:space="preserve">Le contenant hermétique réduit les pertes</w:t>
            </w:r>
          </w:p>
        </w:tc>
        <w:tc>
          <w:tcPr>
            <w:tcW w:type="dxa" w:w="3500"/>
            <w:tcMar>
              <w:top w:type="dxa" w:w="60"/>
              <w:left w:type="dxa" w:w="80"/>
              <w:bottom w:type="dxa" w:w="60"/>
              <w:right w:type="dxa" w:w="80"/>
            </w:tcMar>
          </w:tcPr>
          <w:p>
            <w:r>
              <w:rPr>
                <w:b w:val="false"/>
                <w:bCs w:val="false"/>
                <w:color w:val="000000"/>
                <w:sz w:val="18"/>
                <w:szCs w:val="18"/>
              </w:rPr>
              <w:t xml:space="preserve">Confirmée (p &lt; 0,0001)</w:t>
            </w:r>
          </w:p>
        </w:tc>
      </w:tr>
      <w:tr>
        <w:tc>
          <w:tcPr>
            <w:tcW w:type="dxa" w:w="900"/>
            <w:tcMar>
              <w:top w:type="dxa" w:w="60"/>
              <w:left w:type="dxa" w:w="80"/>
              <w:bottom w:type="dxa" w:w="60"/>
              <w:right w:type="dxa" w:w="80"/>
            </w:tcMar>
          </w:tcPr>
          <w:p>
            <w:r>
              <w:rPr>
                <w:b w:val="false"/>
                <w:bCs w:val="false"/>
                <w:color w:val="000000"/>
                <w:sz w:val="18"/>
                <w:szCs w:val="18"/>
              </w:rPr>
              <w:t xml:space="preserve">H3</w:t>
            </w:r>
          </w:p>
        </w:tc>
        <w:tc>
          <w:tcPr>
            <w:tcW w:type="dxa" w:w="5200"/>
            <w:tcMar>
              <w:top w:type="dxa" w:w="60"/>
              <w:left w:type="dxa" w:w="80"/>
              <w:bottom w:type="dxa" w:w="60"/>
              <w:right w:type="dxa" w:w="80"/>
            </w:tcMar>
          </w:tcPr>
          <w:p>
            <w:r>
              <w:rPr>
                <w:b w:val="false"/>
                <w:bCs w:val="false"/>
                <w:color w:val="000000"/>
                <w:sz w:val="18"/>
                <w:szCs w:val="18"/>
              </w:rPr>
              <w:t xml:space="preserve">Le traitement chimique réduit les pertes</w:t>
            </w:r>
          </w:p>
        </w:tc>
        <w:tc>
          <w:tcPr>
            <w:tcW w:type="dxa" w:w="3500"/>
            <w:tcMar>
              <w:top w:type="dxa" w:w="60"/>
              <w:left w:type="dxa" w:w="80"/>
              <w:bottom w:type="dxa" w:w="60"/>
              <w:right w:type="dxa" w:w="80"/>
            </w:tcMar>
          </w:tcPr>
          <w:p>
            <w:r>
              <w:rPr>
                <w:b w:val="false"/>
                <w:bCs w:val="false"/>
                <w:color w:val="000000"/>
                <w:sz w:val="18"/>
                <w:szCs w:val="18"/>
              </w:rPr>
              <w:t xml:space="preserve">Non confirmée (effet nul, voire inverse, après ajustement)</w:t>
            </w:r>
          </w:p>
        </w:tc>
      </w:tr>
      <w:tr>
        <w:tc>
          <w:tcPr>
            <w:tcW w:type="dxa" w:w="900"/>
            <w:tcMar>
              <w:top w:type="dxa" w:w="60"/>
              <w:left w:type="dxa" w:w="80"/>
              <w:bottom w:type="dxa" w:w="60"/>
              <w:right w:type="dxa" w:w="80"/>
            </w:tcMar>
          </w:tcPr>
          <w:p>
            <w:r>
              <w:rPr>
                <w:b w:val="false"/>
                <w:bCs w:val="false"/>
                <w:color w:val="000000"/>
                <w:sz w:val="18"/>
                <w:szCs w:val="18"/>
              </w:rPr>
              <w:t xml:space="preserve">H4</w:t>
            </w:r>
          </w:p>
        </w:tc>
        <w:tc>
          <w:tcPr>
            <w:tcW w:type="dxa" w:w="5200"/>
            <w:tcMar>
              <w:top w:type="dxa" w:w="60"/>
              <w:left w:type="dxa" w:w="80"/>
              <w:bottom w:type="dxa" w:w="60"/>
              <w:right w:type="dxa" w:w="80"/>
            </w:tcMar>
          </w:tcPr>
          <w:p>
            <w:r>
              <w:rPr>
                <w:b w:val="false"/>
                <w:bCs w:val="false"/>
                <w:color w:val="000000"/>
                <w:sz w:val="18"/>
                <w:szCs w:val="18"/>
              </w:rPr>
              <w:t xml:space="preserve">Les pertes varient selon la commune</w:t>
            </w:r>
          </w:p>
        </w:tc>
        <w:tc>
          <w:tcPr>
            <w:tcW w:type="dxa" w:w="3500"/>
            <w:tcMar>
              <w:top w:type="dxa" w:w="60"/>
              <w:left w:type="dxa" w:w="80"/>
              <w:bottom w:type="dxa" w:w="60"/>
              <w:right w:type="dxa" w:w="80"/>
            </w:tcMar>
          </w:tcPr>
          <w:p>
            <w:r>
              <w:rPr>
                <w:b w:val="false"/>
                <w:bCs w:val="false"/>
                <w:color w:val="000000"/>
                <w:sz w:val="18"/>
                <w:szCs w:val="18"/>
              </w:rPr>
              <w:t xml:space="preserve">Partiellement : déclarations oui (p &lt; 0,001), mesures non ; effet expliqué par les contenants</w:t>
            </w:r>
          </w:p>
        </w:tc>
      </w:tr>
      <w:tr>
        <w:tc>
          <w:tcPr>
            <w:tcW w:type="dxa" w:w="900"/>
            <w:tcMar>
              <w:top w:type="dxa" w:w="60"/>
              <w:left w:type="dxa" w:w="80"/>
              <w:bottom w:type="dxa" w:w="60"/>
              <w:right w:type="dxa" w:w="80"/>
            </w:tcMar>
          </w:tcPr>
          <w:p>
            <w:r>
              <w:rPr>
                <w:b w:val="false"/>
                <w:bCs w:val="false"/>
                <w:color w:val="000000"/>
                <w:sz w:val="18"/>
                <w:szCs w:val="18"/>
              </w:rPr>
              <w:t xml:space="preserve">H5</w:t>
            </w:r>
          </w:p>
        </w:tc>
        <w:tc>
          <w:tcPr>
            <w:tcW w:type="dxa" w:w="5200"/>
            <w:tcMar>
              <w:top w:type="dxa" w:w="60"/>
              <w:left w:type="dxa" w:w="80"/>
              <w:bottom w:type="dxa" w:w="60"/>
              <w:right w:type="dxa" w:w="80"/>
            </w:tcMar>
          </w:tcPr>
          <w:p>
            <w:r>
              <w:rPr>
                <w:b w:val="false"/>
                <w:bCs w:val="false"/>
                <w:color w:val="000000"/>
                <w:sz w:val="18"/>
                <w:szCs w:val="18"/>
              </w:rPr>
              <w:t xml:space="preserve">La valeur des pertes croît avec la production et le stock</w:t>
            </w:r>
          </w:p>
        </w:tc>
        <w:tc>
          <w:tcPr>
            <w:tcW w:type="dxa" w:w="3500"/>
            <w:tcMar>
              <w:top w:type="dxa" w:w="60"/>
              <w:left w:type="dxa" w:w="80"/>
              <w:bottom w:type="dxa" w:w="60"/>
              <w:right w:type="dxa" w:w="80"/>
            </w:tcMar>
          </w:tcPr>
          <w:p>
            <w:r>
              <w:rPr>
                <w:b w:val="false"/>
                <w:bCs w:val="false"/>
                <w:color w:val="000000"/>
                <w:sz w:val="18"/>
                <w:szCs w:val="18"/>
              </w:rPr>
              <w:t xml:space="preserve">Confirmée (ρ = 0,35–0,38, p &lt; 0,0001)</w:t>
            </w:r>
          </w:p>
        </w:tc>
      </w:tr>
      <w:tr>
        <w:tc>
          <w:tcPr>
            <w:tcW w:type="dxa" w:w="900"/>
            <w:tcMar>
              <w:top w:type="dxa" w:w="60"/>
              <w:left w:type="dxa" w:w="80"/>
              <w:bottom w:type="dxa" w:w="60"/>
              <w:right w:type="dxa" w:w="80"/>
            </w:tcMar>
          </w:tcPr>
          <w:p>
            <w:r>
              <w:rPr>
                <w:b w:val="false"/>
                <w:bCs w:val="false"/>
                <w:color w:val="000000"/>
                <w:sz w:val="18"/>
                <w:szCs w:val="18"/>
              </w:rPr>
              <w:t xml:space="preserve">H6</w:t>
            </w:r>
          </w:p>
        </w:tc>
        <w:tc>
          <w:tcPr>
            <w:tcW w:type="dxa" w:w="5200"/>
            <w:tcMar>
              <w:top w:type="dxa" w:w="60"/>
              <w:left w:type="dxa" w:w="80"/>
              <w:bottom w:type="dxa" w:w="60"/>
              <w:right w:type="dxa" w:w="80"/>
            </w:tcMar>
          </w:tcPr>
          <w:p>
            <w:r>
              <w:rPr>
                <w:b w:val="false"/>
                <w:bCs w:val="false"/>
                <w:color w:val="000000"/>
                <w:sz w:val="18"/>
                <w:szCs w:val="18"/>
              </w:rPr>
              <w:t xml:space="preserve">Les pertes de stockage dégradent la couverture alimentaire</w:t>
            </w:r>
          </w:p>
        </w:tc>
        <w:tc>
          <w:tcPr>
            <w:tcW w:type="dxa" w:w="3500"/>
            <w:tcMar>
              <w:top w:type="dxa" w:w="60"/>
              <w:left w:type="dxa" w:w="80"/>
              <w:bottom w:type="dxa" w:w="60"/>
              <w:right w:type="dxa" w:w="80"/>
            </w:tcMar>
          </w:tcPr>
          <w:p>
            <w:r>
              <w:rPr>
                <w:b w:val="false"/>
                <w:bCs w:val="false"/>
                <w:color w:val="000000"/>
                <w:sz w:val="18"/>
                <w:szCs w:val="18"/>
              </w:rPr>
              <w:t xml:space="preserve">Tendance non significative ; la superficie est le déterminant majeur (p = 0,008)</w:t>
            </w:r>
          </w:p>
        </w:tc>
      </w:tr>
      <w:tr>
        <w:tc>
          <w:tcPr>
            <w:tcW w:type="dxa" w:w="900"/>
            <w:tcMar>
              <w:top w:type="dxa" w:w="60"/>
              <w:left w:type="dxa" w:w="80"/>
              <w:bottom w:type="dxa" w:w="60"/>
              <w:right w:type="dxa" w:w="80"/>
            </w:tcMar>
          </w:tcPr>
          <w:p>
            <w:r>
              <w:rPr>
                <w:b w:val="false"/>
                <w:bCs w:val="false"/>
                <w:color w:val="000000"/>
                <w:sz w:val="18"/>
                <w:szCs w:val="18"/>
              </w:rPr>
              <w:t xml:space="preserve">H7</w:t>
            </w:r>
          </w:p>
        </w:tc>
        <w:tc>
          <w:tcPr>
            <w:tcW w:type="dxa" w:w="5200"/>
            <w:tcMar>
              <w:top w:type="dxa" w:w="60"/>
              <w:left w:type="dxa" w:w="80"/>
              <w:bottom w:type="dxa" w:w="60"/>
              <w:right w:type="dxa" w:w="80"/>
            </w:tcMar>
          </w:tcPr>
          <w:p>
            <w:r>
              <w:rPr>
                <w:b w:val="false"/>
                <w:bCs w:val="false"/>
                <w:color w:val="000000"/>
                <w:sz w:val="18"/>
                <w:szCs w:val="18"/>
              </w:rPr>
              <w:t xml:space="preserve">Formation et instruction réduisent les pertes</w:t>
            </w:r>
          </w:p>
        </w:tc>
        <w:tc>
          <w:tcPr>
            <w:tcW w:type="dxa" w:w="3500"/>
            <w:tcMar>
              <w:top w:type="dxa" w:w="60"/>
              <w:left w:type="dxa" w:w="80"/>
              <w:bottom w:type="dxa" w:w="60"/>
              <w:right w:type="dxa" w:w="80"/>
            </w:tcMar>
          </w:tcPr>
          <w:p>
            <w:r>
              <w:rPr>
                <w:b w:val="false"/>
                <w:bCs w:val="false"/>
                <w:color w:val="000000"/>
                <w:sz w:val="18"/>
                <w:szCs w:val="18"/>
              </w:rPr>
              <w:t xml:space="preserve">Non confirmée</w:t>
            </w:r>
          </w:p>
        </w:tc>
      </w:tr>
      <w:tr>
        <w:tc>
          <w:tcPr>
            <w:tcW w:type="dxa" w:w="900"/>
            <w:tcMar>
              <w:top w:type="dxa" w:w="60"/>
              <w:left w:type="dxa" w:w="80"/>
              <w:bottom w:type="dxa" w:w="60"/>
              <w:right w:type="dxa" w:w="80"/>
            </w:tcMar>
          </w:tcPr>
          <w:p>
            <w:r>
              <w:rPr>
                <w:b w:val="false"/>
                <w:bCs w:val="false"/>
                <w:color w:val="000000"/>
                <w:sz w:val="18"/>
                <w:szCs w:val="18"/>
              </w:rPr>
              <w:t xml:space="preserve">H8</w:t>
            </w:r>
          </w:p>
        </w:tc>
        <w:tc>
          <w:tcPr>
            <w:tcW w:type="dxa" w:w="5200"/>
            <w:tcMar>
              <w:top w:type="dxa" w:w="60"/>
              <w:left w:type="dxa" w:w="80"/>
              <w:bottom w:type="dxa" w:w="60"/>
              <w:right w:type="dxa" w:w="80"/>
            </w:tcMar>
          </w:tcPr>
          <w:p>
            <w:r>
              <w:rPr>
                <w:b w:val="false"/>
                <w:bCs w:val="false"/>
                <w:color w:val="000000"/>
                <w:sz w:val="18"/>
                <w:szCs w:val="18"/>
              </w:rPr>
              <w:t xml:space="preserve">Le rendement dépend de la superficie</w:t>
            </w:r>
          </w:p>
        </w:tc>
        <w:tc>
          <w:tcPr>
            <w:tcW w:type="dxa" w:w="3500"/>
            <w:tcMar>
              <w:top w:type="dxa" w:w="60"/>
              <w:left w:type="dxa" w:w="80"/>
              <w:bottom w:type="dxa" w:w="60"/>
              <w:right w:type="dxa" w:w="80"/>
            </w:tcMar>
          </w:tcPr>
          <w:p>
            <w:r>
              <w:rPr>
                <w:b w:val="false"/>
                <w:bCs w:val="false"/>
                <w:color w:val="000000"/>
                <w:sz w:val="18"/>
                <w:szCs w:val="18"/>
              </w:rPr>
              <w:t xml:space="preserve">Rejetée : pas d'effet d'échelle (ρ = −0,09)</w:t>
            </w:r>
          </w:p>
        </w:tc>
      </w:tr>
    </w:tbl>
    <w:p>
      <w:pPr>
        <w:spacing w:after="160"/>
      </w:pPr>
    </w:p>
    <w:p>
      <w:pPr>
        <w:pStyle w:val="Heading2"/>
        <w:spacing w:after="120" w:before="240"/>
      </w:pPr>
      <w:r>
        <w:t xml:space="preserve">1.3 Indicateurs clés (KPI)</w:t>
      </w:r>
    </w:p>
    <w:p>
      <w:pPr>
        <w:pStyle w:val="ListParagraph"/>
        <w:numPr>
          <w:ilvl w:val="0"/>
          <w:numId w:val="3"/>
        </w:numPr>
        <w:spacing w:after="60"/>
      </w:pPr>
      <w:r>
        <w:t xml:space="preserve">Taux de perte mesuré (%) par nature de produit = (poids initial − dernière pesée) / poids initial.</w:t>
      </w:r>
    </w:p>
    <w:p>
      <w:pPr>
        <w:pStyle w:val="ListParagraph"/>
        <w:numPr>
          <w:ilvl w:val="0"/>
          <w:numId w:val="3"/>
        </w:numPr>
        <w:spacing w:after="60"/>
      </w:pPr>
      <w:r>
        <w:t xml:space="preserve">Part de producteurs déclarant des pertes de stockage ; part jugeant importantes les pertes au séchage.</w:t>
      </w:r>
    </w:p>
    <w:p>
      <w:pPr>
        <w:pStyle w:val="ListParagraph"/>
        <w:numPr>
          <w:ilvl w:val="0"/>
          <w:numId w:val="3"/>
        </w:numPr>
        <w:spacing w:after="60"/>
      </w:pPr>
      <w:r>
        <w:t xml:space="preserve">Valeur monétaire des pertes (FCFA) et ratio sur la production.</w:t>
      </w:r>
    </w:p>
    <w:p>
      <w:pPr>
        <w:pStyle w:val="ListParagraph"/>
        <w:numPr>
          <w:ilvl w:val="0"/>
          <w:numId w:val="3"/>
        </w:numPr>
        <w:spacing w:after="60"/>
      </w:pPr>
      <w:r>
        <w:t xml:space="preserve">Rendement (kg/ha), production, quantité stockée, destination de la production.</w:t>
      </w:r>
    </w:p>
    <w:p>
      <w:pPr>
        <w:pStyle w:val="ListParagraph"/>
        <w:numPr>
          <w:ilvl w:val="0"/>
          <w:numId w:val="3"/>
        </w:numPr>
        <w:spacing w:after="60"/>
      </w:pPr>
      <w:r>
        <w:t xml:space="preserve">Couverture alimentaire annuelle, recours à l'emprunt, charge de travail.</w:t>
      </w:r>
    </w:p>
    <w:p>
      <w:pPr>
        <w:pStyle w:val="Heading1"/>
        <w:spacing w:after="160" w:before="360"/>
      </w:pPr>
      <w:r>
        <w:t xml:space="preserve">2. Données, audit qualité et préparation</w:t>
      </w:r>
    </w:p>
    <w:p>
      <w:pPr>
        <w:pStyle w:val="Heading2"/>
        <w:spacing w:after="120" w:before="240"/>
      </w:pPr>
      <w:r>
        <w:t xml:space="preserve">2.1 Sources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00"/>
      </w:tblGrid>
      <w:tr>
        <w:trPr>
          <w:tblHeader/>
        </w:trPr>
        <w:tc>
          <w:tcPr>
            <w:tcW w:type="dxa" w:w="3000"/>
            <w:shd w:fill="264653" w:color="auto" w:val="clear"/>
            <w:tcMar>
              <w:top w:type="dxa" w:w="60"/>
              <w:left w:type="dxa" w:w="80"/>
              <w:bottom w:type="dxa" w:w="60"/>
              <w:right w:type="dxa" w:w="80"/>
            </w:tcMar>
          </w:tcPr>
          <w:p>
            <w:r>
              <w:rPr>
                <w:b/>
                <w:bCs/>
                <w:color w:val="FFFFFF"/>
                <w:sz w:val="18"/>
                <w:szCs w:val="18"/>
              </w:rPr>
              <w:t xml:space="preserve">Source</w:t>
            </w:r>
          </w:p>
        </w:tc>
        <w:tc>
          <w:tcPr>
            <w:tcW w:type="dxa" w:w="3800"/>
            <w:shd w:fill="264653" w:color="auto" w:val="clear"/>
            <w:tcMar>
              <w:top w:type="dxa" w:w="60"/>
              <w:left w:type="dxa" w:w="80"/>
              <w:bottom w:type="dxa" w:w="60"/>
              <w:right w:type="dxa" w:w="80"/>
            </w:tcMar>
          </w:tcPr>
          <w:p>
            <w:r>
              <w:rPr>
                <w:b/>
                <w:bCs/>
                <w:color w:val="FFFFFF"/>
                <w:sz w:val="18"/>
                <w:szCs w:val="18"/>
              </w:rPr>
              <w:t xml:space="preserve">Contenu</w:t>
            </w:r>
          </w:p>
        </w:tc>
        <w:tc>
          <w:tcPr>
            <w:tcW w:type="dxa" w:w="2800"/>
            <w:shd w:fill="264653" w:color="auto" w:val="clear"/>
            <w:tcMar>
              <w:top w:type="dxa" w:w="60"/>
              <w:left w:type="dxa" w:w="80"/>
              <w:bottom w:type="dxa" w:w="60"/>
              <w:right w:type="dxa" w:w="80"/>
            </w:tcMar>
          </w:tcPr>
          <w:p>
            <w:r>
              <w:rPr>
                <w:b/>
                <w:bCs/>
                <w:color w:val="FFFFFF"/>
                <w:sz w:val="18"/>
                <w:szCs w:val="18"/>
              </w:rPr>
              <w:t xml:space="preserve">Volume</w:t>
            </w:r>
          </w:p>
        </w:tc>
      </w:tr>
      <w:tr>
        <w:tc>
          <w:tcPr>
            <w:tcW w:type="dxa" w:w="3000"/>
            <w:tcMar>
              <w:top w:type="dxa" w:w="60"/>
              <w:left w:type="dxa" w:w="80"/>
              <w:bottom w:type="dxa" w:w="60"/>
              <w:right w:type="dxa" w:w="80"/>
            </w:tcMar>
          </w:tcPr>
          <w:p>
            <w:r>
              <w:rPr>
                <w:b w:val="false"/>
                <w:bCs w:val="false"/>
                <w:color w:val="000000"/>
                <w:sz w:val="18"/>
                <w:szCs w:val="18"/>
              </w:rPr>
              <w:t xml:space="preserve">Enquête KoboToolbox « Guide d'entretien pertes post-récolte arachide »</w:t>
            </w:r>
          </w:p>
        </w:tc>
        <w:tc>
          <w:tcPr>
            <w:tcW w:type="dxa" w:w="3800"/>
            <w:tcMar>
              <w:top w:type="dxa" w:w="60"/>
              <w:left w:type="dxa" w:w="80"/>
              <w:bottom w:type="dxa" w:w="60"/>
              <w:right w:type="dxa" w:w="80"/>
            </w:tcMar>
          </w:tcPr>
          <w:p>
            <w:r>
              <w:rPr>
                <w:b w:val="false"/>
                <w:bCs w:val="false"/>
                <w:color w:val="000000"/>
                <w:sz w:val="18"/>
                <w:szCs w:val="18"/>
              </w:rPr>
              <w:t xml:space="preserve">Socio-démographie, statistiques agricoles, séchage, battage, stockage, traitements, impacts socio-économiques, solutions</w:t>
            </w:r>
          </w:p>
        </w:tc>
        <w:tc>
          <w:tcPr>
            <w:tcW w:type="dxa" w:w="2800"/>
            <w:tcMar>
              <w:top w:type="dxa" w:w="60"/>
              <w:left w:type="dxa" w:w="80"/>
              <w:bottom w:type="dxa" w:w="60"/>
              <w:right w:type="dxa" w:w="80"/>
            </w:tcMar>
          </w:tcPr>
          <w:p>
            <w:r>
              <w:rPr>
                <w:b w:val="false"/>
                <w:bCs w:val="false"/>
                <w:color w:val="000000"/>
                <w:sz w:val="18"/>
                <w:szCs w:val="18"/>
              </w:rPr>
              <w:t xml:space="preserve">195 producteurs × 193 colonnes (export « all versions – labels »), 15 villages, 3 communes, février–juillet 2026</w:t>
            </w:r>
          </w:p>
        </w:tc>
      </w:tr>
      <w:tr>
        <w:tc>
          <w:tcPr>
            <w:tcW w:type="dxa" w:w="3000"/>
            <w:tcMar>
              <w:top w:type="dxa" w:w="60"/>
              <w:left w:type="dxa" w:w="80"/>
              <w:bottom w:type="dxa" w:w="60"/>
              <w:right w:type="dxa" w:w="80"/>
            </w:tcMar>
          </w:tcPr>
          <w:p>
            <w:r>
              <w:rPr>
                <w:b w:val="false"/>
                <w:bCs w:val="false"/>
                <w:color w:val="000000"/>
                <w:sz w:val="18"/>
                <w:szCs w:val="18"/>
              </w:rPr>
              <w:t xml:space="preserve">Fiche de relevé de poids</w:t>
            </w:r>
          </w:p>
        </w:tc>
        <w:tc>
          <w:tcPr>
            <w:tcW w:type="dxa" w:w="3800"/>
            <w:tcMar>
              <w:top w:type="dxa" w:w="60"/>
              <w:left w:type="dxa" w:w="80"/>
              <w:bottom w:type="dxa" w:w="60"/>
              <w:right w:type="dxa" w:w="80"/>
            </w:tcMar>
          </w:tcPr>
          <w:p>
            <w:r>
              <w:rPr>
                <w:b w:val="false"/>
                <w:bCs w:val="false"/>
                <w:color w:val="000000"/>
                <w:sz w:val="18"/>
                <w:szCs w:val="18"/>
              </w:rPr>
              <w:t xml:space="preserve">Poids initial et pesées de suivi de lots de gousses (1 pesée) et de graines décortiquées (3 pesées), contenant, traitement, dégâts</w:t>
            </w:r>
          </w:p>
        </w:tc>
        <w:tc>
          <w:tcPr>
            <w:tcW w:type="dxa" w:w="2800"/>
            <w:tcMar>
              <w:top w:type="dxa" w:w="60"/>
              <w:left w:type="dxa" w:w="80"/>
              <w:bottom w:type="dxa" w:w="60"/>
              <w:right w:type="dxa" w:w="80"/>
            </w:tcMar>
          </w:tcPr>
          <w:p>
            <w:r>
              <w:rPr>
                <w:b w:val="false"/>
                <w:bCs w:val="false"/>
                <w:color w:val="000000"/>
                <w:sz w:val="18"/>
                <w:szCs w:val="18"/>
              </w:rPr>
              <w:t xml:space="preserve">96 lots gousses + 96 lots décortiqué (mêmes producteurs)</w:t>
            </w:r>
          </w:p>
        </w:tc>
      </w:tr>
    </w:tbl>
    <w:p>
      <w:pPr>
        <w:spacing w:after="160"/>
      </w:pPr>
    </w:p>
    <w:p>
      <w:pPr>
        <w:pStyle w:val="Heading2"/>
        <w:spacing w:after="120" w:before="240"/>
      </w:pPr>
      <w:r>
        <w:t xml:space="preserve">2.2 Principaux constats de l'audit</w:t>
      </w:r>
    </w:p>
    <w:p>
      <w:pPr>
        <w:pStyle w:val="ListParagraph"/>
        <w:numPr>
          <w:ilvl w:val="0"/>
          <w:numId w:val="3"/>
        </w:numPr>
        <w:spacing w:after="60"/>
      </w:pPr>
      <w:r>
        <w:t xml:space="preserve">Export Kobo multi-versions : 45 colonnes entièrement vides (anciennes versions du formulaire) supprimées ; questions à choix multiples doublées (texte + indicatrices 0/1).</w:t>
      </w:r>
    </w:p>
    <w:p>
      <w:pPr>
        <w:pStyle w:val="ListParagraph"/>
        <w:numPr>
          <w:ilvl w:val="0"/>
          <w:numId w:val="3"/>
        </w:numPr>
        <w:spacing w:after="60"/>
      </w:pPr>
      <w:r>
        <w:t xml:space="preserve">Aucun doublon d'identifiant ; 29 homonymes vérifiés (villages ou âges différents) — personnes distinctes.</w:t>
      </w:r>
    </w:p>
    <w:p>
      <w:pPr>
        <w:pStyle w:val="ListParagraph"/>
        <w:numPr>
          <w:ilvl w:val="0"/>
          <w:numId w:val="3"/>
        </w:numPr>
        <w:spacing w:after="60"/>
      </w:pPr>
      <w:r>
        <w:t xml:space="preserve">Erreurs de saisie : 1 superficie de 1 500 ha (production 70 kg) → mise en valeur manquante ; 5 rendements de 5 000–6 700 kg/ha (3 à 5 fois le potentiel agronomique) → rendement exclu, production conservée ; 2 « prix d'achat » de 30 000–50 000 FCFA (montants totaux) → exclus.</w:t>
      </w:r>
    </w:p>
    <w:p>
      <w:pPr>
        <w:pStyle w:val="ListParagraph"/>
        <w:numPr>
          <w:ilvl w:val="0"/>
          <w:numId w:val="3"/>
        </w:numPr>
        <w:spacing w:after="60"/>
      </w:pPr>
      <w:r>
        <w:t xml:space="preserve">Champs libres hétérogènes recodés : mode de financement (42 graphies → 5 modalités), solutions proposées (58 graphies → 3 thèmes), modalités avec espaces parasites standardisées.</w:t>
      </w:r>
    </w:p>
    <w:p>
      <w:pPr>
        <w:pStyle w:val="ListParagraph"/>
        <w:numPr>
          <w:ilvl w:val="0"/>
          <w:numId w:val="3"/>
        </w:numPr>
        <w:spacing w:after="60"/>
      </w:pPr>
      <w:r>
        <w:t xml:space="preserve">Fiche de relevé : structure semi-tabulaire reconstruite par un parseur (commune propagée, lignes d'agrégats ignorées). Les formules Excel d'origine étaient incohérentes (72 lots décortiqués calculés sur la 1ʳᵉ pesée au lieu de la 3ᵉ ; moyennes de village faussées par des sommes) : le taux de perte a été entièrement recalculé.</w:t>
      </w:r>
    </w:p>
    <w:p>
      <w:pPr>
        <w:pStyle w:val="ListParagraph"/>
        <w:numPr>
          <w:ilvl w:val="0"/>
          <w:numId w:val="3"/>
        </w:numPr>
        <w:spacing w:after="60"/>
      </w:pPr>
      <w:r>
        <w:t xml:space="preserve">Précision des pesées : multiples de 25–50 kg, soit une résolution grossière pour des lots de 100–300 kg ; beaucoup de lots affichent 0 % de perte détectée.</w:t>
      </w:r>
    </w:p>
    <w:p>
      <w:pPr>
        <w:pStyle w:val="ListParagraph"/>
        <w:numPr>
          <w:ilvl w:val="0"/>
          <w:numId w:val="3"/>
        </w:numPr>
        <w:spacing w:after="60"/>
      </w:pPr>
      <w:r>
        <w:t xml:space="preserve">Sept lots « à tester » (traitement à l'ail, bidons sans traitement) sont conservés et signalés.</w:t>
      </w:r>
    </w:p>
    <w:p>
      <w:pPr>
        <w:pStyle w:val="Heading2"/>
        <w:spacing w:after="120" w:before="240"/>
      </w:pPr>
      <w:r>
        <w:t xml:space="preserve">2.3 Variables construites</w:t>
      </w:r>
    </w:p>
    <w:p>
      <w:pPr>
        <w:pStyle w:val="ListParagraph"/>
        <w:numPr>
          <w:ilvl w:val="0"/>
          <w:numId w:val="3"/>
        </w:numPr>
        <w:spacing w:after="60"/>
      </w:pPr>
      <w:r>
        <w:t xml:space="preserve">Rendement (kg/ha), part stockée, classes d'âge et de superficie, niveau d'instruction regroupé.</w:t>
      </w:r>
    </w:p>
    <w:p>
      <w:pPr>
        <w:pStyle w:val="ListParagraph"/>
        <w:numPr>
          <w:ilvl w:val="0"/>
          <w:numId w:val="3"/>
        </w:numPr>
        <w:spacing w:after="60"/>
      </w:pPr>
      <w:r>
        <w:t xml:space="preserve">Mode de stockage en 3 classes : sacs uniquement (67 %), sacs + contenant hermétique (25 %), hermétique uniquement (8 %).</w:t>
      </w:r>
    </w:p>
    <w:p>
      <w:pPr>
        <w:pStyle w:val="ListParagraph"/>
        <w:numPr>
          <w:ilvl w:val="0"/>
          <w:numId w:val="3"/>
        </w:numPr>
        <w:spacing w:after="60"/>
      </w:pPr>
      <w:r>
        <w:t xml:space="preserve">Contenant hermétique = bidon, fût ou barrique ; traitement en 5 classes (perles, perles + poudre, poudre, ail, aucun).</w:t>
      </w:r>
    </w:p>
    <w:p>
      <w:pPr>
        <w:pStyle w:val="ListParagraph"/>
        <w:numPr>
          <w:ilvl w:val="0"/>
          <w:numId w:val="3"/>
        </w:numPr>
        <w:spacing w:after="60"/>
      </w:pPr>
      <w:r>
        <w:t xml:space="preserve">Dégâts observés codés en trouaison, moisissures, cassures, graines immatures.</w:t>
      </w:r>
    </w:p>
    <w:p>
      <w:pPr>
        <w:pStyle w:val="ListParagraph"/>
        <w:numPr>
          <w:ilvl w:val="0"/>
          <w:numId w:val="3"/>
        </w:numPr>
        <w:spacing w:after="60"/>
      </w:pPr>
      <w:r>
        <w:t xml:space="preserve">Appariement flou nom + village entre les deux sources : 146 lots sur 192 reliés à un enquêté (score ≥ 75).</w:t>
      </w:r>
    </w:p>
    <w:p>
      <w:pPr>
        <w:pStyle w:val="Heading1"/>
        <w:spacing w:after="160" w:before="360"/>
      </w:pPr>
      <w:r>
        <w:t xml:space="preserve">3. Analyse descriptive</w:t>
      </w:r>
    </w:p>
    <w:p>
      <w:pPr>
        <w:pStyle w:val="Heading2"/>
        <w:spacing w:after="120" w:before="240"/>
      </w:pPr>
      <w:r>
        <w:t xml:space="preserve">3.1 Profil des producteurs et des exploitations</w:t>
      </w:r>
    </w:p>
    <w:p>
      <w:pPr>
        <w:spacing w:after="120"/>
      </w:pPr>
      <w:r>
        <w:t xml:space="preserve">Producteurs âgés (moyenne 53 ans, un quart ≥ 64 ans), quasi exclusivement des hommes (98 %), instruction coranique à 84 %, formation technique reçue par 7 % seulement. Exploitations petites : superficie médiane 3 ha, production médiane 2 000 kg, rendement médian ≈ 700 kg/ha, stock médian 600 kg (≈ 30 % de la production). Destination : 60–70 % vendus, ~20 % autoconsommés, ~15 % semences.</w:t>
      </w:r>
    </w:p>
    <w:p>
      <w:pPr>
        <w:spacing w:after="60" w:before="12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52800"/>
                    </a:xfrm>
                    <a:prstGeom prst="rect">
                      <a:avLst/>
                    </a:prstGeom>
                  </pic:spPr>
                </pic:pic>
              </a:graphicData>
            </a:graphic>
          </wp:inline>
        </w:drawing>
      </w:r>
    </w:p>
    <w:p>
      <w:pPr>
        <w:spacing w:after="200"/>
        <w:jc w:val="center"/>
      </w:pPr>
      <w:r>
        <w:rPr>
          <w:i/>
          <w:iCs/>
          <w:color w:val="555555"/>
          <w:sz w:val="18"/>
          <w:szCs w:val="18"/>
        </w:rPr>
        <w:t xml:space="preserve">Figure 1 — Distributions des principales variables quantitatives (asymétrie à droite : tests non paramétriques privilégiés)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1100"/>
        <w:gridCol w:w="1100"/>
        <w:gridCol w:w="1100"/>
        <w:gridCol w:w="900"/>
        <w:gridCol w:w="1000"/>
        <w:gridCol w:w="1200"/>
        <w:gridCol w:w="1000"/>
      </w:tblGrid>
      <w:tr>
        <w:trPr>
          <w:tblHeader/>
        </w:trPr>
        <w:tc>
          <w:tcPr>
            <w:tcW w:type="dxa" w:w="1700"/>
            <w:shd w:fill="264653" w:color="auto" w:val="clear"/>
            <w:tcMar>
              <w:top w:type="dxa" w:w="60"/>
              <w:left w:type="dxa" w:w="80"/>
              <w:bottom w:type="dxa" w:w="60"/>
              <w:right w:type="dxa" w:w="80"/>
            </w:tcMar>
          </w:tcPr>
          <w:p>
            <w:r>
              <w:rPr>
                <w:b/>
                <w:bCs/>
                <w:color w:val="FFFFFF"/>
                <w:sz w:val="18"/>
                <w:szCs w:val="18"/>
              </w:rPr>
              <w:t xml:space="preserve">Commune</w:t>
            </w:r>
          </w:p>
        </w:tc>
        <w:tc>
          <w:tcPr>
            <w:tcW w:type="dxa" w:w="500"/>
            <w:shd w:fill="264653" w:color="auto" w:val="clear"/>
            <w:tcMar>
              <w:top w:type="dxa" w:w="60"/>
              <w:left w:type="dxa" w:w="80"/>
              <w:bottom w:type="dxa" w:w="60"/>
              <w:right w:type="dxa" w:w="80"/>
            </w:tcMar>
          </w:tcPr>
          <w:p>
            <w:r>
              <w:rPr>
                <w:b/>
                <w:bCs/>
                <w:color w:val="FFFFFF"/>
                <w:sz w:val="18"/>
                <w:szCs w:val="18"/>
              </w:rPr>
              <w:t xml:space="preserve">n</w:t>
            </w:r>
          </w:p>
        </w:tc>
        <w:tc>
          <w:tcPr>
            <w:tcW w:type="dxa" w:w="1100"/>
            <w:shd w:fill="264653" w:color="auto" w:val="clear"/>
            <w:tcMar>
              <w:top w:type="dxa" w:w="60"/>
              <w:left w:type="dxa" w:w="80"/>
              <w:bottom w:type="dxa" w:w="60"/>
              <w:right w:type="dxa" w:w="80"/>
            </w:tcMar>
          </w:tcPr>
          <w:p>
            <w:r>
              <w:rPr>
                <w:b/>
                <w:bCs/>
                <w:color w:val="FFFFFF"/>
                <w:sz w:val="18"/>
                <w:szCs w:val="18"/>
              </w:rPr>
              <w:t xml:space="preserve">Superficie méd. (ha)</w:t>
            </w:r>
          </w:p>
        </w:tc>
        <w:tc>
          <w:tcPr>
            <w:tcW w:type="dxa" w:w="1100"/>
            <w:shd w:fill="264653" w:color="auto" w:val="clear"/>
            <w:tcMar>
              <w:top w:type="dxa" w:w="60"/>
              <w:left w:type="dxa" w:w="80"/>
              <w:bottom w:type="dxa" w:w="60"/>
              <w:right w:type="dxa" w:w="80"/>
            </w:tcMar>
          </w:tcPr>
          <w:p>
            <w:r>
              <w:rPr>
                <w:b/>
                <w:bCs/>
                <w:color w:val="FFFFFF"/>
                <w:sz w:val="18"/>
                <w:szCs w:val="18"/>
              </w:rPr>
              <w:t xml:space="preserve">Production méd. (kg)</w:t>
            </w:r>
          </w:p>
        </w:tc>
        <w:tc>
          <w:tcPr>
            <w:tcW w:type="dxa" w:w="1100"/>
            <w:shd w:fill="264653" w:color="auto" w:val="clear"/>
            <w:tcMar>
              <w:top w:type="dxa" w:w="60"/>
              <w:left w:type="dxa" w:w="80"/>
              <w:bottom w:type="dxa" w:w="60"/>
              <w:right w:type="dxa" w:w="80"/>
            </w:tcMar>
          </w:tcPr>
          <w:p>
            <w:r>
              <w:rPr>
                <w:b/>
                <w:bCs/>
                <w:color w:val="FFFFFF"/>
                <w:sz w:val="18"/>
                <w:szCs w:val="18"/>
              </w:rPr>
              <w:t xml:space="preserve">Rendement méd. (kg/ha)</w:t>
            </w:r>
          </w:p>
        </w:tc>
        <w:tc>
          <w:tcPr>
            <w:tcW w:type="dxa" w:w="900"/>
            <w:shd w:fill="264653" w:color="auto" w:val="clear"/>
            <w:tcMar>
              <w:top w:type="dxa" w:w="60"/>
              <w:left w:type="dxa" w:w="80"/>
              <w:bottom w:type="dxa" w:w="60"/>
              <w:right w:type="dxa" w:w="80"/>
            </w:tcMar>
          </w:tcPr>
          <w:p>
            <w:r>
              <w:rPr>
                <w:b/>
                <w:bCs/>
                <w:color w:val="FFFFFF"/>
                <w:sz w:val="18"/>
                <w:szCs w:val="18"/>
              </w:rPr>
              <w:t xml:space="preserve">Fût/bidon</w:t>
            </w:r>
          </w:p>
        </w:tc>
        <w:tc>
          <w:tcPr>
            <w:tcW w:type="dxa" w:w="1000"/>
            <w:shd w:fill="264653" w:color="auto" w:val="clear"/>
            <w:tcMar>
              <w:top w:type="dxa" w:w="60"/>
              <w:left w:type="dxa" w:w="80"/>
              <w:bottom w:type="dxa" w:w="60"/>
              <w:right w:type="dxa" w:w="80"/>
            </w:tcMar>
          </w:tcPr>
          <w:p>
            <w:r>
              <w:rPr>
                <w:b/>
                <w:bCs/>
                <w:color w:val="FFFFFF"/>
                <w:sz w:val="18"/>
                <w:szCs w:val="18"/>
              </w:rPr>
              <w:t xml:space="preserve">Pertes déclarées</w:t>
            </w:r>
          </w:p>
        </w:tc>
        <w:tc>
          <w:tcPr>
            <w:tcW w:type="dxa" w:w="1200"/>
            <w:shd w:fill="264653" w:color="auto" w:val="clear"/>
            <w:tcMar>
              <w:top w:type="dxa" w:w="60"/>
              <w:left w:type="dxa" w:w="80"/>
              <w:bottom w:type="dxa" w:w="60"/>
              <w:right w:type="dxa" w:w="80"/>
            </w:tcMar>
          </w:tcPr>
          <w:p>
            <w:r>
              <w:rPr>
                <w:b/>
                <w:bCs/>
                <w:color w:val="FFFFFF"/>
                <w:sz w:val="18"/>
                <w:szCs w:val="18"/>
              </w:rPr>
              <w:t xml:space="preserve">Valeur pertes méd. (FCFA)</w:t>
            </w:r>
          </w:p>
        </w:tc>
        <w:tc>
          <w:tcPr>
            <w:tcW w:type="dxa" w:w="1000"/>
            <w:shd w:fill="264653" w:color="auto" w:val="clear"/>
            <w:tcMar>
              <w:top w:type="dxa" w:w="60"/>
              <w:left w:type="dxa" w:w="80"/>
              <w:bottom w:type="dxa" w:w="60"/>
              <w:right w:type="dxa" w:w="80"/>
            </w:tcMar>
          </w:tcPr>
          <w:p>
            <w:r>
              <w:rPr>
                <w:b/>
                <w:bCs/>
                <w:color w:val="FFFFFF"/>
                <w:sz w:val="18"/>
                <w:szCs w:val="18"/>
              </w:rPr>
              <w:t xml:space="preserve">Couverture alim.</w:t>
            </w:r>
          </w:p>
        </w:tc>
      </w:tr>
      <w:tr>
        <w:tc>
          <w:tcPr>
            <w:tcW w:type="dxa" w:w="1700"/>
            <w:tcMar>
              <w:top w:type="dxa" w:w="60"/>
              <w:left w:type="dxa" w:w="80"/>
              <w:bottom w:type="dxa" w:w="60"/>
              <w:right w:type="dxa" w:w="80"/>
            </w:tcMar>
          </w:tcPr>
          <w:p>
            <w:r>
              <w:rPr>
                <w:b w:val="false"/>
                <w:bCs w:val="false"/>
                <w:color w:val="000000"/>
                <w:sz w:val="18"/>
                <w:szCs w:val="18"/>
              </w:rPr>
              <w:t xml:space="preserve">Keur Saloum Diané</w:t>
            </w:r>
          </w:p>
        </w:tc>
        <w:tc>
          <w:tcPr>
            <w:tcW w:type="dxa" w:w="500"/>
            <w:tcMar>
              <w:top w:type="dxa" w:w="60"/>
              <w:left w:type="dxa" w:w="80"/>
              <w:bottom w:type="dxa" w:w="60"/>
              <w:right w:type="dxa" w:w="80"/>
            </w:tcMar>
          </w:tcPr>
          <w:p>
            <w:r>
              <w:rPr>
                <w:b w:val="false"/>
                <w:bCs w:val="false"/>
                <w:color w:val="000000"/>
                <w:sz w:val="18"/>
                <w:szCs w:val="18"/>
              </w:rPr>
              <w:t xml:space="preserve">32</w:t>
            </w:r>
          </w:p>
        </w:tc>
        <w:tc>
          <w:tcPr>
            <w:tcW w:type="dxa" w:w="1100"/>
            <w:tcMar>
              <w:top w:type="dxa" w:w="60"/>
              <w:left w:type="dxa" w:w="80"/>
              <w:bottom w:type="dxa" w:w="60"/>
              <w:right w:type="dxa" w:w="80"/>
            </w:tcMar>
          </w:tcPr>
          <w:p>
            <w:r>
              <w:rPr>
                <w:b w:val="false"/>
                <w:bCs w:val="false"/>
                <w:color w:val="000000"/>
                <w:sz w:val="18"/>
                <w:szCs w:val="18"/>
              </w:rPr>
              <w:t xml:space="preserve">2</w:t>
            </w:r>
          </w:p>
        </w:tc>
        <w:tc>
          <w:tcPr>
            <w:tcW w:type="dxa" w:w="1100"/>
            <w:tcMar>
              <w:top w:type="dxa" w:w="60"/>
              <w:left w:type="dxa" w:w="80"/>
              <w:bottom w:type="dxa" w:w="60"/>
              <w:right w:type="dxa" w:w="80"/>
            </w:tcMar>
          </w:tcPr>
          <w:p>
            <w:r>
              <w:rPr>
                <w:b w:val="false"/>
                <w:bCs w:val="false"/>
                <w:color w:val="000000"/>
                <w:sz w:val="18"/>
                <w:szCs w:val="18"/>
              </w:rPr>
              <w:t xml:space="preserve">1 500</w:t>
            </w:r>
          </w:p>
        </w:tc>
        <w:tc>
          <w:tcPr>
            <w:tcW w:type="dxa" w:w="1100"/>
            <w:tcMar>
              <w:top w:type="dxa" w:w="60"/>
              <w:left w:type="dxa" w:w="80"/>
              <w:bottom w:type="dxa" w:w="60"/>
              <w:right w:type="dxa" w:w="80"/>
            </w:tcMar>
          </w:tcPr>
          <w:p>
            <w:r>
              <w:rPr>
                <w:b w:val="false"/>
                <w:bCs w:val="false"/>
                <w:color w:val="000000"/>
                <w:sz w:val="18"/>
                <w:szCs w:val="18"/>
              </w:rPr>
              <w:t xml:space="preserve">667</w:t>
            </w:r>
          </w:p>
        </w:tc>
        <w:tc>
          <w:tcPr>
            <w:tcW w:type="dxa" w:w="900"/>
            <w:tcMar>
              <w:top w:type="dxa" w:w="60"/>
              <w:left w:type="dxa" w:w="80"/>
              <w:bottom w:type="dxa" w:w="60"/>
              <w:right w:type="dxa" w:w="80"/>
            </w:tcMar>
          </w:tcPr>
          <w:p>
            <w:r>
              <w:rPr>
                <w:b w:val="false"/>
                <w:bCs w:val="false"/>
                <w:color w:val="000000"/>
                <w:sz w:val="18"/>
                <w:szCs w:val="18"/>
              </w:rPr>
              <w:t xml:space="preserve">6 %</w:t>
            </w:r>
          </w:p>
        </w:tc>
        <w:tc>
          <w:tcPr>
            <w:tcW w:type="dxa" w:w="1000"/>
            <w:tcMar>
              <w:top w:type="dxa" w:w="60"/>
              <w:left w:type="dxa" w:w="80"/>
              <w:bottom w:type="dxa" w:w="60"/>
              <w:right w:type="dxa" w:w="80"/>
            </w:tcMar>
          </w:tcPr>
          <w:p>
            <w:r>
              <w:rPr>
                <w:b w:val="false"/>
                <w:bCs w:val="false"/>
                <w:color w:val="000000"/>
                <w:sz w:val="18"/>
                <w:szCs w:val="18"/>
              </w:rPr>
              <w:t xml:space="preserve">88 %</w:t>
            </w:r>
          </w:p>
        </w:tc>
        <w:tc>
          <w:tcPr>
            <w:tcW w:type="dxa" w:w="1200"/>
            <w:tcMar>
              <w:top w:type="dxa" w:w="60"/>
              <w:left w:type="dxa" w:w="80"/>
              <w:bottom w:type="dxa" w:w="60"/>
              <w:right w:type="dxa" w:w="80"/>
            </w:tcMar>
          </w:tcPr>
          <w:p>
            <w:r>
              <w:rPr>
                <w:b w:val="false"/>
                <w:bCs w:val="false"/>
                <w:color w:val="000000"/>
                <w:sz w:val="18"/>
                <w:szCs w:val="18"/>
              </w:rPr>
              <w:t xml:space="preserve">50 000</w:t>
            </w:r>
          </w:p>
        </w:tc>
        <w:tc>
          <w:tcPr>
            <w:tcW w:type="dxa" w:w="1000"/>
            <w:tcMar>
              <w:top w:type="dxa" w:w="60"/>
              <w:left w:type="dxa" w:w="80"/>
              <w:bottom w:type="dxa" w:w="60"/>
              <w:right w:type="dxa" w:w="80"/>
            </w:tcMar>
          </w:tcPr>
          <w:p>
            <w:r>
              <w:rPr>
                <w:b w:val="false"/>
                <w:bCs w:val="false"/>
                <w:color w:val="000000"/>
                <w:sz w:val="18"/>
                <w:szCs w:val="18"/>
              </w:rPr>
              <w:t xml:space="preserve">12 %</w:t>
            </w:r>
          </w:p>
        </w:tc>
      </w:tr>
      <w:tr>
        <w:tc>
          <w:tcPr>
            <w:tcW w:type="dxa" w:w="1700"/>
            <w:tcMar>
              <w:top w:type="dxa" w:w="60"/>
              <w:left w:type="dxa" w:w="80"/>
              <w:bottom w:type="dxa" w:w="60"/>
              <w:right w:type="dxa" w:w="80"/>
            </w:tcMar>
          </w:tcPr>
          <w:p>
            <w:r>
              <w:rPr>
                <w:b w:val="false"/>
                <w:bCs w:val="false"/>
                <w:color w:val="000000"/>
                <w:sz w:val="18"/>
                <w:szCs w:val="18"/>
              </w:rPr>
              <w:t xml:space="preserve">Keur Samba Guèye</w:t>
            </w:r>
          </w:p>
        </w:tc>
        <w:tc>
          <w:tcPr>
            <w:tcW w:type="dxa" w:w="500"/>
            <w:tcMar>
              <w:top w:type="dxa" w:w="60"/>
              <w:left w:type="dxa" w:w="80"/>
              <w:bottom w:type="dxa" w:w="60"/>
              <w:right w:type="dxa" w:w="80"/>
            </w:tcMar>
          </w:tcPr>
          <w:p>
            <w:r>
              <w:rPr>
                <w:b w:val="false"/>
                <w:bCs w:val="false"/>
                <w:color w:val="000000"/>
                <w:sz w:val="18"/>
                <w:szCs w:val="18"/>
              </w:rPr>
              <w:t xml:space="preserve">76</w:t>
            </w:r>
          </w:p>
        </w:tc>
        <w:tc>
          <w:tcPr>
            <w:tcW w:type="dxa" w:w="1100"/>
            <w:tcMar>
              <w:top w:type="dxa" w:w="60"/>
              <w:left w:type="dxa" w:w="80"/>
              <w:bottom w:type="dxa" w:w="60"/>
              <w:right w:type="dxa" w:w="80"/>
            </w:tcMar>
          </w:tcPr>
          <w:p>
            <w:r>
              <w:rPr>
                <w:b w:val="false"/>
                <w:bCs w:val="false"/>
                <w:color w:val="000000"/>
                <w:sz w:val="18"/>
                <w:szCs w:val="18"/>
              </w:rPr>
              <w:t xml:space="preserve">3</w:t>
            </w:r>
          </w:p>
        </w:tc>
        <w:tc>
          <w:tcPr>
            <w:tcW w:type="dxa" w:w="1100"/>
            <w:tcMar>
              <w:top w:type="dxa" w:w="60"/>
              <w:left w:type="dxa" w:w="80"/>
              <w:bottom w:type="dxa" w:w="60"/>
              <w:right w:type="dxa" w:w="80"/>
            </w:tcMar>
          </w:tcPr>
          <w:p>
            <w:r>
              <w:rPr>
                <w:b w:val="false"/>
                <w:bCs w:val="false"/>
                <w:color w:val="000000"/>
                <w:sz w:val="18"/>
                <w:szCs w:val="18"/>
              </w:rPr>
              <w:t xml:space="preserve">1 500</w:t>
            </w:r>
          </w:p>
        </w:tc>
        <w:tc>
          <w:tcPr>
            <w:tcW w:type="dxa" w:w="1100"/>
            <w:tcMar>
              <w:top w:type="dxa" w:w="60"/>
              <w:left w:type="dxa" w:w="80"/>
              <w:bottom w:type="dxa" w:w="60"/>
              <w:right w:type="dxa" w:w="80"/>
            </w:tcMar>
          </w:tcPr>
          <w:p>
            <w:r>
              <w:rPr>
                <w:b w:val="false"/>
                <w:bCs w:val="false"/>
                <w:color w:val="000000"/>
                <w:sz w:val="18"/>
                <w:szCs w:val="18"/>
              </w:rPr>
              <w:t xml:space="preserve">613</w:t>
            </w:r>
          </w:p>
        </w:tc>
        <w:tc>
          <w:tcPr>
            <w:tcW w:type="dxa" w:w="900"/>
            <w:tcMar>
              <w:top w:type="dxa" w:w="60"/>
              <w:left w:type="dxa" w:w="80"/>
              <w:bottom w:type="dxa" w:w="60"/>
              <w:right w:type="dxa" w:w="80"/>
            </w:tcMar>
          </w:tcPr>
          <w:p>
            <w:r>
              <w:rPr>
                <w:b w:val="false"/>
                <w:bCs w:val="false"/>
                <w:color w:val="000000"/>
                <w:sz w:val="18"/>
                <w:szCs w:val="18"/>
              </w:rPr>
              <w:t xml:space="preserve">41 %</w:t>
            </w:r>
          </w:p>
        </w:tc>
        <w:tc>
          <w:tcPr>
            <w:tcW w:type="dxa" w:w="1000"/>
            <w:tcMar>
              <w:top w:type="dxa" w:w="60"/>
              <w:left w:type="dxa" w:w="80"/>
              <w:bottom w:type="dxa" w:w="60"/>
              <w:right w:type="dxa" w:w="80"/>
            </w:tcMar>
          </w:tcPr>
          <w:p>
            <w:r>
              <w:rPr>
                <w:b w:val="false"/>
                <w:bCs w:val="false"/>
                <w:color w:val="000000"/>
                <w:sz w:val="18"/>
                <w:szCs w:val="18"/>
              </w:rPr>
              <w:t xml:space="preserve">55 %</w:t>
            </w:r>
          </w:p>
        </w:tc>
        <w:tc>
          <w:tcPr>
            <w:tcW w:type="dxa" w:w="1200"/>
            <w:tcMar>
              <w:top w:type="dxa" w:w="60"/>
              <w:left w:type="dxa" w:w="80"/>
              <w:bottom w:type="dxa" w:w="60"/>
              <w:right w:type="dxa" w:w="80"/>
            </w:tcMar>
          </w:tcPr>
          <w:p>
            <w:r>
              <w:rPr>
                <w:b w:val="false"/>
                <w:bCs w:val="false"/>
                <w:color w:val="000000"/>
                <w:sz w:val="18"/>
                <w:szCs w:val="18"/>
              </w:rPr>
              <w:t xml:space="preserve">50 000</w:t>
            </w:r>
          </w:p>
        </w:tc>
        <w:tc>
          <w:tcPr>
            <w:tcW w:type="dxa" w:w="1000"/>
            <w:tcMar>
              <w:top w:type="dxa" w:w="60"/>
              <w:left w:type="dxa" w:w="80"/>
              <w:bottom w:type="dxa" w:w="60"/>
              <w:right w:type="dxa" w:w="80"/>
            </w:tcMar>
          </w:tcPr>
          <w:p>
            <w:r>
              <w:rPr>
                <w:b w:val="false"/>
                <w:bCs w:val="false"/>
                <w:color w:val="000000"/>
                <w:sz w:val="18"/>
                <w:szCs w:val="18"/>
              </w:rPr>
              <w:t xml:space="preserve">13 %</w:t>
            </w:r>
          </w:p>
        </w:tc>
      </w:tr>
      <w:tr>
        <w:tc>
          <w:tcPr>
            <w:tcW w:type="dxa" w:w="1700"/>
            <w:tcMar>
              <w:top w:type="dxa" w:w="60"/>
              <w:left w:type="dxa" w:w="80"/>
              <w:bottom w:type="dxa" w:w="60"/>
              <w:right w:type="dxa" w:w="80"/>
            </w:tcMar>
          </w:tcPr>
          <w:p>
            <w:r>
              <w:rPr>
                <w:b w:val="false"/>
                <w:bCs w:val="false"/>
                <w:color w:val="000000"/>
                <w:sz w:val="18"/>
                <w:szCs w:val="18"/>
              </w:rPr>
              <w:t xml:space="preserve">Nioro Alassane Tall</w:t>
            </w:r>
          </w:p>
        </w:tc>
        <w:tc>
          <w:tcPr>
            <w:tcW w:type="dxa" w:w="500"/>
            <w:tcMar>
              <w:top w:type="dxa" w:w="60"/>
              <w:left w:type="dxa" w:w="80"/>
              <w:bottom w:type="dxa" w:w="60"/>
              <w:right w:type="dxa" w:w="80"/>
            </w:tcMar>
          </w:tcPr>
          <w:p>
            <w:r>
              <w:rPr>
                <w:b w:val="false"/>
                <w:bCs w:val="false"/>
                <w:color w:val="000000"/>
                <w:sz w:val="18"/>
                <w:szCs w:val="18"/>
              </w:rPr>
              <w:t xml:space="preserve">87</w:t>
            </w:r>
          </w:p>
        </w:tc>
        <w:tc>
          <w:tcPr>
            <w:tcW w:type="dxa" w:w="1100"/>
            <w:tcMar>
              <w:top w:type="dxa" w:w="60"/>
              <w:left w:type="dxa" w:w="80"/>
              <w:bottom w:type="dxa" w:w="60"/>
              <w:right w:type="dxa" w:w="80"/>
            </w:tcMar>
          </w:tcPr>
          <w:p>
            <w:r>
              <w:rPr>
                <w:b w:val="false"/>
                <w:bCs w:val="false"/>
                <w:color w:val="000000"/>
                <w:sz w:val="18"/>
                <w:szCs w:val="18"/>
              </w:rPr>
              <w:t xml:space="preserve">2</w:t>
            </w:r>
          </w:p>
        </w:tc>
        <w:tc>
          <w:tcPr>
            <w:tcW w:type="dxa" w:w="1100"/>
            <w:tcMar>
              <w:top w:type="dxa" w:w="60"/>
              <w:left w:type="dxa" w:w="80"/>
              <w:bottom w:type="dxa" w:w="60"/>
              <w:right w:type="dxa" w:w="80"/>
            </w:tcMar>
          </w:tcPr>
          <w:p>
            <w:r>
              <w:rPr>
                <w:b w:val="false"/>
                <w:bCs w:val="false"/>
                <w:color w:val="000000"/>
                <w:sz w:val="18"/>
                <w:szCs w:val="18"/>
              </w:rPr>
              <w:t xml:space="preserve">2 000</w:t>
            </w:r>
          </w:p>
        </w:tc>
        <w:tc>
          <w:tcPr>
            <w:tcW w:type="dxa" w:w="1100"/>
            <w:tcMar>
              <w:top w:type="dxa" w:w="60"/>
              <w:left w:type="dxa" w:w="80"/>
              <w:bottom w:type="dxa" w:w="60"/>
              <w:right w:type="dxa" w:w="80"/>
            </w:tcMar>
          </w:tcPr>
          <w:p>
            <w:r>
              <w:rPr>
                <w:b w:val="false"/>
                <w:bCs w:val="false"/>
                <w:color w:val="000000"/>
                <w:sz w:val="18"/>
                <w:szCs w:val="18"/>
              </w:rPr>
              <w:t xml:space="preserve">750</w:t>
            </w:r>
          </w:p>
        </w:tc>
        <w:tc>
          <w:tcPr>
            <w:tcW w:type="dxa" w:w="900"/>
            <w:tcMar>
              <w:top w:type="dxa" w:w="60"/>
              <w:left w:type="dxa" w:w="80"/>
              <w:bottom w:type="dxa" w:w="60"/>
              <w:right w:type="dxa" w:w="80"/>
            </w:tcMar>
          </w:tcPr>
          <w:p>
            <w:r>
              <w:rPr>
                <w:b w:val="false"/>
                <w:bCs w:val="false"/>
                <w:color w:val="000000"/>
                <w:sz w:val="18"/>
                <w:szCs w:val="18"/>
              </w:rPr>
              <w:t xml:space="preserve">36 %</w:t>
            </w:r>
          </w:p>
        </w:tc>
        <w:tc>
          <w:tcPr>
            <w:tcW w:type="dxa" w:w="1000"/>
            <w:tcMar>
              <w:top w:type="dxa" w:w="60"/>
              <w:left w:type="dxa" w:w="80"/>
              <w:bottom w:type="dxa" w:w="60"/>
              <w:right w:type="dxa" w:w="80"/>
            </w:tcMar>
          </w:tcPr>
          <w:p>
            <w:r>
              <w:rPr>
                <w:b w:val="false"/>
                <w:bCs w:val="false"/>
                <w:color w:val="000000"/>
                <w:sz w:val="18"/>
                <w:szCs w:val="18"/>
              </w:rPr>
              <w:t xml:space="preserve">86 %</w:t>
            </w:r>
          </w:p>
        </w:tc>
        <w:tc>
          <w:tcPr>
            <w:tcW w:type="dxa" w:w="1200"/>
            <w:tcMar>
              <w:top w:type="dxa" w:w="60"/>
              <w:left w:type="dxa" w:w="80"/>
              <w:bottom w:type="dxa" w:w="60"/>
              <w:right w:type="dxa" w:w="80"/>
            </w:tcMar>
          </w:tcPr>
          <w:p>
            <w:r>
              <w:rPr>
                <w:b w:val="false"/>
                <w:bCs w:val="false"/>
                <w:color w:val="000000"/>
                <w:sz w:val="18"/>
                <w:szCs w:val="18"/>
              </w:rPr>
              <w:t xml:space="preserve">50 000</w:t>
            </w:r>
          </w:p>
        </w:tc>
        <w:tc>
          <w:tcPr>
            <w:tcW w:type="dxa" w:w="1000"/>
            <w:tcMar>
              <w:top w:type="dxa" w:w="60"/>
              <w:left w:type="dxa" w:w="80"/>
              <w:bottom w:type="dxa" w:w="60"/>
              <w:right w:type="dxa" w:w="80"/>
            </w:tcMar>
          </w:tcPr>
          <w:p>
            <w:r>
              <w:rPr>
                <w:b w:val="false"/>
                <w:bCs w:val="false"/>
                <w:color w:val="000000"/>
                <w:sz w:val="18"/>
                <w:szCs w:val="18"/>
              </w:rPr>
              <w:t xml:space="preserve">21 %</w:t>
            </w:r>
          </w:p>
        </w:tc>
      </w:tr>
    </w:tbl>
    <w:p>
      <w:pPr>
        <w:spacing w:after="160"/>
      </w:pPr>
    </w:p>
    <w:p>
      <w:pPr>
        <w:pStyle w:val="Heading2"/>
        <w:spacing w:after="120" w:before="240"/>
      </w:pPr>
      <w:r>
        <w:t xml:space="preserve">3.2 Pratiques et problèmes déclarés</w:t>
      </w:r>
    </w:p>
    <w:p>
      <w:pPr>
        <w:spacing w:after="60" w:before="120"/>
        <w:jc w:val="center"/>
      </w:pPr>
      <w:r>
        <w:drawing>
          <wp:inline distT="0" distB="0" distL="0" distR="0">
            <wp:extent cx="5334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05350"/>
                    </a:xfrm>
                    <a:prstGeom prst="rect">
                      <a:avLst/>
                    </a:prstGeom>
                  </pic:spPr>
                </pic:pic>
              </a:graphicData>
            </a:graphic>
          </wp:inline>
        </w:drawing>
      </w:r>
    </w:p>
    <w:p>
      <w:pPr>
        <w:spacing w:after="200"/>
        <w:jc w:val="center"/>
      </w:pPr>
      <w:r>
        <w:rPr>
          <w:i/>
          <w:iCs/>
          <w:color w:val="555555"/>
          <w:sz w:val="18"/>
          <w:szCs w:val="18"/>
        </w:rPr>
        <w:t xml:space="preserve">Figure 2 — Prévalence des problèmes, pratiques et impacts déclarés (n = 195)</w:t>
      </w:r>
    </w:p>
    <w:p>
      <w:pPr>
        <w:spacing w:after="120"/>
      </w:pPr>
      <w:r>
        <w:t xml:space="preserve">L'échantillon est très homogène : séchage au sol au champ (100 %), battage manuel (89 %), sacs plastiques (94 %), cases cimentées (95 %), traitement chimique (85 %), stockage &gt; 6 mois (87 %). Les problèmes de séchage sont quasi universels et </w:t>
      </w:r>
      <w:r>
        <w:rPr>
          <w:b/>
          <w:bCs/>
        </w:rPr>
        <w:t xml:space="preserve">90 % jugent les pertes au séchage importantes</w:t>
      </w:r>
      <w:r>
        <w:t xml:space="preserve">, alors que </w:t>
      </w:r>
      <w:r>
        <w:rPr>
          <w:b/>
          <w:bCs/>
        </w:rPr>
        <w:t xml:space="preserve">92 % jugent les pertes au battage négligeables</w:t>
      </w:r>
      <w:r>
        <w:t xml:space="preserve">. En stock, insectes (97 %) et champignons (66 %) dominent, rongeurs (86 %).</w:t>
      </w:r>
    </w:p>
    <w:p>
      <w:pPr>
        <w:pStyle w:val="Heading2"/>
        <w:spacing w:after="120" w:before="240"/>
      </w:pPr>
      <w:r>
        <w:t xml:space="preserve">3.3 Pertes mesurées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100"/>
        <w:gridCol w:w="1200"/>
        <w:gridCol w:w="900"/>
        <w:gridCol w:w="900"/>
        <w:gridCol w:w="1200"/>
        <w:gridCol w:w="1400"/>
      </w:tblGrid>
      <w:tr>
        <w:trPr>
          <w:tblHeader/>
        </w:trPr>
        <w:tc>
          <w:tcPr>
            <w:tcW w:type="dxa" w:w="1400"/>
            <w:shd w:fill="264653" w:color="auto" w:val="clear"/>
            <w:tcMar>
              <w:top w:type="dxa" w:w="60"/>
              <w:left w:type="dxa" w:w="80"/>
              <w:bottom w:type="dxa" w:w="60"/>
              <w:right w:type="dxa" w:w="80"/>
            </w:tcMar>
          </w:tcPr>
          <w:p>
            <w:r>
              <w:rPr>
                <w:b/>
                <w:bCs/>
                <w:color w:val="FFFFFF"/>
                <w:sz w:val="18"/>
                <w:szCs w:val="18"/>
              </w:rPr>
              <w:t xml:space="preserve">Nature</w:t>
            </w:r>
          </w:p>
        </w:tc>
        <w:tc>
          <w:tcPr>
            <w:tcW w:type="dxa" w:w="800"/>
            <w:shd w:fill="264653" w:color="auto" w:val="clear"/>
            <w:tcMar>
              <w:top w:type="dxa" w:w="60"/>
              <w:left w:type="dxa" w:w="80"/>
              <w:bottom w:type="dxa" w:w="60"/>
              <w:right w:type="dxa" w:w="80"/>
            </w:tcMar>
          </w:tcPr>
          <w:p>
            <w:r>
              <w:rPr>
                <w:b/>
                <w:bCs/>
                <w:color w:val="FFFFFF"/>
                <w:sz w:val="18"/>
                <w:szCs w:val="18"/>
              </w:rPr>
              <w:t xml:space="preserve">Lots</w:t>
            </w:r>
          </w:p>
        </w:tc>
        <w:tc>
          <w:tcPr>
            <w:tcW w:type="dxa" w:w="1100"/>
            <w:shd w:fill="264653" w:color="auto" w:val="clear"/>
            <w:tcMar>
              <w:top w:type="dxa" w:w="60"/>
              <w:left w:type="dxa" w:w="80"/>
              <w:bottom w:type="dxa" w:w="60"/>
              <w:right w:type="dxa" w:w="80"/>
            </w:tcMar>
          </w:tcPr>
          <w:p>
            <w:r>
              <w:rPr>
                <w:b/>
                <w:bCs/>
                <w:color w:val="FFFFFF"/>
                <w:sz w:val="18"/>
                <w:szCs w:val="18"/>
              </w:rPr>
              <w:t xml:space="preserve">Taux moyen</w:t>
            </w:r>
          </w:p>
        </w:tc>
        <w:tc>
          <w:tcPr>
            <w:tcW w:type="dxa" w:w="1200"/>
            <w:shd w:fill="264653" w:color="auto" w:val="clear"/>
            <w:tcMar>
              <w:top w:type="dxa" w:w="60"/>
              <w:left w:type="dxa" w:w="80"/>
              <w:bottom w:type="dxa" w:w="60"/>
              <w:right w:type="dxa" w:w="80"/>
            </w:tcMar>
          </w:tcPr>
          <w:p>
            <w:r>
              <w:rPr>
                <w:b/>
                <w:bCs/>
                <w:color w:val="FFFFFF"/>
                <w:sz w:val="18"/>
                <w:szCs w:val="18"/>
              </w:rPr>
              <w:t xml:space="preserve">Taux pondéré</w:t>
            </w:r>
          </w:p>
        </w:tc>
        <w:tc>
          <w:tcPr>
            <w:tcW w:type="dxa" w:w="900"/>
            <w:shd w:fill="264653" w:color="auto" w:val="clear"/>
            <w:tcMar>
              <w:top w:type="dxa" w:w="60"/>
              <w:left w:type="dxa" w:w="80"/>
              <w:bottom w:type="dxa" w:w="60"/>
              <w:right w:type="dxa" w:w="80"/>
            </w:tcMar>
          </w:tcPr>
          <w:p>
            <w:r>
              <w:rPr>
                <w:b/>
                <w:bCs/>
                <w:color w:val="FFFFFF"/>
                <w:sz w:val="18"/>
                <w:szCs w:val="18"/>
              </w:rPr>
              <w:t xml:space="preserve">Q3</w:t>
            </w:r>
          </w:p>
        </w:tc>
        <w:tc>
          <w:tcPr>
            <w:tcW w:type="dxa" w:w="900"/>
            <w:shd w:fill="264653" w:color="auto" w:val="clear"/>
            <w:tcMar>
              <w:top w:type="dxa" w:w="60"/>
              <w:left w:type="dxa" w:w="80"/>
              <w:bottom w:type="dxa" w:w="60"/>
              <w:right w:type="dxa" w:w="80"/>
            </w:tcMar>
          </w:tcPr>
          <w:p>
            <w:r>
              <w:rPr>
                <w:b/>
                <w:bCs/>
                <w:color w:val="FFFFFF"/>
                <w:sz w:val="18"/>
                <w:szCs w:val="18"/>
              </w:rPr>
              <w:t xml:space="preserve">Max</w:t>
            </w:r>
          </w:p>
        </w:tc>
        <w:tc>
          <w:tcPr>
            <w:tcW w:type="dxa" w:w="1200"/>
            <w:shd w:fill="264653" w:color="auto" w:val="clear"/>
            <w:tcMar>
              <w:top w:type="dxa" w:w="60"/>
              <w:left w:type="dxa" w:w="80"/>
              <w:bottom w:type="dxa" w:w="60"/>
              <w:right w:type="dxa" w:w="80"/>
            </w:tcMar>
          </w:tcPr>
          <w:p>
            <w:r>
              <w:rPr>
                <w:b/>
                <w:bCs/>
                <w:color w:val="FFFFFF"/>
                <w:sz w:val="18"/>
                <w:szCs w:val="18"/>
              </w:rPr>
              <w:t xml:space="preserve">Lots touchés</w:t>
            </w:r>
          </w:p>
        </w:tc>
        <w:tc>
          <w:tcPr>
            <w:tcW w:type="dxa" w:w="1400"/>
            <w:shd w:fill="264653" w:color="auto" w:val="clear"/>
            <w:tcMar>
              <w:top w:type="dxa" w:w="60"/>
              <w:left w:type="dxa" w:w="80"/>
              <w:bottom w:type="dxa" w:w="60"/>
              <w:right w:type="dxa" w:w="80"/>
            </w:tcMar>
          </w:tcPr>
          <w:p>
            <w:r>
              <w:rPr>
                <w:b/>
                <w:bCs/>
                <w:color w:val="FFFFFF"/>
                <w:sz w:val="18"/>
                <w:szCs w:val="18"/>
              </w:rPr>
              <w:t xml:space="preserve">Perte totale (kg)</w:t>
            </w:r>
          </w:p>
        </w:tc>
      </w:tr>
      <w:tr>
        <w:tc>
          <w:tcPr>
            <w:tcW w:type="dxa" w:w="1400"/>
            <w:tcMar>
              <w:top w:type="dxa" w:w="60"/>
              <w:left w:type="dxa" w:w="80"/>
              <w:bottom w:type="dxa" w:w="60"/>
              <w:right w:type="dxa" w:w="80"/>
            </w:tcMar>
          </w:tcPr>
          <w:p>
            <w:r>
              <w:rPr>
                <w:b w:val="false"/>
                <w:bCs w:val="false"/>
                <w:color w:val="000000"/>
                <w:sz w:val="18"/>
                <w:szCs w:val="18"/>
              </w:rPr>
              <w:t xml:space="preserve">Décortiqué</w:t>
            </w:r>
          </w:p>
        </w:tc>
        <w:tc>
          <w:tcPr>
            <w:tcW w:type="dxa" w:w="800"/>
            <w:tcMar>
              <w:top w:type="dxa" w:w="60"/>
              <w:left w:type="dxa" w:w="80"/>
              <w:bottom w:type="dxa" w:w="60"/>
              <w:right w:type="dxa" w:w="80"/>
            </w:tcMar>
          </w:tcPr>
          <w:p>
            <w:r>
              <w:rPr>
                <w:b w:val="false"/>
                <w:bCs w:val="false"/>
                <w:color w:val="000000"/>
                <w:sz w:val="18"/>
                <w:szCs w:val="18"/>
              </w:rPr>
              <w:t xml:space="preserve">96</w:t>
            </w:r>
          </w:p>
        </w:tc>
        <w:tc>
          <w:tcPr>
            <w:tcW w:type="dxa" w:w="1100"/>
            <w:tcMar>
              <w:top w:type="dxa" w:w="60"/>
              <w:left w:type="dxa" w:w="80"/>
              <w:bottom w:type="dxa" w:w="60"/>
              <w:right w:type="dxa" w:w="80"/>
            </w:tcMar>
          </w:tcPr>
          <w:p>
            <w:r>
              <w:rPr>
                <w:b w:val="false"/>
                <w:bCs w:val="false"/>
                <w:color w:val="000000"/>
                <w:sz w:val="18"/>
                <w:szCs w:val="18"/>
              </w:rPr>
              <w:t xml:space="preserve">8 %</w:t>
            </w:r>
          </w:p>
        </w:tc>
        <w:tc>
          <w:tcPr>
            <w:tcW w:type="dxa" w:w="1200"/>
            <w:tcMar>
              <w:top w:type="dxa" w:w="60"/>
              <w:left w:type="dxa" w:w="80"/>
              <w:bottom w:type="dxa" w:w="60"/>
              <w:right w:type="dxa" w:w="80"/>
            </w:tcMar>
          </w:tcPr>
          <w:p>
            <w:r>
              <w:rPr>
                <w:b w:val="false"/>
                <w:bCs w:val="false"/>
                <w:color w:val="000000"/>
                <w:sz w:val="18"/>
                <w:szCs w:val="18"/>
              </w:rPr>
              <w:t xml:space="preserve">5,4 %</w:t>
            </w:r>
          </w:p>
        </w:tc>
        <w:tc>
          <w:tcPr>
            <w:tcW w:type="dxa" w:w="900"/>
            <w:tcMar>
              <w:top w:type="dxa" w:w="60"/>
              <w:left w:type="dxa" w:w="80"/>
              <w:bottom w:type="dxa" w:w="60"/>
              <w:right w:type="dxa" w:w="80"/>
            </w:tcMar>
          </w:tcPr>
          <w:p>
            <w:r>
              <w:rPr>
                <w:b w:val="false"/>
                <w:bCs w:val="false"/>
                <w:color w:val="000000"/>
                <w:sz w:val="18"/>
                <w:szCs w:val="18"/>
              </w:rPr>
              <w:t xml:space="preserve">14,9 %</w:t>
            </w:r>
          </w:p>
        </w:tc>
        <w:tc>
          <w:tcPr>
            <w:tcW w:type="dxa" w:w="900"/>
            <w:tcMar>
              <w:top w:type="dxa" w:w="60"/>
              <w:left w:type="dxa" w:w="80"/>
              <w:bottom w:type="dxa" w:w="60"/>
              <w:right w:type="dxa" w:w="80"/>
            </w:tcMar>
          </w:tcPr>
          <w:p>
            <w:r>
              <w:rPr>
                <w:b w:val="false"/>
                <w:bCs w:val="false"/>
                <w:color w:val="000000"/>
                <w:sz w:val="18"/>
                <w:szCs w:val="18"/>
              </w:rPr>
              <w:t xml:space="preserve">50 %</w:t>
            </w:r>
          </w:p>
        </w:tc>
        <w:tc>
          <w:tcPr>
            <w:tcW w:type="dxa" w:w="1200"/>
            <w:tcMar>
              <w:top w:type="dxa" w:w="60"/>
              <w:left w:type="dxa" w:w="80"/>
              <w:bottom w:type="dxa" w:w="60"/>
              <w:right w:type="dxa" w:w="80"/>
            </w:tcMar>
          </w:tcPr>
          <w:p>
            <w:r>
              <w:rPr>
                <w:b w:val="false"/>
                <w:bCs w:val="false"/>
                <w:color w:val="000000"/>
                <w:sz w:val="18"/>
                <w:szCs w:val="18"/>
              </w:rPr>
              <w:t xml:space="preserve">34 %</w:t>
            </w:r>
          </w:p>
        </w:tc>
        <w:tc>
          <w:tcPr>
            <w:tcW w:type="dxa" w:w="1400"/>
            <w:tcMar>
              <w:top w:type="dxa" w:w="60"/>
              <w:left w:type="dxa" w:w="80"/>
              <w:bottom w:type="dxa" w:w="60"/>
              <w:right w:type="dxa" w:w="80"/>
            </w:tcMar>
          </w:tcPr>
          <w:p>
            <w:r>
              <w:rPr>
                <w:b w:val="false"/>
                <w:bCs w:val="false"/>
                <w:color w:val="000000"/>
                <w:sz w:val="18"/>
                <w:szCs w:val="18"/>
              </w:rPr>
              <w:t xml:space="preserve">2 555</w:t>
            </w:r>
          </w:p>
        </w:tc>
      </w:tr>
      <w:tr>
        <w:tc>
          <w:tcPr>
            <w:tcW w:type="dxa" w:w="1400"/>
            <w:tcMar>
              <w:top w:type="dxa" w:w="60"/>
              <w:left w:type="dxa" w:w="80"/>
              <w:bottom w:type="dxa" w:w="60"/>
              <w:right w:type="dxa" w:w="80"/>
            </w:tcMar>
          </w:tcPr>
          <w:p>
            <w:r>
              <w:rPr>
                <w:b w:val="false"/>
                <w:bCs w:val="false"/>
                <w:color w:val="000000"/>
                <w:sz w:val="18"/>
                <w:szCs w:val="18"/>
              </w:rPr>
              <w:t xml:space="preserve">Gousses</w:t>
            </w:r>
          </w:p>
        </w:tc>
        <w:tc>
          <w:tcPr>
            <w:tcW w:type="dxa" w:w="800"/>
            <w:tcMar>
              <w:top w:type="dxa" w:w="60"/>
              <w:left w:type="dxa" w:w="80"/>
              <w:bottom w:type="dxa" w:w="60"/>
              <w:right w:type="dxa" w:w="80"/>
            </w:tcMar>
          </w:tcPr>
          <w:p>
            <w:r>
              <w:rPr>
                <w:b w:val="false"/>
                <w:bCs w:val="false"/>
                <w:color w:val="000000"/>
                <w:sz w:val="18"/>
                <w:szCs w:val="18"/>
              </w:rPr>
              <w:t xml:space="preserve">96</w:t>
            </w:r>
          </w:p>
        </w:tc>
        <w:tc>
          <w:tcPr>
            <w:tcW w:type="dxa" w:w="1100"/>
            <w:tcMar>
              <w:top w:type="dxa" w:w="60"/>
              <w:left w:type="dxa" w:w="80"/>
              <w:bottom w:type="dxa" w:w="60"/>
              <w:right w:type="dxa" w:w="80"/>
            </w:tcMar>
          </w:tcPr>
          <w:p>
            <w:r>
              <w:rPr>
                <w:b w:val="false"/>
                <w:bCs w:val="false"/>
                <w:color w:val="000000"/>
                <w:sz w:val="18"/>
                <w:szCs w:val="18"/>
              </w:rPr>
              <w:t xml:space="preserve">3,8 %</w:t>
            </w:r>
          </w:p>
        </w:tc>
        <w:tc>
          <w:tcPr>
            <w:tcW w:type="dxa" w:w="1200"/>
            <w:tcMar>
              <w:top w:type="dxa" w:w="60"/>
              <w:left w:type="dxa" w:w="80"/>
              <w:bottom w:type="dxa" w:w="60"/>
              <w:right w:type="dxa" w:w="80"/>
            </w:tcMar>
          </w:tcPr>
          <w:p>
            <w:r>
              <w:rPr>
                <w:b w:val="false"/>
                <w:bCs w:val="false"/>
                <w:color w:val="000000"/>
                <w:sz w:val="18"/>
                <w:szCs w:val="18"/>
              </w:rPr>
              <w:t xml:space="preserve">2,2 %</w:t>
            </w:r>
          </w:p>
        </w:tc>
        <w:tc>
          <w:tcPr>
            <w:tcW w:type="dxa" w:w="900"/>
            <w:tcMar>
              <w:top w:type="dxa" w:w="60"/>
              <w:left w:type="dxa" w:w="80"/>
              <w:bottom w:type="dxa" w:w="60"/>
              <w:right w:type="dxa" w:w="80"/>
            </w:tcMar>
          </w:tcPr>
          <w:p>
            <w:r>
              <w:rPr>
                <w:b w:val="false"/>
                <w:bCs w:val="false"/>
                <w:color w:val="000000"/>
                <w:sz w:val="18"/>
                <w:szCs w:val="18"/>
              </w:rPr>
              <w:t xml:space="preserve">0 %</w:t>
            </w:r>
          </w:p>
        </w:tc>
        <w:tc>
          <w:tcPr>
            <w:tcW w:type="dxa" w:w="900"/>
            <w:tcMar>
              <w:top w:type="dxa" w:w="60"/>
              <w:left w:type="dxa" w:w="80"/>
              <w:bottom w:type="dxa" w:w="60"/>
              <w:right w:type="dxa" w:w="80"/>
            </w:tcMar>
          </w:tcPr>
          <w:p>
            <w:r>
              <w:rPr>
                <w:b w:val="false"/>
                <w:bCs w:val="false"/>
                <w:color w:val="000000"/>
                <w:sz w:val="18"/>
                <w:szCs w:val="18"/>
              </w:rPr>
              <w:t xml:space="preserve">33,3 %</w:t>
            </w:r>
          </w:p>
        </w:tc>
        <w:tc>
          <w:tcPr>
            <w:tcW w:type="dxa" w:w="1200"/>
            <w:tcMar>
              <w:top w:type="dxa" w:w="60"/>
              <w:left w:type="dxa" w:w="80"/>
              <w:bottom w:type="dxa" w:w="60"/>
              <w:right w:type="dxa" w:w="80"/>
            </w:tcMar>
          </w:tcPr>
          <w:p>
            <w:r>
              <w:rPr>
                <w:b w:val="false"/>
                <w:bCs w:val="false"/>
                <w:color w:val="000000"/>
                <w:sz w:val="18"/>
                <w:szCs w:val="18"/>
              </w:rPr>
              <w:t xml:space="preserve">24 %</w:t>
            </w:r>
          </w:p>
        </w:tc>
        <w:tc>
          <w:tcPr>
            <w:tcW w:type="dxa" w:w="1400"/>
            <w:tcMar>
              <w:top w:type="dxa" w:w="60"/>
              <w:left w:type="dxa" w:w="80"/>
              <w:bottom w:type="dxa" w:w="60"/>
              <w:right w:type="dxa" w:w="80"/>
            </w:tcMar>
          </w:tcPr>
          <w:p>
            <w:r>
              <w:rPr>
                <w:b w:val="false"/>
                <w:bCs w:val="false"/>
                <w:color w:val="000000"/>
                <w:sz w:val="18"/>
                <w:szCs w:val="18"/>
              </w:rPr>
              <w:t xml:space="preserve">1 470</w:t>
            </w:r>
          </w:p>
        </w:tc>
      </w:tr>
    </w:tbl>
    <w:p>
      <w:pPr>
        <w:spacing w:after="160"/>
      </w:pPr>
    </w:p>
    <w:p>
      <w:pPr>
        <w:spacing w:after="60" w:before="120"/>
        <w:jc w:val="center"/>
      </w:pPr>
      <w:r>
        <w:drawing>
          <wp:inline distT="0" distB="0" distL="0" distR="0">
            <wp:extent cx="5905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0250"/>
                    </a:xfrm>
                    <a:prstGeom prst="rect">
                      <a:avLst/>
                    </a:prstGeom>
                  </pic:spPr>
                </pic:pic>
              </a:graphicData>
            </a:graphic>
          </wp:inline>
        </w:drawing>
      </w:r>
    </w:p>
    <w:p>
      <w:pPr>
        <w:spacing w:after="200"/>
        <w:jc w:val="center"/>
      </w:pPr>
      <w:r>
        <w:rPr>
          <w:i/>
          <w:iCs/>
          <w:color w:val="555555"/>
          <w:sz w:val="18"/>
          <w:szCs w:val="18"/>
        </w:rPr>
        <w:t xml:space="preserve">Figure 3 — Distribution des taux de perte mesurés par lot</w:t>
      </w:r>
    </w:p>
    <w:p>
      <w:pPr>
        <w:spacing w:after="60" w:before="120"/>
        <w:jc w:val="center"/>
      </w:pPr>
      <w:r>
        <w:drawing>
          <wp:inline distT="0" distB="0" distL="0" distR="0">
            <wp:extent cx="4191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71725"/>
                    </a:xfrm>
                    <a:prstGeom prst="rect">
                      <a:avLst/>
                    </a:prstGeom>
                  </pic:spPr>
                </pic:pic>
              </a:graphicData>
            </a:graphic>
          </wp:inline>
        </w:drawing>
      </w:r>
    </w:p>
    <w:p>
      <w:pPr>
        <w:spacing w:after="200"/>
        <w:jc w:val="center"/>
      </w:pPr>
      <w:r>
        <w:rPr>
          <w:i/>
          <w:iCs/>
          <w:color w:val="555555"/>
          <w:sz w:val="18"/>
          <w:szCs w:val="18"/>
        </w:rPr>
        <w:t xml:space="preserve">Figure 4 — Cinétique des pertes sur graines décortiquées : la perte s'installe entre la 1ʳᵉ et la 2ᵉ pesée ; aucune perte en contenant hermétique</w:t>
      </w:r>
    </w:p>
    <w:p>
      <w:pPr>
        <w:pStyle w:val="Heading1"/>
        <w:spacing w:after="160" w:before="360"/>
      </w:pPr>
      <w:r>
        <w:t xml:space="preserve">4. Analyse exploratoire et bivariée</w:t>
      </w:r>
    </w:p>
    <w:p>
      <w:pPr>
        <w:spacing w:after="60" w:before="120"/>
        <w:jc w:val="center"/>
      </w:pPr>
      <w:r>
        <w:drawing>
          <wp:inline distT="0" distB="0" distL="0" distR="0">
            <wp:extent cx="4572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010025"/>
                    </a:xfrm>
                    <a:prstGeom prst="rect">
                      <a:avLst/>
                    </a:prstGeom>
                  </pic:spPr>
                </pic:pic>
              </a:graphicData>
            </a:graphic>
          </wp:inline>
        </w:drawing>
      </w:r>
    </w:p>
    <w:p>
      <w:pPr>
        <w:spacing w:after="200"/>
        <w:jc w:val="center"/>
      </w:pPr>
      <w:r>
        <w:rPr>
          <w:i/>
          <w:iCs/>
          <w:color w:val="555555"/>
          <w:sz w:val="18"/>
          <w:szCs w:val="18"/>
        </w:rPr>
        <w:t xml:space="preserve">Figure 5 — Corrélations de Spearman (enquête)</w:t>
      </w:r>
    </w:p>
    <w:p>
      <w:pPr>
        <w:spacing w:after="120"/>
      </w:pPr>
      <w:r>
        <w:t xml:space="preserve">Superficie, production et stock sont fortement liés (ρ = 0,65–0,85). La valeur des pertes croît avec la production (ρ = 0,35) et le stock (ρ = 0,38). Le rendement est indépendant de la superficie (ρ = −0,09) : aucun effet d'échelle.</w:t>
      </w:r>
    </w:p>
    <w:p>
      <w:pPr>
        <w:pStyle w:val="Heading2"/>
        <w:spacing w:after="120" w:before="240"/>
      </w:pPr>
      <w:r>
        <w:t xml:space="preserve">4.1 Pertes déclarées selon le mode de stockage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800"/>
        <w:gridCol w:w="1800"/>
      </w:tblGrid>
      <w:tr>
        <w:trPr>
          <w:tblHeader/>
        </w:trPr>
        <w:tc>
          <w:tcPr>
            <w:tcW w:type="dxa" w:w="3000"/>
            <w:shd w:fill="264653" w:color="auto" w:val="clear"/>
            <w:tcMar>
              <w:top w:type="dxa" w:w="60"/>
              <w:left w:type="dxa" w:w="80"/>
              <w:bottom w:type="dxa" w:w="60"/>
              <w:right w:type="dxa" w:w="80"/>
            </w:tcMar>
          </w:tcPr>
          <w:p>
            <w:r>
              <w:rPr>
                <w:b/>
                <w:bCs/>
                <w:color w:val="FFFFFF"/>
                <w:sz w:val="18"/>
                <w:szCs w:val="18"/>
              </w:rPr>
              <w:t xml:space="preserve">Mode de stockage</w:t>
            </w:r>
          </w:p>
        </w:tc>
        <w:tc>
          <w:tcPr>
            <w:tcW w:type="dxa" w:w="1000"/>
            <w:shd w:fill="264653" w:color="auto" w:val="clear"/>
            <w:tcMar>
              <w:top w:type="dxa" w:w="60"/>
              <w:left w:type="dxa" w:w="80"/>
              <w:bottom w:type="dxa" w:w="60"/>
              <w:right w:type="dxa" w:w="80"/>
            </w:tcMar>
          </w:tcPr>
          <w:p>
            <w:r>
              <w:rPr>
                <w:b/>
                <w:bCs/>
                <w:color w:val="FFFFFF"/>
                <w:sz w:val="18"/>
                <w:szCs w:val="18"/>
              </w:rPr>
              <w:t xml:space="preserve">n</w:t>
            </w:r>
          </w:p>
        </w:tc>
        <w:tc>
          <w:tcPr>
            <w:tcW w:type="dxa" w:w="1800"/>
            <w:shd w:fill="264653" w:color="auto" w:val="clear"/>
            <w:tcMar>
              <w:top w:type="dxa" w:w="60"/>
              <w:left w:type="dxa" w:w="80"/>
              <w:bottom w:type="dxa" w:w="60"/>
              <w:right w:type="dxa" w:w="80"/>
            </w:tcMar>
          </w:tcPr>
          <w:p>
            <w:r>
              <w:rPr>
                <w:b/>
                <w:bCs/>
                <w:color w:val="FFFFFF"/>
                <w:sz w:val="18"/>
                <w:szCs w:val="18"/>
              </w:rPr>
              <w:t xml:space="preserve">Pas de perte</w:t>
            </w:r>
          </w:p>
        </w:tc>
        <w:tc>
          <w:tcPr>
            <w:tcW w:type="dxa" w:w="1800"/>
            <w:shd w:fill="264653" w:color="auto" w:val="clear"/>
            <w:tcMar>
              <w:top w:type="dxa" w:w="60"/>
              <w:left w:type="dxa" w:w="80"/>
              <w:bottom w:type="dxa" w:w="60"/>
              <w:right w:type="dxa" w:w="80"/>
            </w:tcMar>
          </w:tcPr>
          <w:p>
            <w:r>
              <w:rPr>
                <w:b/>
                <w:bCs/>
                <w:color w:val="FFFFFF"/>
                <w:sz w:val="18"/>
                <w:szCs w:val="18"/>
              </w:rPr>
              <w:t xml:space="preserve">Pertes déclarées</w:t>
            </w:r>
          </w:p>
        </w:tc>
      </w:tr>
      <w:tr>
        <w:tc>
          <w:tcPr>
            <w:tcW w:type="dxa" w:w="3000"/>
            <w:tcMar>
              <w:top w:type="dxa" w:w="60"/>
              <w:left w:type="dxa" w:w="80"/>
              <w:bottom w:type="dxa" w:w="60"/>
              <w:right w:type="dxa" w:w="80"/>
            </w:tcMar>
          </w:tcPr>
          <w:p>
            <w:r>
              <w:rPr>
                <w:b w:val="false"/>
                <w:bCs w:val="false"/>
                <w:color w:val="000000"/>
                <w:sz w:val="18"/>
                <w:szCs w:val="18"/>
              </w:rPr>
              <w:t xml:space="preserve">Hermétique uniquement</w:t>
            </w:r>
          </w:p>
        </w:tc>
        <w:tc>
          <w:tcPr>
            <w:tcW w:type="dxa" w:w="1000"/>
            <w:tcMar>
              <w:top w:type="dxa" w:w="60"/>
              <w:left w:type="dxa" w:w="80"/>
              <w:bottom w:type="dxa" w:w="60"/>
              <w:right w:type="dxa" w:w="80"/>
            </w:tcMar>
          </w:tcPr>
          <w:p>
            <w:r>
              <w:rPr>
                <w:b w:val="false"/>
                <w:bCs w:val="false"/>
                <w:color w:val="000000"/>
                <w:sz w:val="18"/>
                <w:szCs w:val="18"/>
              </w:rPr>
              <w:t xml:space="preserve">16</w:t>
            </w:r>
          </w:p>
        </w:tc>
        <w:tc>
          <w:tcPr>
            <w:tcW w:type="dxa" w:w="1800"/>
            <w:tcMar>
              <w:top w:type="dxa" w:w="60"/>
              <w:left w:type="dxa" w:w="80"/>
              <w:bottom w:type="dxa" w:w="60"/>
              <w:right w:type="dxa" w:w="80"/>
            </w:tcMar>
          </w:tcPr>
          <w:p>
            <w:r>
              <w:rPr>
                <w:b w:val="false"/>
                <w:bCs w:val="false"/>
                <w:color w:val="000000"/>
                <w:sz w:val="18"/>
                <w:szCs w:val="18"/>
              </w:rPr>
              <w:t xml:space="preserve">93,8 %</w:t>
            </w:r>
          </w:p>
        </w:tc>
        <w:tc>
          <w:tcPr>
            <w:tcW w:type="dxa" w:w="1800"/>
            <w:tcMar>
              <w:top w:type="dxa" w:w="60"/>
              <w:left w:type="dxa" w:w="80"/>
              <w:bottom w:type="dxa" w:w="60"/>
              <w:right w:type="dxa" w:w="80"/>
            </w:tcMar>
          </w:tcPr>
          <w:p>
            <w:r>
              <w:rPr>
                <w:b w:val="false"/>
                <w:bCs w:val="false"/>
                <w:color w:val="000000"/>
                <w:sz w:val="18"/>
                <w:szCs w:val="18"/>
              </w:rPr>
              <w:t xml:space="preserve">6,2 %</w:t>
            </w:r>
          </w:p>
        </w:tc>
      </w:tr>
      <w:tr>
        <w:tc>
          <w:tcPr>
            <w:tcW w:type="dxa" w:w="3000"/>
            <w:tcMar>
              <w:top w:type="dxa" w:w="60"/>
              <w:left w:type="dxa" w:w="80"/>
              <w:bottom w:type="dxa" w:w="60"/>
              <w:right w:type="dxa" w:w="80"/>
            </w:tcMar>
          </w:tcPr>
          <w:p>
            <w:r>
              <w:rPr>
                <w:b w:val="false"/>
                <w:bCs w:val="false"/>
                <w:color w:val="000000"/>
                <w:sz w:val="18"/>
                <w:szCs w:val="18"/>
              </w:rPr>
              <w:t xml:space="preserve">Sacs + hermétique</w:t>
            </w:r>
          </w:p>
        </w:tc>
        <w:tc>
          <w:tcPr>
            <w:tcW w:type="dxa" w:w="1000"/>
            <w:tcMar>
              <w:top w:type="dxa" w:w="60"/>
              <w:left w:type="dxa" w:w="80"/>
              <w:bottom w:type="dxa" w:w="60"/>
              <w:right w:type="dxa" w:w="80"/>
            </w:tcMar>
          </w:tcPr>
          <w:p>
            <w:r>
              <w:rPr>
                <w:b w:val="false"/>
                <w:bCs w:val="false"/>
                <w:color w:val="000000"/>
                <w:sz w:val="18"/>
                <w:szCs w:val="18"/>
              </w:rPr>
              <w:t xml:space="preserve">48</w:t>
            </w:r>
          </w:p>
        </w:tc>
        <w:tc>
          <w:tcPr>
            <w:tcW w:type="dxa" w:w="1800"/>
            <w:tcMar>
              <w:top w:type="dxa" w:w="60"/>
              <w:left w:type="dxa" w:w="80"/>
              <w:bottom w:type="dxa" w:w="60"/>
              <w:right w:type="dxa" w:w="80"/>
            </w:tcMar>
          </w:tcPr>
          <w:p>
            <w:r>
              <w:rPr>
                <w:b w:val="false"/>
                <w:bCs w:val="false"/>
                <w:color w:val="000000"/>
                <w:sz w:val="18"/>
                <w:szCs w:val="18"/>
              </w:rPr>
              <w:t xml:space="preserve">39,6 %</w:t>
            </w:r>
          </w:p>
        </w:tc>
        <w:tc>
          <w:tcPr>
            <w:tcW w:type="dxa" w:w="1800"/>
            <w:tcMar>
              <w:top w:type="dxa" w:w="60"/>
              <w:left w:type="dxa" w:w="80"/>
              <w:bottom w:type="dxa" w:w="60"/>
              <w:right w:type="dxa" w:w="80"/>
            </w:tcMar>
          </w:tcPr>
          <w:p>
            <w:r>
              <w:rPr>
                <w:b w:val="false"/>
                <w:bCs w:val="false"/>
                <w:color w:val="000000"/>
                <w:sz w:val="18"/>
                <w:szCs w:val="18"/>
              </w:rPr>
              <w:t xml:space="preserve">60,4 %</w:t>
            </w:r>
          </w:p>
        </w:tc>
      </w:tr>
      <w:tr>
        <w:tc>
          <w:tcPr>
            <w:tcW w:type="dxa" w:w="3000"/>
            <w:tcMar>
              <w:top w:type="dxa" w:w="60"/>
              <w:left w:type="dxa" w:w="80"/>
              <w:bottom w:type="dxa" w:w="60"/>
              <w:right w:type="dxa" w:w="80"/>
            </w:tcMar>
          </w:tcPr>
          <w:p>
            <w:r>
              <w:rPr>
                <w:b w:val="false"/>
                <w:bCs w:val="false"/>
                <w:color w:val="000000"/>
                <w:sz w:val="18"/>
                <w:szCs w:val="18"/>
              </w:rPr>
              <w:t xml:space="preserve">Sacs uniquement</w:t>
            </w:r>
          </w:p>
        </w:tc>
        <w:tc>
          <w:tcPr>
            <w:tcW w:type="dxa" w:w="1000"/>
            <w:tcMar>
              <w:top w:type="dxa" w:w="60"/>
              <w:left w:type="dxa" w:w="80"/>
              <w:bottom w:type="dxa" w:w="60"/>
              <w:right w:type="dxa" w:w="80"/>
            </w:tcMar>
          </w:tcPr>
          <w:p>
            <w:r>
              <w:rPr>
                <w:b w:val="false"/>
                <w:bCs w:val="false"/>
                <w:color w:val="000000"/>
                <w:sz w:val="18"/>
                <w:szCs w:val="18"/>
              </w:rPr>
              <w:t xml:space="preserve">131</w:t>
            </w:r>
          </w:p>
        </w:tc>
        <w:tc>
          <w:tcPr>
            <w:tcW w:type="dxa" w:w="1800"/>
            <w:tcMar>
              <w:top w:type="dxa" w:w="60"/>
              <w:left w:type="dxa" w:w="80"/>
              <w:bottom w:type="dxa" w:w="60"/>
              <w:right w:type="dxa" w:w="80"/>
            </w:tcMar>
          </w:tcPr>
          <w:p>
            <w:r>
              <w:rPr>
                <w:b w:val="false"/>
                <w:bCs w:val="false"/>
                <w:color w:val="000000"/>
                <w:sz w:val="18"/>
                <w:szCs w:val="18"/>
              </w:rPr>
              <w:t xml:space="preserve">12,2 %</w:t>
            </w:r>
          </w:p>
        </w:tc>
        <w:tc>
          <w:tcPr>
            <w:tcW w:type="dxa" w:w="1800"/>
            <w:tcMar>
              <w:top w:type="dxa" w:w="60"/>
              <w:left w:type="dxa" w:w="80"/>
              <w:bottom w:type="dxa" w:w="60"/>
              <w:right w:type="dxa" w:w="80"/>
            </w:tcMar>
          </w:tcPr>
          <w:p>
            <w:r>
              <w:rPr>
                <w:b w:val="false"/>
                <w:bCs w:val="false"/>
                <w:color w:val="000000"/>
                <w:sz w:val="18"/>
                <w:szCs w:val="18"/>
              </w:rPr>
              <w:t xml:space="preserve">87,8 %</w:t>
            </w:r>
          </w:p>
        </w:tc>
      </w:tr>
    </w:tbl>
    <w:p>
      <w:pPr>
        <w:spacing w:after="160"/>
      </w:pPr>
    </w:p>
    <w:p>
      <w:pPr>
        <w:spacing w:after="60" w:before="12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09725"/>
                    </a:xfrm>
                    <a:prstGeom prst="rect">
                      <a:avLst/>
                    </a:prstGeom>
                  </pic:spPr>
                </pic:pic>
              </a:graphicData>
            </a:graphic>
          </wp:inline>
        </w:drawing>
      </w:r>
    </w:p>
    <w:p>
      <w:pPr>
        <w:spacing w:after="200"/>
        <w:jc w:val="center"/>
      </w:pPr>
      <w:r>
        <w:rPr>
          <w:i/>
          <w:iCs/>
          <w:color w:val="555555"/>
          <w:sz w:val="18"/>
          <w:szCs w:val="18"/>
        </w:rPr>
        <w:t xml:space="preserve">Figure 6 — Pertes déclarées selon le mode de stockage, la commune et le traitement</w:t>
      </w:r>
    </w:p>
    <w:p>
      <w:pPr>
        <w:spacing w:after="120"/>
      </w:pPr>
      <w:r>
        <w:t xml:space="preserve">Les pertes déclarées passent de 88 % (sacs seuls) à 60 % (mixte) et 6 % (hermétique seul). Le traitement chimique paraît associé à plus de pertes (82 % vs 38 % chez les non-traités) : c'est un effet de confusion, les non-traités étant ceux qui stockent en bidons/fûts — confusion levée par l'analyse multivariée (section 6).</w:t>
      </w:r>
    </w:p>
    <w:p>
      <w:pPr>
        <w:pStyle w:val="Heading2"/>
        <w:spacing w:after="120" w:before="240"/>
      </w:pPr>
      <w:r>
        <w:t xml:space="preserve">4.2 Pertes mesurées selon les pratiques</w:t>
      </w:r>
    </w:p>
    <w:p>
      <w:pPr>
        <w:spacing w:after="60" w:before="120"/>
        <w:jc w:val="center"/>
      </w:pPr>
      <w:r>
        <w:drawing>
          <wp:inline distT="0" distB="0" distL="0" distR="0">
            <wp:extent cx="6096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019425"/>
                    </a:xfrm>
                    <a:prstGeom prst="rect">
                      <a:avLst/>
                    </a:prstGeom>
                  </pic:spPr>
                </pic:pic>
              </a:graphicData>
            </a:graphic>
          </wp:inline>
        </w:drawing>
      </w:r>
    </w:p>
    <w:p>
      <w:pPr>
        <w:spacing w:after="200"/>
        <w:jc w:val="center"/>
      </w:pPr>
      <w:r>
        <w:rPr>
          <w:i/>
          <w:iCs/>
          <w:color w:val="555555"/>
          <w:sz w:val="18"/>
          <w:szCs w:val="18"/>
        </w:rPr>
        <w:t xml:space="preserve">Figure 7 — Taux de perte moyen (IC 95 %) et part de lots touchés selon contenant, traitement et commune</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400"/>
        <w:gridCol w:w="1400"/>
      </w:tblGrid>
      <w:tr>
        <w:trPr>
          <w:tblHeader/>
        </w:trPr>
        <w:tc>
          <w:tcPr>
            <w:tcW w:type="dxa" w:w="1600"/>
            <w:shd w:fill="264653" w:color="auto" w:val="clear"/>
            <w:tcMar>
              <w:top w:type="dxa" w:w="60"/>
              <w:left w:type="dxa" w:w="80"/>
              <w:bottom w:type="dxa" w:w="60"/>
              <w:right w:type="dxa" w:w="80"/>
            </w:tcMar>
          </w:tcPr>
          <w:p>
            <w:r>
              <w:rPr>
                <w:b/>
                <w:bCs/>
                <w:color w:val="FFFFFF"/>
                <w:sz w:val="18"/>
                <w:szCs w:val="18"/>
              </w:rPr>
              <w:t xml:space="preserve">Nature</w:t>
            </w:r>
          </w:p>
        </w:tc>
        <w:tc>
          <w:tcPr>
            <w:tcW w:type="dxa" w:w="1800"/>
            <w:shd w:fill="264653" w:color="auto" w:val="clear"/>
            <w:tcMar>
              <w:top w:type="dxa" w:w="60"/>
              <w:left w:type="dxa" w:w="80"/>
              <w:bottom w:type="dxa" w:w="60"/>
              <w:right w:type="dxa" w:w="80"/>
            </w:tcMar>
          </w:tcPr>
          <w:p>
            <w:r>
              <w:rPr>
                <w:b/>
                <w:bCs/>
                <w:color w:val="FFFFFF"/>
                <w:sz w:val="18"/>
                <w:szCs w:val="18"/>
              </w:rPr>
              <w:t xml:space="preserve">Contenant</w:t>
            </w:r>
          </w:p>
        </w:tc>
        <w:tc>
          <w:tcPr>
            <w:tcW w:type="dxa" w:w="900"/>
            <w:shd w:fill="264653" w:color="auto" w:val="clear"/>
            <w:tcMar>
              <w:top w:type="dxa" w:w="60"/>
              <w:left w:type="dxa" w:w="80"/>
              <w:bottom w:type="dxa" w:w="60"/>
              <w:right w:type="dxa" w:w="80"/>
            </w:tcMar>
          </w:tcPr>
          <w:p>
            <w:r>
              <w:rPr>
                <w:b/>
                <w:bCs/>
                <w:color w:val="FFFFFF"/>
                <w:sz w:val="18"/>
                <w:szCs w:val="18"/>
              </w:rPr>
              <w:t xml:space="preserve">Lots</w:t>
            </w:r>
          </w:p>
        </w:tc>
        <w:tc>
          <w:tcPr>
            <w:tcW w:type="dxa" w:w="1400"/>
            <w:shd w:fill="264653" w:color="auto" w:val="clear"/>
            <w:tcMar>
              <w:top w:type="dxa" w:w="60"/>
              <w:left w:type="dxa" w:w="80"/>
              <w:bottom w:type="dxa" w:w="60"/>
              <w:right w:type="dxa" w:w="80"/>
            </w:tcMar>
          </w:tcPr>
          <w:p>
            <w:r>
              <w:rPr>
                <w:b/>
                <w:bCs/>
                <w:color w:val="FFFFFF"/>
                <w:sz w:val="18"/>
                <w:szCs w:val="18"/>
              </w:rPr>
              <w:t xml:space="preserve">Taux moyen</w:t>
            </w:r>
          </w:p>
        </w:tc>
        <w:tc>
          <w:tcPr>
            <w:tcW w:type="dxa" w:w="1400"/>
            <w:shd w:fill="264653" w:color="auto" w:val="clear"/>
            <w:tcMar>
              <w:top w:type="dxa" w:w="60"/>
              <w:left w:type="dxa" w:w="80"/>
              <w:bottom w:type="dxa" w:w="60"/>
              <w:right w:type="dxa" w:w="80"/>
            </w:tcMar>
          </w:tcPr>
          <w:p>
            <w:r>
              <w:rPr>
                <w:b/>
                <w:bCs/>
                <w:color w:val="FFFFFF"/>
                <w:sz w:val="18"/>
                <w:szCs w:val="18"/>
              </w:rPr>
              <w:t xml:space="preserve">Lots touchés</w:t>
            </w:r>
          </w:p>
        </w:tc>
      </w:tr>
      <w:tr>
        <w:tc>
          <w:tcPr>
            <w:tcW w:type="dxa" w:w="1600"/>
            <w:tcMar>
              <w:top w:type="dxa" w:w="60"/>
              <w:left w:type="dxa" w:w="80"/>
              <w:bottom w:type="dxa" w:w="60"/>
              <w:right w:type="dxa" w:w="80"/>
            </w:tcMar>
          </w:tcPr>
          <w:p>
            <w:r>
              <w:rPr>
                <w:b w:val="false"/>
                <w:bCs w:val="false"/>
                <w:color w:val="000000"/>
                <w:sz w:val="18"/>
                <w:szCs w:val="18"/>
              </w:rPr>
              <w:t xml:space="preserve">Décortiqué</w:t>
            </w:r>
          </w:p>
        </w:tc>
        <w:tc>
          <w:tcPr>
            <w:tcW w:type="dxa" w:w="1800"/>
            <w:tcMar>
              <w:top w:type="dxa" w:w="60"/>
              <w:left w:type="dxa" w:w="80"/>
              <w:bottom w:type="dxa" w:w="60"/>
              <w:right w:type="dxa" w:w="80"/>
            </w:tcMar>
          </w:tcPr>
          <w:p>
            <w:r>
              <w:rPr>
                <w:b w:val="false"/>
                <w:bCs w:val="false"/>
                <w:color w:val="000000"/>
                <w:sz w:val="18"/>
                <w:szCs w:val="18"/>
              </w:rPr>
              <w:t xml:space="preserve">Barrique</w:t>
            </w:r>
          </w:p>
        </w:tc>
        <w:tc>
          <w:tcPr>
            <w:tcW w:type="dxa" w:w="900"/>
            <w:tcMar>
              <w:top w:type="dxa" w:w="60"/>
              <w:left w:type="dxa" w:w="80"/>
              <w:bottom w:type="dxa" w:w="60"/>
              <w:right w:type="dxa" w:w="80"/>
            </w:tcMar>
          </w:tcPr>
          <w:p>
            <w:r>
              <w:rPr>
                <w:b w:val="false"/>
                <w:bCs w:val="false"/>
                <w:color w:val="000000"/>
                <w:sz w:val="18"/>
                <w:szCs w:val="18"/>
              </w:rPr>
              <w:t xml:space="preserve">1</w:t>
            </w:r>
          </w:p>
        </w:tc>
        <w:tc>
          <w:tcPr>
            <w:tcW w:type="dxa" w:w="1400"/>
            <w:tcMar>
              <w:top w:type="dxa" w:w="60"/>
              <w:left w:type="dxa" w:w="80"/>
              <w:bottom w:type="dxa" w:w="60"/>
              <w:right w:type="dxa" w:w="80"/>
            </w:tcMar>
          </w:tcPr>
          <w:p>
            <w:r>
              <w:rPr>
                <w:b w:val="false"/>
                <w:bCs w:val="false"/>
                <w:color w:val="000000"/>
                <w:sz w:val="18"/>
                <w:szCs w:val="18"/>
              </w:rPr>
              <w:t xml:space="preserve">0 %</w:t>
            </w:r>
          </w:p>
        </w:tc>
        <w:tc>
          <w:tcPr>
            <w:tcW w:type="dxa" w:w="1400"/>
            <w:tcMar>
              <w:top w:type="dxa" w:w="60"/>
              <w:left w:type="dxa" w:w="80"/>
              <w:bottom w:type="dxa" w:w="60"/>
              <w:right w:type="dxa" w:w="80"/>
            </w:tcMar>
          </w:tcPr>
          <w:p>
            <w:r>
              <w:rPr>
                <w:b w:val="false"/>
                <w:bCs w:val="false"/>
                <w:color w:val="000000"/>
                <w:sz w:val="18"/>
                <w:szCs w:val="18"/>
              </w:rPr>
              <w:t xml:space="preserve">0 %</w:t>
            </w:r>
          </w:p>
        </w:tc>
      </w:tr>
      <w:tr>
        <w:tc>
          <w:tcPr>
            <w:tcW w:type="dxa" w:w="1600"/>
            <w:tcMar>
              <w:top w:type="dxa" w:w="60"/>
              <w:left w:type="dxa" w:w="80"/>
              <w:bottom w:type="dxa" w:w="60"/>
              <w:right w:type="dxa" w:w="80"/>
            </w:tcMar>
          </w:tcPr>
          <w:p>
            <w:r>
              <w:rPr>
                <w:b w:val="false"/>
                <w:bCs w:val="false"/>
                <w:color w:val="000000"/>
                <w:sz w:val="18"/>
                <w:szCs w:val="18"/>
              </w:rPr>
              <w:t xml:space="preserve">Décortiqué</w:t>
            </w:r>
          </w:p>
        </w:tc>
        <w:tc>
          <w:tcPr>
            <w:tcW w:type="dxa" w:w="1800"/>
            <w:tcMar>
              <w:top w:type="dxa" w:w="60"/>
              <w:left w:type="dxa" w:w="80"/>
              <w:bottom w:type="dxa" w:w="60"/>
              <w:right w:type="dxa" w:w="80"/>
            </w:tcMar>
          </w:tcPr>
          <w:p>
            <w:r>
              <w:rPr>
                <w:b w:val="false"/>
                <w:bCs w:val="false"/>
                <w:color w:val="000000"/>
                <w:sz w:val="18"/>
                <w:szCs w:val="18"/>
              </w:rPr>
              <w:t xml:space="preserve">Bidon</w:t>
            </w:r>
          </w:p>
        </w:tc>
        <w:tc>
          <w:tcPr>
            <w:tcW w:type="dxa" w:w="900"/>
            <w:tcMar>
              <w:top w:type="dxa" w:w="60"/>
              <w:left w:type="dxa" w:w="80"/>
              <w:bottom w:type="dxa" w:w="60"/>
              <w:right w:type="dxa" w:w="80"/>
            </w:tcMar>
          </w:tcPr>
          <w:p>
            <w:r>
              <w:rPr>
                <w:b w:val="false"/>
                <w:bCs w:val="false"/>
                <w:color w:val="000000"/>
                <w:sz w:val="18"/>
                <w:szCs w:val="18"/>
              </w:rPr>
              <w:t xml:space="preserve">18</w:t>
            </w:r>
          </w:p>
        </w:tc>
        <w:tc>
          <w:tcPr>
            <w:tcW w:type="dxa" w:w="1400"/>
            <w:tcMar>
              <w:top w:type="dxa" w:w="60"/>
              <w:left w:type="dxa" w:w="80"/>
              <w:bottom w:type="dxa" w:w="60"/>
              <w:right w:type="dxa" w:w="80"/>
            </w:tcMar>
          </w:tcPr>
          <w:p>
            <w:r>
              <w:rPr>
                <w:b w:val="false"/>
                <w:bCs w:val="false"/>
                <w:color w:val="000000"/>
                <w:sz w:val="18"/>
                <w:szCs w:val="18"/>
              </w:rPr>
              <w:t xml:space="preserve">0 %</w:t>
            </w:r>
          </w:p>
        </w:tc>
        <w:tc>
          <w:tcPr>
            <w:tcW w:type="dxa" w:w="1400"/>
            <w:tcMar>
              <w:top w:type="dxa" w:w="60"/>
              <w:left w:type="dxa" w:w="80"/>
              <w:bottom w:type="dxa" w:w="60"/>
              <w:right w:type="dxa" w:w="80"/>
            </w:tcMar>
          </w:tcPr>
          <w:p>
            <w:r>
              <w:rPr>
                <w:b w:val="false"/>
                <w:bCs w:val="false"/>
                <w:color w:val="000000"/>
                <w:sz w:val="18"/>
                <w:szCs w:val="18"/>
              </w:rPr>
              <w:t xml:space="preserve">0 %</w:t>
            </w:r>
          </w:p>
        </w:tc>
      </w:tr>
      <w:tr>
        <w:tc>
          <w:tcPr>
            <w:tcW w:type="dxa" w:w="1600"/>
            <w:tcMar>
              <w:top w:type="dxa" w:w="60"/>
              <w:left w:type="dxa" w:w="80"/>
              <w:bottom w:type="dxa" w:w="60"/>
              <w:right w:type="dxa" w:w="80"/>
            </w:tcMar>
          </w:tcPr>
          <w:p>
            <w:r>
              <w:rPr>
                <w:b w:val="false"/>
                <w:bCs w:val="false"/>
                <w:color w:val="000000"/>
                <w:sz w:val="18"/>
                <w:szCs w:val="18"/>
              </w:rPr>
              <w:t xml:space="preserve">Décortiqué</w:t>
            </w:r>
          </w:p>
        </w:tc>
        <w:tc>
          <w:tcPr>
            <w:tcW w:type="dxa" w:w="1800"/>
            <w:tcMar>
              <w:top w:type="dxa" w:w="60"/>
              <w:left w:type="dxa" w:w="80"/>
              <w:bottom w:type="dxa" w:w="60"/>
              <w:right w:type="dxa" w:w="80"/>
            </w:tcMar>
          </w:tcPr>
          <w:p>
            <w:r>
              <w:rPr>
                <w:b w:val="false"/>
                <w:bCs w:val="false"/>
                <w:color w:val="000000"/>
                <w:sz w:val="18"/>
                <w:szCs w:val="18"/>
              </w:rPr>
              <w:t xml:space="preserve">Fût</w:t>
            </w:r>
          </w:p>
        </w:tc>
        <w:tc>
          <w:tcPr>
            <w:tcW w:type="dxa" w:w="900"/>
            <w:tcMar>
              <w:top w:type="dxa" w:w="60"/>
              <w:left w:type="dxa" w:w="80"/>
              <w:bottom w:type="dxa" w:w="60"/>
              <w:right w:type="dxa" w:w="80"/>
            </w:tcMar>
          </w:tcPr>
          <w:p>
            <w:r>
              <w:rPr>
                <w:b w:val="false"/>
                <w:bCs w:val="false"/>
                <w:color w:val="000000"/>
                <w:sz w:val="18"/>
                <w:szCs w:val="18"/>
              </w:rPr>
              <w:t xml:space="preserve">6</w:t>
            </w:r>
          </w:p>
        </w:tc>
        <w:tc>
          <w:tcPr>
            <w:tcW w:type="dxa" w:w="1400"/>
            <w:tcMar>
              <w:top w:type="dxa" w:w="60"/>
              <w:left w:type="dxa" w:w="80"/>
              <w:bottom w:type="dxa" w:w="60"/>
              <w:right w:type="dxa" w:w="80"/>
            </w:tcMar>
          </w:tcPr>
          <w:p>
            <w:r>
              <w:rPr>
                <w:b w:val="false"/>
                <w:bCs w:val="false"/>
                <w:color w:val="000000"/>
                <w:sz w:val="18"/>
                <w:szCs w:val="18"/>
              </w:rPr>
              <w:t xml:space="preserve">0 %</w:t>
            </w:r>
          </w:p>
        </w:tc>
        <w:tc>
          <w:tcPr>
            <w:tcW w:type="dxa" w:w="1400"/>
            <w:tcMar>
              <w:top w:type="dxa" w:w="60"/>
              <w:left w:type="dxa" w:w="80"/>
              <w:bottom w:type="dxa" w:w="60"/>
              <w:right w:type="dxa" w:w="80"/>
            </w:tcMar>
          </w:tcPr>
          <w:p>
            <w:r>
              <w:rPr>
                <w:b w:val="false"/>
                <w:bCs w:val="false"/>
                <w:color w:val="000000"/>
                <w:sz w:val="18"/>
                <w:szCs w:val="18"/>
              </w:rPr>
              <w:t xml:space="preserve">0 %</w:t>
            </w:r>
          </w:p>
        </w:tc>
      </w:tr>
      <w:tr>
        <w:tc>
          <w:tcPr>
            <w:tcW w:type="dxa" w:w="1600"/>
            <w:tcMar>
              <w:top w:type="dxa" w:w="60"/>
              <w:left w:type="dxa" w:w="80"/>
              <w:bottom w:type="dxa" w:w="60"/>
              <w:right w:type="dxa" w:w="80"/>
            </w:tcMar>
          </w:tcPr>
          <w:p>
            <w:r>
              <w:rPr>
                <w:b w:val="false"/>
                <w:bCs w:val="false"/>
                <w:color w:val="000000"/>
                <w:sz w:val="18"/>
                <w:szCs w:val="18"/>
              </w:rPr>
              <w:t xml:space="preserve">Décortiqué</w:t>
            </w:r>
          </w:p>
        </w:tc>
        <w:tc>
          <w:tcPr>
            <w:tcW w:type="dxa" w:w="1800"/>
            <w:tcMar>
              <w:top w:type="dxa" w:w="60"/>
              <w:left w:type="dxa" w:w="80"/>
              <w:bottom w:type="dxa" w:w="60"/>
              <w:right w:type="dxa" w:w="80"/>
            </w:tcMar>
          </w:tcPr>
          <w:p>
            <w:r>
              <w:rPr>
                <w:b w:val="false"/>
                <w:bCs w:val="false"/>
                <w:color w:val="000000"/>
                <w:sz w:val="18"/>
                <w:szCs w:val="18"/>
              </w:rPr>
              <w:t xml:space="preserve">Sac</w:t>
            </w:r>
          </w:p>
        </w:tc>
        <w:tc>
          <w:tcPr>
            <w:tcW w:type="dxa" w:w="900"/>
            <w:tcMar>
              <w:top w:type="dxa" w:w="60"/>
              <w:left w:type="dxa" w:w="80"/>
              <w:bottom w:type="dxa" w:w="60"/>
              <w:right w:type="dxa" w:w="80"/>
            </w:tcMar>
          </w:tcPr>
          <w:p>
            <w:r>
              <w:rPr>
                <w:b w:val="false"/>
                <w:bCs w:val="false"/>
                <w:color w:val="000000"/>
                <w:sz w:val="18"/>
                <w:szCs w:val="18"/>
              </w:rPr>
              <w:t xml:space="preserve">71</w:t>
            </w:r>
          </w:p>
        </w:tc>
        <w:tc>
          <w:tcPr>
            <w:tcW w:type="dxa" w:w="1400"/>
            <w:tcMar>
              <w:top w:type="dxa" w:w="60"/>
              <w:left w:type="dxa" w:w="80"/>
              <w:bottom w:type="dxa" w:w="60"/>
              <w:right w:type="dxa" w:w="80"/>
            </w:tcMar>
          </w:tcPr>
          <w:p>
            <w:r>
              <w:rPr>
                <w:b w:val="false"/>
                <w:bCs w:val="false"/>
                <w:color w:val="000000"/>
                <w:sz w:val="18"/>
                <w:szCs w:val="18"/>
              </w:rPr>
              <w:t xml:space="preserve">10,8 %</w:t>
            </w:r>
          </w:p>
        </w:tc>
        <w:tc>
          <w:tcPr>
            <w:tcW w:type="dxa" w:w="1400"/>
            <w:tcMar>
              <w:top w:type="dxa" w:w="60"/>
              <w:left w:type="dxa" w:w="80"/>
              <w:bottom w:type="dxa" w:w="60"/>
              <w:right w:type="dxa" w:w="80"/>
            </w:tcMar>
          </w:tcPr>
          <w:p>
            <w:r>
              <w:rPr>
                <w:b w:val="false"/>
                <w:bCs w:val="false"/>
                <w:color w:val="000000"/>
                <w:sz w:val="18"/>
                <w:szCs w:val="18"/>
              </w:rPr>
              <w:t xml:space="preserve">46 %</w:t>
            </w:r>
          </w:p>
        </w:tc>
      </w:tr>
      <w:tr>
        <w:tc>
          <w:tcPr>
            <w:tcW w:type="dxa" w:w="1600"/>
            <w:tcMar>
              <w:top w:type="dxa" w:w="60"/>
              <w:left w:type="dxa" w:w="80"/>
              <w:bottom w:type="dxa" w:w="60"/>
              <w:right w:type="dxa" w:w="80"/>
            </w:tcMar>
          </w:tcPr>
          <w:p>
            <w:r>
              <w:rPr>
                <w:b w:val="false"/>
                <w:bCs w:val="false"/>
                <w:color w:val="000000"/>
                <w:sz w:val="18"/>
                <w:szCs w:val="18"/>
              </w:rPr>
              <w:t xml:space="preserve">Gousses</w:t>
            </w:r>
          </w:p>
        </w:tc>
        <w:tc>
          <w:tcPr>
            <w:tcW w:type="dxa" w:w="1800"/>
            <w:tcMar>
              <w:top w:type="dxa" w:w="60"/>
              <w:left w:type="dxa" w:w="80"/>
              <w:bottom w:type="dxa" w:w="60"/>
              <w:right w:type="dxa" w:w="80"/>
            </w:tcMar>
          </w:tcPr>
          <w:p>
            <w:r>
              <w:rPr>
                <w:b w:val="false"/>
                <w:bCs w:val="false"/>
                <w:color w:val="000000"/>
                <w:sz w:val="18"/>
                <w:szCs w:val="18"/>
              </w:rPr>
              <w:t xml:space="preserve">Sac</w:t>
            </w:r>
          </w:p>
        </w:tc>
        <w:tc>
          <w:tcPr>
            <w:tcW w:type="dxa" w:w="900"/>
            <w:tcMar>
              <w:top w:type="dxa" w:w="60"/>
              <w:left w:type="dxa" w:w="80"/>
              <w:bottom w:type="dxa" w:w="60"/>
              <w:right w:type="dxa" w:w="80"/>
            </w:tcMar>
          </w:tcPr>
          <w:p>
            <w:r>
              <w:rPr>
                <w:b w:val="false"/>
                <w:bCs w:val="false"/>
                <w:color w:val="000000"/>
                <w:sz w:val="18"/>
                <w:szCs w:val="18"/>
              </w:rPr>
              <w:t xml:space="preserve">96</w:t>
            </w:r>
          </w:p>
        </w:tc>
        <w:tc>
          <w:tcPr>
            <w:tcW w:type="dxa" w:w="1400"/>
            <w:tcMar>
              <w:top w:type="dxa" w:w="60"/>
              <w:left w:type="dxa" w:w="80"/>
              <w:bottom w:type="dxa" w:w="60"/>
              <w:right w:type="dxa" w:w="80"/>
            </w:tcMar>
          </w:tcPr>
          <w:p>
            <w:r>
              <w:rPr>
                <w:b w:val="false"/>
                <w:bCs w:val="false"/>
                <w:color w:val="000000"/>
                <w:sz w:val="18"/>
                <w:szCs w:val="18"/>
              </w:rPr>
              <w:t xml:space="preserve">3,8 %</w:t>
            </w:r>
          </w:p>
        </w:tc>
        <w:tc>
          <w:tcPr>
            <w:tcW w:type="dxa" w:w="1400"/>
            <w:tcMar>
              <w:top w:type="dxa" w:w="60"/>
              <w:left w:type="dxa" w:w="80"/>
              <w:bottom w:type="dxa" w:w="60"/>
              <w:right w:type="dxa" w:w="80"/>
            </w:tcMar>
          </w:tcPr>
          <w:p>
            <w:r>
              <w:rPr>
                <w:b w:val="false"/>
                <w:bCs w:val="false"/>
                <w:color w:val="000000"/>
                <w:sz w:val="18"/>
                <w:szCs w:val="18"/>
              </w:rPr>
              <w:t xml:space="preserve">24 %</w:t>
            </w:r>
          </w:p>
        </w:tc>
      </w:tr>
    </w:tbl>
    <w:p>
      <w:pPr>
        <w:spacing w:after="160"/>
      </w:pP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400"/>
        <w:gridCol w:w="1400"/>
      </w:tblGrid>
      <w:tr>
        <w:trPr>
          <w:tblHeader/>
        </w:trPr>
        <w:tc>
          <w:tcPr>
            <w:tcW w:type="dxa" w:w="1600"/>
            <w:shd w:fill="264653" w:color="auto" w:val="clear"/>
            <w:tcMar>
              <w:top w:type="dxa" w:w="60"/>
              <w:left w:type="dxa" w:w="80"/>
              <w:bottom w:type="dxa" w:w="60"/>
              <w:right w:type="dxa" w:w="80"/>
            </w:tcMar>
          </w:tcPr>
          <w:p>
            <w:r>
              <w:rPr>
                <w:b/>
                <w:bCs/>
                <w:color w:val="FFFFFF"/>
                <w:sz w:val="18"/>
                <w:szCs w:val="18"/>
              </w:rPr>
              <w:t xml:space="preserve">Nature</w:t>
            </w:r>
          </w:p>
        </w:tc>
        <w:tc>
          <w:tcPr>
            <w:tcW w:type="dxa" w:w="1800"/>
            <w:shd w:fill="264653" w:color="auto" w:val="clear"/>
            <w:tcMar>
              <w:top w:type="dxa" w:w="60"/>
              <w:left w:type="dxa" w:w="80"/>
              <w:bottom w:type="dxa" w:w="60"/>
              <w:right w:type="dxa" w:w="80"/>
            </w:tcMar>
          </w:tcPr>
          <w:p>
            <w:r>
              <w:rPr>
                <w:b/>
                <w:bCs/>
                <w:color w:val="FFFFFF"/>
                <w:sz w:val="18"/>
                <w:szCs w:val="18"/>
              </w:rPr>
              <w:t xml:space="preserve">Traitement</w:t>
            </w:r>
          </w:p>
        </w:tc>
        <w:tc>
          <w:tcPr>
            <w:tcW w:type="dxa" w:w="900"/>
            <w:shd w:fill="264653" w:color="auto" w:val="clear"/>
            <w:tcMar>
              <w:top w:type="dxa" w:w="60"/>
              <w:left w:type="dxa" w:w="80"/>
              <w:bottom w:type="dxa" w:w="60"/>
              <w:right w:type="dxa" w:w="80"/>
            </w:tcMar>
          </w:tcPr>
          <w:p>
            <w:r>
              <w:rPr>
                <w:b/>
                <w:bCs/>
                <w:color w:val="FFFFFF"/>
                <w:sz w:val="18"/>
                <w:szCs w:val="18"/>
              </w:rPr>
              <w:t xml:space="preserve">Lots</w:t>
            </w:r>
          </w:p>
        </w:tc>
        <w:tc>
          <w:tcPr>
            <w:tcW w:type="dxa" w:w="1400"/>
            <w:shd w:fill="264653" w:color="auto" w:val="clear"/>
            <w:tcMar>
              <w:top w:type="dxa" w:w="60"/>
              <w:left w:type="dxa" w:w="80"/>
              <w:bottom w:type="dxa" w:w="60"/>
              <w:right w:type="dxa" w:w="80"/>
            </w:tcMar>
          </w:tcPr>
          <w:p>
            <w:r>
              <w:rPr>
                <w:b/>
                <w:bCs/>
                <w:color w:val="FFFFFF"/>
                <w:sz w:val="18"/>
                <w:szCs w:val="18"/>
              </w:rPr>
              <w:t xml:space="preserve">Taux moyen</w:t>
            </w:r>
          </w:p>
        </w:tc>
        <w:tc>
          <w:tcPr>
            <w:tcW w:type="dxa" w:w="1400"/>
            <w:shd w:fill="264653" w:color="auto" w:val="clear"/>
            <w:tcMar>
              <w:top w:type="dxa" w:w="60"/>
              <w:left w:type="dxa" w:w="80"/>
              <w:bottom w:type="dxa" w:w="60"/>
              <w:right w:type="dxa" w:w="80"/>
            </w:tcMar>
          </w:tcPr>
          <w:p>
            <w:r>
              <w:rPr>
                <w:b/>
                <w:bCs/>
                <w:color w:val="FFFFFF"/>
                <w:sz w:val="18"/>
                <w:szCs w:val="18"/>
              </w:rPr>
              <w:t xml:space="preserve">Lots touchés</w:t>
            </w:r>
          </w:p>
        </w:tc>
      </w:tr>
      <w:tr>
        <w:tc>
          <w:tcPr>
            <w:tcW w:type="dxa" w:w="1600"/>
            <w:tcMar>
              <w:top w:type="dxa" w:w="60"/>
              <w:left w:type="dxa" w:w="80"/>
              <w:bottom w:type="dxa" w:w="60"/>
              <w:right w:type="dxa" w:w="80"/>
            </w:tcMar>
          </w:tcPr>
          <w:p>
            <w:r>
              <w:rPr>
                <w:b w:val="false"/>
                <w:bCs w:val="false"/>
                <w:color w:val="000000"/>
                <w:sz w:val="18"/>
                <w:szCs w:val="18"/>
              </w:rPr>
              <w:t xml:space="preserve">Décortiqué</w:t>
            </w:r>
          </w:p>
        </w:tc>
        <w:tc>
          <w:tcPr>
            <w:tcW w:type="dxa" w:w="1800"/>
            <w:tcMar>
              <w:top w:type="dxa" w:w="60"/>
              <w:left w:type="dxa" w:w="80"/>
              <w:bottom w:type="dxa" w:w="60"/>
              <w:right w:type="dxa" w:w="80"/>
            </w:tcMar>
          </w:tcPr>
          <w:p>
            <w:r>
              <w:rPr>
                <w:b w:val="false"/>
                <w:bCs w:val="false"/>
                <w:color w:val="000000"/>
                <w:sz w:val="18"/>
                <w:szCs w:val="18"/>
              </w:rPr>
              <w:t xml:space="preserve">Ail (naturel)</w:t>
            </w:r>
          </w:p>
        </w:tc>
        <w:tc>
          <w:tcPr>
            <w:tcW w:type="dxa" w:w="900"/>
            <w:tcMar>
              <w:top w:type="dxa" w:w="60"/>
              <w:left w:type="dxa" w:w="80"/>
              <w:bottom w:type="dxa" w:w="60"/>
              <w:right w:type="dxa" w:w="80"/>
            </w:tcMar>
          </w:tcPr>
          <w:p>
            <w:r>
              <w:rPr>
                <w:b w:val="false"/>
                <w:bCs w:val="false"/>
                <w:color w:val="000000"/>
                <w:sz w:val="18"/>
                <w:szCs w:val="18"/>
              </w:rPr>
              <w:t xml:space="preserve">5</w:t>
            </w:r>
          </w:p>
        </w:tc>
        <w:tc>
          <w:tcPr>
            <w:tcW w:type="dxa" w:w="1400"/>
            <w:tcMar>
              <w:top w:type="dxa" w:w="60"/>
              <w:left w:type="dxa" w:w="80"/>
              <w:bottom w:type="dxa" w:w="60"/>
              <w:right w:type="dxa" w:w="80"/>
            </w:tcMar>
          </w:tcPr>
          <w:p>
            <w:r>
              <w:rPr>
                <w:b w:val="false"/>
                <w:bCs w:val="false"/>
                <w:color w:val="000000"/>
                <w:sz w:val="18"/>
                <w:szCs w:val="18"/>
              </w:rPr>
              <w:t xml:space="preserve">0 %</w:t>
            </w:r>
          </w:p>
        </w:tc>
        <w:tc>
          <w:tcPr>
            <w:tcW w:type="dxa" w:w="1400"/>
            <w:tcMar>
              <w:top w:type="dxa" w:w="60"/>
              <w:left w:type="dxa" w:w="80"/>
              <w:bottom w:type="dxa" w:w="60"/>
              <w:right w:type="dxa" w:w="80"/>
            </w:tcMar>
          </w:tcPr>
          <w:p>
            <w:r>
              <w:rPr>
                <w:b w:val="false"/>
                <w:bCs w:val="false"/>
                <w:color w:val="000000"/>
                <w:sz w:val="18"/>
                <w:szCs w:val="18"/>
              </w:rPr>
              <w:t xml:space="preserve">0 %</w:t>
            </w:r>
          </w:p>
        </w:tc>
      </w:tr>
      <w:tr>
        <w:tc>
          <w:tcPr>
            <w:tcW w:type="dxa" w:w="1600"/>
            <w:tcMar>
              <w:top w:type="dxa" w:w="60"/>
              <w:left w:type="dxa" w:w="80"/>
              <w:bottom w:type="dxa" w:w="60"/>
              <w:right w:type="dxa" w:w="80"/>
            </w:tcMar>
          </w:tcPr>
          <w:p>
            <w:r>
              <w:rPr>
                <w:b w:val="false"/>
                <w:bCs w:val="false"/>
                <w:color w:val="000000"/>
                <w:sz w:val="18"/>
                <w:szCs w:val="18"/>
              </w:rPr>
              <w:t xml:space="preserve">Décortiqué</w:t>
            </w:r>
          </w:p>
        </w:tc>
        <w:tc>
          <w:tcPr>
            <w:tcW w:type="dxa" w:w="1800"/>
            <w:tcMar>
              <w:top w:type="dxa" w:w="60"/>
              <w:left w:type="dxa" w:w="80"/>
              <w:bottom w:type="dxa" w:w="60"/>
              <w:right w:type="dxa" w:w="80"/>
            </w:tcMar>
          </w:tcPr>
          <w:p>
            <w:r>
              <w:rPr>
                <w:b w:val="false"/>
                <w:bCs w:val="false"/>
                <w:color w:val="000000"/>
                <w:sz w:val="18"/>
                <w:szCs w:val="18"/>
              </w:rPr>
              <w:t xml:space="preserve">Aucun</w:t>
            </w:r>
          </w:p>
        </w:tc>
        <w:tc>
          <w:tcPr>
            <w:tcW w:type="dxa" w:w="900"/>
            <w:tcMar>
              <w:top w:type="dxa" w:w="60"/>
              <w:left w:type="dxa" w:w="80"/>
              <w:bottom w:type="dxa" w:w="60"/>
              <w:right w:type="dxa" w:w="80"/>
            </w:tcMar>
          </w:tcPr>
          <w:p>
            <w:r>
              <w:rPr>
                <w:b w:val="false"/>
                <w:bCs w:val="false"/>
                <w:color w:val="000000"/>
                <w:sz w:val="18"/>
                <w:szCs w:val="18"/>
              </w:rPr>
              <w:t xml:space="preserve">30</w:t>
            </w:r>
          </w:p>
        </w:tc>
        <w:tc>
          <w:tcPr>
            <w:tcW w:type="dxa" w:w="1400"/>
            <w:tcMar>
              <w:top w:type="dxa" w:w="60"/>
              <w:left w:type="dxa" w:w="80"/>
              <w:bottom w:type="dxa" w:w="60"/>
              <w:right w:type="dxa" w:w="80"/>
            </w:tcMar>
          </w:tcPr>
          <w:p>
            <w:r>
              <w:rPr>
                <w:b w:val="false"/>
                <w:bCs w:val="false"/>
                <w:color w:val="000000"/>
                <w:sz w:val="18"/>
                <w:szCs w:val="18"/>
              </w:rPr>
              <w:t xml:space="preserve">0 %</w:t>
            </w:r>
          </w:p>
        </w:tc>
        <w:tc>
          <w:tcPr>
            <w:tcW w:type="dxa" w:w="1400"/>
            <w:tcMar>
              <w:top w:type="dxa" w:w="60"/>
              <w:left w:type="dxa" w:w="80"/>
              <w:bottom w:type="dxa" w:w="60"/>
              <w:right w:type="dxa" w:w="80"/>
            </w:tcMar>
          </w:tcPr>
          <w:p>
            <w:r>
              <w:rPr>
                <w:b w:val="false"/>
                <w:bCs w:val="false"/>
                <w:color w:val="000000"/>
                <w:sz w:val="18"/>
                <w:szCs w:val="18"/>
              </w:rPr>
              <w:t xml:space="preserve">0 %</w:t>
            </w:r>
          </w:p>
        </w:tc>
      </w:tr>
      <w:tr>
        <w:tc>
          <w:tcPr>
            <w:tcW w:type="dxa" w:w="1600"/>
            <w:tcMar>
              <w:top w:type="dxa" w:w="60"/>
              <w:left w:type="dxa" w:w="80"/>
              <w:bottom w:type="dxa" w:w="60"/>
              <w:right w:type="dxa" w:w="80"/>
            </w:tcMar>
          </w:tcPr>
          <w:p>
            <w:r>
              <w:rPr>
                <w:b w:val="false"/>
                <w:bCs w:val="false"/>
                <w:color w:val="000000"/>
                <w:sz w:val="18"/>
                <w:szCs w:val="18"/>
              </w:rPr>
              <w:t xml:space="preserve">Décortiqué</w:t>
            </w:r>
          </w:p>
        </w:tc>
        <w:tc>
          <w:tcPr>
            <w:tcW w:type="dxa" w:w="1800"/>
            <w:tcMar>
              <w:top w:type="dxa" w:w="60"/>
              <w:left w:type="dxa" w:w="80"/>
              <w:bottom w:type="dxa" w:w="60"/>
              <w:right w:type="dxa" w:w="80"/>
            </w:tcMar>
          </w:tcPr>
          <w:p>
            <w:r>
              <w:rPr>
                <w:b w:val="false"/>
                <w:bCs w:val="false"/>
                <w:color w:val="000000"/>
                <w:sz w:val="18"/>
                <w:szCs w:val="18"/>
              </w:rPr>
              <w:t xml:space="preserve">Perles</w:t>
            </w:r>
          </w:p>
        </w:tc>
        <w:tc>
          <w:tcPr>
            <w:tcW w:type="dxa" w:w="900"/>
            <w:tcMar>
              <w:top w:type="dxa" w:w="60"/>
              <w:left w:type="dxa" w:w="80"/>
              <w:bottom w:type="dxa" w:w="60"/>
              <w:right w:type="dxa" w:w="80"/>
            </w:tcMar>
          </w:tcPr>
          <w:p>
            <w:r>
              <w:rPr>
                <w:b w:val="false"/>
                <w:bCs w:val="false"/>
                <w:color w:val="000000"/>
                <w:sz w:val="18"/>
                <w:szCs w:val="18"/>
              </w:rPr>
              <w:t xml:space="preserve">58</w:t>
            </w:r>
          </w:p>
        </w:tc>
        <w:tc>
          <w:tcPr>
            <w:tcW w:type="dxa" w:w="1400"/>
            <w:tcMar>
              <w:top w:type="dxa" w:w="60"/>
              <w:left w:type="dxa" w:w="80"/>
              <w:bottom w:type="dxa" w:w="60"/>
              <w:right w:type="dxa" w:w="80"/>
            </w:tcMar>
          </w:tcPr>
          <w:p>
            <w:r>
              <w:rPr>
                <w:b w:val="false"/>
                <w:bCs w:val="false"/>
                <w:color w:val="000000"/>
                <w:sz w:val="18"/>
                <w:szCs w:val="18"/>
              </w:rPr>
              <w:t xml:space="preserve">12,6 %</w:t>
            </w:r>
          </w:p>
        </w:tc>
        <w:tc>
          <w:tcPr>
            <w:tcW w:type="dxa" w:w="1400"/>
            <w:tcMar>
              <w:top w:type="dxa" w:w="60"/>
              <w:left w:type="dxa" w:w="80"/>
              <w:bottom w:type="dxa" w:w="60"/>
              <w:right w:type="dxa" w:w="80"/>
            </w:tcMar>
          </w:tcPr>
          <w:p>
            <w:r>
              <w:rPr>
                <w:b w:val="false"/>
                <w:bCs w:val="false"/>
                <w:color w:val="000000"/>
                <w:sz w:val="18"/>
                <w:szCs w:val="18"/>
              </w:rPr>
              <w:t xml:space="preserve">55 %</w:t>
            </w:r>
          </w:p>
        </w:tc>
      </w:tr>
      <w:tr>
        <w:tc>
          <w:tcPr>
            <w:tcW w:type="dxa" w:w="1600"/>
            <w:tcMar>
              <w:top w:type="dxa" w:w="60"/>
              <w:left w:type="dxa" w:w="80"/>
              <w:bottom w:type="dxa" w:w="60"/>
              <w:right w:type="dxa" w:w="80"/>
            </w:tcMar>
          </w:tcPr>
          <w:p>
            <w:r>
              <w:rPr>
                <w:b w:val="false"/>
                <w:bCs w:val="false"/>
                <w:color w:val="000000"/>
                <w:sz w:val="18"/>
                <w:szCs w:val="18"/>
              </w:rPr>
              <w:t xml:space="preserve">Décortiqué</w:t>
            </w:r>
          </w:p>
        </w:tc>
        <w:tc>
          <w:tcPr>
            <w:tcW w:type="dxa" w:w="1800"/>
            <w:tcMar>
              <w:top w:type="dxa" w:w="60"/>
              <w:left w:type="dxa" w:w="80"/>
              <w:bottom w:type="dxa" w:w="60"/>
              <w:right w:type="dxa" w:w="80"/>
            </w:tcMar>
          </w:tcPr>
          <w:p>
            <w:r>
              <w:rPr>
                <w:b w:val="false"/>
                <w:bCs w:val="false"/>
                <w:color w:val="000000"/>
                <w:sz w:val="18"/>
                <w:szCs w:val="18"/>
              </w:rPr>
              <w:t xml:space="preserve">Perles + poudre</w:t>
            </w:r>
          </w:p>
        </w:tc>
        <w:tc>
          <w:tcPr>
            <w:tcW w:type="dxa" w:w="900"/>
            <w:tcMar>
              <w:top w:type="dxa" w:w="60"/>
              <w:left w:type="dxa" w:w="80"/>
              <w:bottom w:type="dxa" w:w="60"/>
              <w:right w:type="dxa" w:w="80"/>
            </w:tcMar>
          </w:tcPr>
          <w:p>
            <w:r>
              <w:rPr>
                <w:b w:val="false"/>
                <w:bCs w:val="false"/>
                <w:color w:val="000000"/>
                <w:sz w:val="18"/>
                <w:szCs w:val="18"/>
              </w:rPr>
              <w:t xml:space="preserve">3</w:t>
            </w:r>
          </w:p>
        </w:tc>
        <w:tc>
          <w:tcPr>
            <w:tcW w:type="dxa" w:w="1400"/>
            <w:tcMar>
              <w:top w:type="dxa" w:w="60"/>
              <w:left w:type="dxa" w:w="80"/>
              <w:bottom w:type="dxa" w:w="60"/>
              <w:right w:type="dxa" w:w="80"/>
            </w:tcMar>
          </w:tcPr>
          <w:p>
            <w:r>
              <w:rPr>
                <w:b w:val="false"/>
                <w:bCs w:val="false"/>
                <w:color w:val="000000"/>
                <w:sz w:val="18"/>
                <w:szCs w:val="18"/>
              </w:rPr>
              <w:t xml:space="preserve">11,1 %</w:t>
            </w:r>
          </w:p>
        </w:tc>
        <w:tc>
          <w:tcPr>
            <w:tcW w:type="dxa" w:w="1400"/>
            <w:tcMar>
              <w:top w:type="dxa" w:w="60"/>
              <w:left w:type="dxa" w:w="80"/>
              <w:bottom w:type="dxa" w:w="60"/>
              <w:right w:type="dxa" w:w="80"/>
            </w:tcMar>
          </w:tcPr>
          <w:p>
            <w:r>
              <w:rPr>
                <w:b w:val="false"/>
                <w:bCs w:val="false"/>
                <w:color w:val="000000"/>
                <w:sz w:val="18"/>
                <w:szCs w:val="18"/>
              </w:rPr>
              <w:t xml:space="preserve">33 %</w:t>
            </w:r>
          </w:p>
        </w:tc>
      </w:tr>
      <w:tr>
        <w:tc>
          <w:tcPr>
            <w:tcW w:type="dxa" w:w="1600"/>
            <w:tcMar>
              <w:top w:type="dxa" w:w="60"/>
              <w:left w:type="dxa" w:w="80"/>
              <w:bottom w:type="dxa" w:w="60"/>
              <w:right w:type="dxa" w:w="80"/>
            </w:tcMar>
          </w:tcPr>
          <w:p>
            <w:r>
              <w:rPr>
                <w:b w:val="false"/>
                <w:bCs w:val="false"/>
                <w:color w:val="000000"/>
                <w:sz w:val="18"/>
                <w:szCs w:val="18"/>
              </w:rPr>
              <w:t xml:space="preserve">Gousses</w:t>
            </w:r>
          </w:p>
        </w:tc>
        <w:tc>
          <w:tcPr>
            <w:tcW w:type="dxa" w:w="1800"/>
            <w:tcMar>
              <w:top w:type="dxa" w:w="60"/>
              <w:left w:type="dxa" w:w="80"/>
              <w:bottom w:type="dxa" w:w="60"/>
              <w:right w:type="dxa" w:w="80"/>
            </w:tcMar>
          </w:tcPr>
          <w:p>
            <w:r>
              <w:rPr>
                <w:b w:val="false"/>
                <w:bCs w:val="false"/>
                <w:color w:val="000000"/>
                <w:sz w:val="18"/>
                <w:szCs w:val="18"/>
              </w:rPr>
              <w:t xml:space="preserve">Aucun</w:t>
            </w:r>
          </w:p>
        </w:tc>
        <w:tc>
          <w:tcPr>
            <w:tcW w:type="dxa" w:w="900"/>
            <w:tcMar>
              <w:top w:type="dxa" w:w="60"/>
              <w:left w:type="dxa" w:w="80"/>
              <w:bottom w:type="dxa" w:w="60"/>
              <w:right w:type="dxa" w:w="80"/>
            </w:tcMar>
          </w:tcPr>
          <w:p>
            <w:r>
              <w:rPr>
                <w:b w:val="false"/>
                <w:bCs w:val="false"/>
                <w:color w:val="000000"/>
                <w:sz w:val="18"/>
                <w:szCs w:val="18"/>
              </w:rPr>
              <w:t xml:space="preserve">3</w:t>
            </w:r>
          </w:p>
        </w:tc>
        <w:tc>
          <w:tcPr>
            <w:tcW w:type="dxa" w:w="1400"/>
            <w:tcMar>
              <w:top w:type="dxa" w:w="60"/>
              <w:left w:type="dxa" w:w="80"/>
              <w:bottom w:type="dxa" w:w="60"/>
              <w:right w:type="dxa" w:w="80"/>
            </w:tcMar>
          </w:tcPr>
          <w:p>
            <w:r>
              <w:rPr>
                <w:b w:val="false"/>
                <w:bCs w:val="false"/>
                <w:color w:val="000000"/>
                <w:sz w:val="18"/>
                <w:szCs w:val="18"/>
              </w:rPr>
              <w:t xml:space="preserve">0 %</w:t>
            </w:r>
          </w:p>
        </w:tc>
        <w:tc>
          <w:tcPr>
            <w:tcW w:type="dxa" w:w="1400"/>
            <w:tcMar>
              <w:top w:type="dxa" w:w="60"/>
              <w:left w:type="dxa" w:w="80"/>
              <w:bottom w:type="dxa" w:w="60"/>
              <w:right w:type="dxa" w:w="80"/>
            </w:tcMar>
          </w:tcPr>
          <w:p>
            <w:r>
              <w:rPr>
                <w:b w:val="false"/>
                <w:bCs w:val="false"/>
                <w:color w:val="000000"/>
                <w:sz w:val="18"/>
                <w:szCs w:val="18"/>
              </w:rPr>
              <w:t xml:space="preserve">0 %</w:t>
            </w:r>
          </w:p>
        </w:tc>
      </w:tr>
      <w:tr>
        <w:tc>
          <w:tcPr>
            <w:tcW w:type="dxa" w:w="1600"/>
            <w:tcMar>
              <w:top w:type="dxa" w:w="60"/>
              <w:left w:type="dxa" w:w="80"/>
              <w:bottom w:type="dxa" w:w="60"/>
              <w:right w:type="dxa" w:w="80"/>
            </w:tcMar>
          </w:tcPr>
          <w:p>
            <w:r>
              <w:rPr>
                <w:b w:val="false"/>
                <w:bCs w:val="false"/>
                <w:color w:val="000000"/>
                <w:sz w:val="18"/>
                <w:szCs w:val="18"/>
              </w:rPr>
              <w:t xml:space="preserve">Gousses</w:t>
            </w:r>
          </w:p>
        </w:tc>
        <w:tc>
          <w:tcPr>
            <w:tcW w:type="dxa" w:w="1800"/>
            <w:tcMar>
              <w:top w:type="dxa" w:w="60"/>
              <w:left w:type="dxa" w:w="80"/>
              <w:bottom w:type="dxa" w:w="60"/>
              <w:right w:type="dxa" w:w="80"/>
            </w:tcMar>
          </w:tcPr>
          <w:p>
            <w:r>
              <w:rPr>
                <w:b w:val="false"/>
                <w:bCs w:val="false"/>
                <w:color w:val="000000"/>
                <w:sz w:val="18"/>
                <w:szCs w:val="18"/>
              </w:rPr>
              <w:t xml:space="preserve">Perles</w:t>
            </w:r>
          </w:p>
        </w:tc>
        <w:tc>
          <w:tcPr>
            <w:tcW w:type="dxa" w:w="900"/>
            <w:tcMar>
              <w:top w:type="dxa" w:w="60"/>
              <w:left w:type="dxa" w:w="80"/>
              <w:bottom w:type="dxa" w:w="60"/>
              <w:right w:type="dxa" w:w="80"/>
            </w:tcMar>
          </w:tcPr>
          <w:p>
            <w:r>
              <w:rPr>
                <w:b w:val="false"/>
                <w:bCs w:val="false"/>
                <w:color w:val="000000"/>
                <w:sz w:val="18"/>
                <w:szCs w:val="18"/>
              </w:rPr>
              <w:t xml:space="preserve">55</w:t>
            </w:r>
          </w:p>
        </w:tc>
        <w:tc>
          <w:tcPr>
            <w:tcW w:type="dxa" w:w="1400"/>
            <w:tcMar>
              <w:top w:type="dxa" w:w="60"/>
              <w:left w:type="dxa" w:w="80"/>
              <w:bottom w:type="dxa" w:w="60"/>
              <w:right w:type="dxa" w:w="80"/>
            </w:tcMar>
          </w:tcPr>
          <w:p>
            <w:r>
              <w:rPr>
                <w:b w:val="false"/>
                <w:bCs w:val="false"/>
                <w:color w:val="000000"/>
                <w:sz w:val="18"/>
                <w:szCs w:val="18"/>
              </w:rPr>
              <w:t xml:space="preserve">5,9 %</w:t>
            </w:r>
          </w:p>
        </w:tc>
        <w:tc>
          <w:tcPr>
            <w:tcW w:type="dxa" w:w="1400"/>
            <w:tcMar>
              <w:top w:type="dxa" w:w="60"/>
              <w:left w:type="dxa" w:w="80"/>
              <w:bottom w:type="dxa" w:w="60"/>
              <w:right w:type="dxa" w:w="80"/>
            </w:tcMar>
          </w:tcPr>
          <w:p>
            <w:r>
              <w:rPr>
                <w:b w:val="false"/>
                <w:bCs w:val="false"/>
                <w:color w:val="000000"/>
                <w:sz w:val="18"/>
                <w:szCs w:val="18"/>
              </w:rPr>
              <w:t xml:space="preserve">36 %</w:t>
            </w:r>
          </w:p>
        </w:tc>
      </w:tr>
      <w:tr>
        <w:tc>
          <w:tcPr>
            <w:tcW w:type="dxa" w:w="1600"/>
            <w:tcMar>
              <w:top w:type="dxa" w:w="60"/>
              <w:left w:type="dxa" w:w="80"/>
              <w:bottom w:type="dxa" w:w="60"/>
              <w:right w:type="dxa" w:w="80"/>
            </w:tcMar>
          </w:tcPr>
          <w:p>
            <w:r>
              <w:rPr>
                <w:b w:val="false"/>
                <w:bCs w:val="false"/>
                <w:color w:val="000000"/>
                <w:sz w:val="18"/>
                <w:szCs w:val="18"/>
              </w:rPr>
              <w:t xml:space="preserve">Gousses</w:t>
            </w:r>
          </w:p>
        </w:tc>
        <w:tc>
          <w:tcPr>
            <w:tcW w:type="dxa" w:w="1800"/>
            <w:tcMar>
              <w:top w:type="dxa" w:w="60"/>
              <w:left w:type="dxa" w:w="80"/>
              <w:bottom w:type="dxa" w:w="60"/>
              <w:right w:type="dxa" w:w="80"/>
            </w:tcMar>
          </w:tcPr>
          <w:p>
            <w:r>
              <w:rPr>
                <w:b w:val="false"/>
                <w:bCs w:val="false"/>
                <w:color w:val="000000"/>
                <w:sz w:val="18"/>
                <w:szCs w:val="18"/>
              </w:rPr>
              <w:t xml:space="preserve">Perles + poudre</w:t>
            </w:r>
          </w:p>
        </w:tc>
        <w:tc>
          <w:tcPr>
            <w:tcW w:type="dxa" w:w="900"/>
            <w:tcMar>
              <w:top w:type="dxa" w:w="60"/>
              <w:left w:type="dxa" w:w="80"/>
              <w:bottom w:type="dxa" w:w="60"/>
              <w:right w:type="dxa" w:w="80"/>
            </w:tcMar>
          </w:tcPr>
          <w:p>
            <w:r>
              <w:rPr>
                <w:b w:val="false"/>
                <w:bCs w:val="false"/>
                <w:color w:val="000000"/>
                <w:sz w:val="18"/>
                <w:szCs w:val="18"/>
              </w:rPr>
              <w:t xml:space="preserve">32</w:t>
            </w:r>
          </w:p>
        </w:tc>
        <w:tc>
          <w:tcPr>
            <w:tcW w:type="dxa" w:w="1400"/>
            <w:tcMar>
              <w:top w:type="dxa" w:w="60"/>
              <w:left w:type="dxa" w:w="80"/>
              <w:bottom w:type="dxa" w:w="60"/>
              <w:right w:type="dxa" w:w="80"/>
            </w:tcMar>
          </w:tcPr>
          <w:p>
            <w:r>
              <w:rPr>
                <w:b w:val="false"/>
                <w:bCs w:val="false"/>
                <w:color w:val="000000"/>
                <w:sz w:val="18"/>
                <w:szCs w:val="18"/>
              </w:rPr>
              <w:t xml:space="preserve">1,3 %</w:t>
            </w:r>
          </w:p>
        </w:tc>
        <w:tc>
          <w:tcPr>
            <w:tcW w:type="dxa" w:w="1400"/>
            <w:tcMar>
              <w:top w:type="dxa" w:w="60"/>
              <w:left w:type="dxa" w:w="80"/>
              <w:bottom w:type="dxa" w:w="60"/>
              <w:right w:type="dxa" w:w="80"/>
            </w:tcMar>
          </w:tcPr>
          <w:p>
            <w:r>
              <w:rPr>
                <w:b w:val="false"/>
                <w:bCs w:val="false"/>
                <w:color w:val="000000"/>
                <w:sz w:val="18"/>
                <w:szCs w:val="18"/>
              </w:rPr>
              <w:t xml:space="preserve">9 %</w:t>
            </w:r>
          </w:p>
        </w:tc>
      </w:tr>
      <w:tr>
        <w:tc>
          <w:tcPr>
            <w:tcW w:type="dxa" w:w="1600"/>
            <w:tcMar>
              <w:top w:type="dxa" w:w="60"/>
              <w:left w:type="dxa" w:w="80"/>
              <w:bottom w:type="dxa" w:w="60"/>
              <w:right w:type="dxa" w:w="80"/>
            </w:tcMar>
          </w:tcPr>
          <w:p>
            <w:r>
              <w:rPr>
                <w:b w:val="false"/>
                <w:bCs w:val="false"/>
                <w:color w:val="000000"/>
                <w:sz w:val="18"/>
                <w:szCs w:val="18"/>
              </w:rPr>
              <w:t xml:space="preserve">Gousses</w:t>
            </w:r>
          </w:p>
        </w:tc>
        <w:tc>
          <w:tcPr>
            <w:tcW w:type="dxa" w:w="1800"/>
            <w:tcMar>
              <w:top w:type="dxa" w:w="60"/>
              <w:left w:type="dxa" w:w="80"/>
              <w:bottom w:type="dxa" w:w="60"/>
              <w:right w:type="dxa" w:w="80"/>
            </w:tcMar>
          </w:tcPr>
          <w:p>
            <w:r>
              <w:rPr>
                <w:b w:val="false"/>
                <w:bCs w:val="false"/>
                <w:color w:val="000000"/>
                <w:sz w:val="18"/>
                <w:szCs w:val="18"/>
              </w:rPr>
              <w:t xml:space="preserve">Poudre</w:t>
            </w:r>
          </w:p>
        </w:tc>
        <w:tc>
          <w:tcPr>
            <w:tcW w:type="dxa" w:w="900"/>
            <w:tcMar>
              <w:top w:type="dxa" w:w="60"/>
              <w:left w:type="dxa" w:w="80"/>
              <w:bottom w:type="dxa" w:w="60"/>
              <w:right w:type="dxa" w:w="80"/>
            </w:tcMar>
          </w:tcPr>
          <w:p>
            <w:r>
              <w:rPr>
                <w:b w:val="false"/>
                <w:bCs w:val="false"/>
                <w:color w:val="000000"/>
                <w:sz w:val="18"/>
                <w:szCs w:val="18"/>
              </w:rPr>
              <w:t xml:space="preserve">6</w:t>
            </w:r>
          </w:p>
        </w:tc>
        <w:tc>
          <w:tcPr>
            <w:tcW w:type="dxa" w:w="1400"/>
            <w:tcMar>
              <w:top w:type="dxa" w:w="60"/>
              <w:left w:type="dxa" w:w="80"/>
              <w:bottom w:type="dxa" w:w="60"/>
              <w:right w:type="dxa" w:w="80"/>
            </w:tcMar>
          </w:tcPr>
          <w:p>
            <w:r>
              <w:rPr>
                <w:b w:val="false"/>
                <w:bCs w:val="false"/>
                <w:color w:val="000000"/>
                <w:sz w:val="18"/>
                <w:szCs w:val="18"/>
              </w:rPr>
              <w:t xml:space="preserve">0 %</w:t>
            </w:r>
          </w:p>
        </w:tc>
        <w:tc>
          <w:tcPr>
            <w:tcW w:type="dxa" w:w="1400"/>
            <w:tcMar>
              <w:top w:type="dxa" w:w="60"/>
              <w:left w:type="dxa" w:w="80"/>
              <w:bottom w:type="dxa" w:w="60"/>
              <w:right w:type="dxa" w:w="80"/>
            </w:tcMar>
          </w:tcPr>
          <w:p>
            <w:r>
              <w:rPr>
                <w:b w:val="false"/>
                <w:bCs w:val="false"/>
                <w:color w:val="000000"/>
                <w:sz w:val="18"/>
                <w:szCs w:val="18"/>
              </w:rPr>
              <w:t xml:space="preserve">0 %</w:t>
            </w:r>
          </w:p>
        </w:tc>
      </w:tr>
    </w:tbl>
    <w:p>
      <w:pPr>
        <w:spacing w:after="160"/>
      </w:pPr>
    </w:p>
    <w:p>
      <w:pPr>
        <w:spacing w:after="120"/>
      </w:pPr>
      <w:r>
        <w:t xml:space="preserve">Cohérence des deux sources : sur l'échantillon apparié (146 lots), les producteurs qui déclarent des pertes ont des pertes mesurées 2 à 2,6 fois plus élevées (décortiqué : 9,2 % vs 3,5 %).</w:t>
      </w:r>
    </w:p>
    <w:p>
      <w:pPr>
        <w:pStyle w:val="Heading1"/>
        <w:spacing w:after="160" w:before="360"/>
      </w:pPr>
      <w:r>
        <w:t xml:space="preserve">5. Tests statistiques</w:t>
      </w:r>
    </w:p>
    <w:p>
      <w:pPr>
        <w:spacing w:after="120"/>
      </w:pPr>
      <w:r>
        <w:t xml:space="preserve">Les variables cibles ne sont pas normales (Shapiro-Wilk p &lt; 0,001) : tests non paramétriques (Wilcoxon apparié, Mann-Whitney, Kruskal-Wallis, Spearman) et test exact de Fisher lorsque les effectifs de cellules sont faibles. Seuil α = 5 %.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700"/>
        <w:gridCol w:w="800"/>
        <w:gridCol w:w="500"/>
        <w:gridCol w:w="1300"/>
        <w:gridCol w:w="3100"/>
      </w:tblGrid>
      <w:tr>
        <w:trPr>
          <w:tblHeader/>
        </w:trPr>
        <w:tc>
          <w:tcPr>
            <w:tcW w:type="dxa" w:w="1500"/>
            <w:shd w:fill="264653" w:color="auto" w:val="clear"/>
            <w:tcMar>
              <w:top w:type="dxa" w:w="60"/>
              <w:left w:type="dxa" w:w="80"/>
              <w:bottom w:type="dxa" w:w="60"/>
              <w:right w:type="dxa" w:w="80"/>
            </w:tcMar>
          </w:tcPr>
          <w:p>
            <w:r>
              <w:rPr>
                <w:b/>
                <w:bCs/>
                <w:color w:val="FFFFFF"/>
                <w:sz w:val="18"/>
                <w:szCs w:val="18"/>
              </w:rPr>
              <w:t xml:space="preserve">Test</w:t>
            </w:r>
          </w:p>
        </w:tc>
        <w:tc>
          <w:tcPr>
            <w:tcW w:type="dxa" w:w="1900"/>
            <w:shd w:fill="264653" w:color="auto" w:val="clear"/>
            <w:tcMar>
              <w:top w:type="dxa" w:w="60"/>
              <w:left w:type="dxa" w:w="80"/>
              <w:bottom w:type="dxa" w:w="60"/>
              <w:right w:type="dxa" w:w="80"/>
            </w:tcMar>
          </w:tcPr>
          <w:p>
            <w:r>
              <w:rPr>
                <w:b/>
                <w:bCs/>
                <w:color w:val="FFFFFF"/>
                <w:sz w:val="18"/>
                <w:szCs w:val="18"/>
              </w:rPr>
              <w:t xml:space="preserve">H0</w:t>
            </w:r>
          </w:p>
        </w:tc>
        <w:tc>
          <w:tcPr>
            <w:tcW w:type="dxa" w:w="700"/>
            <w:shd w:fill="264653" w:color="auto" w:val="clear"/>
            <w:tcMar>
              <w:top w:type="dxa" w:w="60"/>
              <w:left w:type="dxa" w:w="80"/>
              <w:bottom w:type="dxa" w:w="60"/>
              <w:right w:type="dxa" w:w="80"/>
            </w:tcMar>
          </w:tcPr>
          <w:p>
            <w:r>
              <w:rPr>
                <w:b/>
                <w:bCs/>
                <w:color w:val="FFFFFF"/>
                <w:sz w:val="18"/>
                <w:szCs w:val="18"/>
              </w:rPr>
              <w:t xml:space="preserve">Stat.</w:t>
            </w:r>
          </w:p>
        </w:tc>
        <w:tc>
          <w:tcPr>
            <w:tcW w:type="dxa" w:w="800"/>
            <w:shd w:fill="264653" w:color="auto" w:val="clear"/>
            <w:tcMar>
              <w:top w:type="dxa" w:w="60"/>
              <w:left w:type="dxa" w:w="80"/>
              <w:bottom w:type="dxa" w:w="60"/>
              <w:right w:type="dxa" w:w="80"/>
            </w:tcMar>
          </w:tcPr>
          <w:p>
            <w:r>
              <w:rPr>
                <w:b/>
                <w:bCs/>
                <w:color w:val="FFFFFF"/>
                <w:sz w:val="18"/>
                <w:szCs w:val="18"/>
              </w:rPr>
              <w:t xml:space="preserve">p</w:t>
            </w:r>
          </w:p>
        </w:tc>
        <w:tc>
          <w:tcPr>
            <w:tcW w:type="dxa" w:w="500"/>
            <w:shd w:fill="264653" w:color="auto" w:val="clear"/>
            <w:tcMar>
              <w:top w:type="dxa" w:w="60"/>
              <w:left w:type="dxa" w:w="80"/>
              <w:bottom w:type="dxa" w:w="60"/>
              <w:right w:type="dxa" w:w="80"/>
            </w:tcMar>
          </w:tcPr>
          <w:p>
            <w:r>
              <w:rPr>
                <w:b/>
                <w:bCs/>
                <w:color w:val="FFFFFF"/>
                <w:sz w:val="18"/>
                <w:szCs w:val="18"/>
              </w:rPr>
              <w:t xml:space="preserve">n</w:t>
            </w:r>
          </w:p>
        </w:tc>
        <w:tc>
          <w:tcPr>
            <w:tcW w:type="dxa" w:w="1300"/>
            <w:shd w:fill="264653" w:color="auto" w:val="clear"/>
            <w:tcMar>
              <w:top w:type="dxa" w:w="60"/>
              <w:left w:type="dxa" w:w="80"/>
              <w:bottom w:type="dxa" w:w="60"/>
              <w:right w:type="dxa" w:w="80"/>
            </w:tcMar>
          </w:tcPr>
          <w:p>
            <w:r>
              <w:rPr>
                <w:b/>
                <w:bCs/>
                <w:color w:val="FFFFFF"/>
                <w:sz w:val="18"/>
                <w:szCs w:val="18"/>
              </w:rPr>
              <w:t xml:space="preserve">Décision</w:t>
            </w:r>
          </w:p>
        </w:tc>
        <w:tc>
          <w:tcPr>
            <w:tcW w:type="dxa" w:w="3100"/>
            <w:shd w:fill="264653" w:color="auto" w:val="clear"/>
            <w:tcMar>
              <w:top w:type="dxa" w:w="60"/>
              <w:left w:type="dxa" w:w="80"/>
              <w:bottom w:type="dxa" w:w="60"/>
              <w:right w:type="dxa" w:w="80"/>
            </w:tcMar>
          </w:tcPr>
          <w:p>
            <w:r>
              <w:rPr>
                <w:b/>
                <w:bCs/>
                <w:color w:val="FFFFFF"/>
                <w:sz w:val="18"/>
                <w:szCs w:val="18"/>
              </w:rPr>
              <w:t xml:space="preserve">Interprétation métier</w:t>
            </w:r>
          </w:p>
        </w:tc>
      </w:tr>
      <w:tr>
        <w:tc>
          <w:tcPr>
            <w:tcW w:type="dxa" w:w="1500"/>
            <w:tcMar>
              <w:top w:type="dxa" w:w="60"/>
              <w:left w:type="dxa" w:w="80"/>
              <w:bottom w:type="dxa" w:w="60"/>
              <w:right w:type="dxa" w:w="80"/>
            </w:tcMar>
          </w:tcPr>
          <w:p>
            <w:r>
              <w:rPr>
                <w:b w:val="false"/>
                <w:bCs w:val="false"/>
                <w:color w:val="000000"/>
                <w:sz w:val="18"/>
                <w:szCs w:val="18"/>
              </w:rPr>
              <w:t xml:space="preserve">Wilcoxon apparié (H1)</w:t>
            </w:r>
          </w:p>
        </w:tc>
        <w:tc>
          <w:tcPr>
            <w:tcW w:type="dxa" w:w="1900"/>
            <w:tcMar>
              <w:top w:type="dxa" w:w="60"/>
              <w:left w:type="dxa" w:w="80"/>
              <w:bottom w:type="dxa" w:w="60"/>
              <w:right w:type="dxa" w:w="80"/>
            </w:tcMar>
          </w:tcPr>
          <w:p>
            <w:r>
              <w:rPr>
                <w:b w:val="false"/>
                <w:bCs w:val="false"/>
                <w:color w:val="000000"/>
                <w:sz w:val="18"/>
                <w:szCs w:val="18"/>
              </w:rPr>
              <w:t xml:space="preserve">Taux de perte gousses = décortiqué chez un même producteur</w:t>
            </w:r>
          </w:p>
        </w:tc>
        <w:tc>
          <w:tcPr>
            <w:tcW w:type="dxa" w:w="700"/>
            <w:tcMar>
              <w:top w:type="dxa" w:w="60"/>
              <w:left w:type="dxa" w:w="80"/>
              <w:bottom w:type="dxa" w:w="60"/>
              <w:right w:type="dxa" w:w="80"/>
            </w:tcMar>
          </w:tcPr>
          <w:p>
            <w:r>
              <w:rPr>
                <w:b w:val="false"/>
                <w:bCs w:val="false"/>
                <w:color w:val="000000"/>
                <w:sz w:val="18"/>
                <w:szCs w:val="18"/>
              </w:rPr>
              <w:t xml:space="preserve">165,5</w:t>
            </w:r>
          </w:p>
        </w:tc>
        <w:tc>
          <w:tcPr>
            <w:tcW w:type="dxa" w:w="800"/>
            <w:tcMar>
              <w:top w:type="dxa" w:w="60"/>
              <w:left w:type="dxa" w:w="80"/>
              <w:bottom w:type="dxa" w:w="60"/>
              <w:right w:type="dxa" w:w="80"/>
            </w:tcMar>
          </w:tcPr>
          <w:p>
            <w:r>
              <w:rPr>
                <w:b w:val="false"/>
                <w:bCs w:val="false"/>
                <w:color w:val="000000"/>
                <w:sz w:val="18"/>
                <w:szCs w:val="18"/>
              </w:rPr>
              <w:t xml:space="preserve">0.0029</w:t>
            </w:r>
          </w:p>
        </w:tc>
        <w:tc>
          <w:tcPr>
            <w:tcW w:type="dxa" w:w="500"/>
            <w:tcMar>
              <w:top w:type="dxa" w:w="60"/>
              <w:left w:type="dxa" w:w="80"/>
              <w:bottom w:type="dxa" w:w="60"/>
              <w:right w:type="dxa" w:w="80"/>
            </w:tcMar>
          </w:tcPr>
          <w:p>
            <w:r>
              <w:rPr>
                <w:b w:val="false"/>
                <w:bCs w:val="false"/>
                <w:color w:val="000000"/>
                <w:sz w:val="18"/>
                <w:szCs w:val="18"/>
              </w:rPr>
              <w:t xml:space="preserve">93</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Le décortiqué perd significativement plus (8,0 % vs 3,8 %) : la coque protège ; décortiquer avant stockage expose davantage aux insectes et moisissures.</w:t>
            </w:r>
          </w:p>
        </w:tc>
      </w:tr>
      <w:tr>
        <w:tc>
          <w:tcPr>
            <w:tcW w:type="dxa" w:w="1500"/>
            <w:tcMar>
              <w:top w:type="dxa" w:w="60"/>
              <w:left w:type="dxa" w:w="80"/>
              <w:bottom w:type="dxa" w:w="60"/>
              <w:right w:type="dxa" w:w="80"/>
            </w:tcMar>
          </w:tcPr>
          <w:p>
            <w:r>
              <w:rPr>
                <w:b w:val="false"/>
                <w:bCs w:val="false"/>
                <w:color w:val="000000"/>
                <w:sz w:val="18"/>
                <w:szCs w:val="18"/>
              </w:rPr>
              <w:t xml:space="preserve">Mann-Whitney (H2)</w:t>
            </w:r>
          </w:p>
        </w:tc>
        <w:tc>
          <w:tcPr>
            <w:tcW w:type="dxa" w:w="1900"/>
            <w:tcMar>
              <w:top w:type="dxa" w:w="60"/>
              <w:left w:type="dxa" w:w="80"/>
              <w:bottom w:type="dxa" w:w="60"/>
              <w:right w:type="dxa" w:w="80"/>
            </w:tcMar>
          </w:tcPr>
          <w:p>
            <w:r>
              <w:rPr>
                <w:b w:val="false"/>
                <w:bCs w:val="false"/>
                <w:color w:val="000000"/>
                <w:sz w:val="18"/>
                <w:szCs w:val="18"/>
              </w:rPr>
              <w:t xml:space="preserve">Perte décortiqué identique en sac et en contenant hermétique</w:t>
            </w:r>
          </w:p>
        </w:tc>
        <w:tc>
          <w:tcPr>
            <w:tcW w:type="dxa" w:w="700"/>
            <w:tcMar>
              <w:top w:type="dxa" w:w="60"/>
              <w:left w:type="dxa" w:w="80"/>
              <w:bottom w:type="dxa" w:w="60"/>
              <w:right w:type="dxa" w:w="80"/>
            </w:tcMar>
          </w:tcPr>
          <w:p>
            <w:r>
              <w:rPr>
                <w:b w:val="false"/>
                <w:bCs w:val="false"/>
                <w:color w:val="000000"/>
                <w:sz w:val="18"/>
                <w:szCs w:val="18"/>
              </w:rPr>
              <w:t xml:space="preserve">475</w:t>
            </w:r>
          </w:p>
        </w:tc>
        <w:tc>
          <w:tcPr>
            <w:tcW w:type="dxa" w:w="800"/>
            <w:tcMar>
              <w:top w:type="dxa" w:w="60"/>
              <w:left w:type="dxa" w:w="80"/>
              <w:bottom w:type="dxa" w:w="60"/>
              <w:right w:type="dxa" w:w="80"/>
            </w:tcMar>
          </w:tcPr>
          <w:p>
            <w:r>
              <w:rPr>
                <w:b w:val="false"/>
                <w:bCs w:val="false"/>
                <w:color w:val="000000"/>
                <w:sz w:val="18"/>
                <w:szCs w:val="18"/>
              </w:rPr>
              <w:t xml:space="preserve">0.000049</w:t>
            </w:r>
          </w:p>
        </w:tc>
        <w:tc>
          <w:tcPr>
            <w:tcW w:type="dxa" w:w="500"/>
            <w:tcMar>
              <w:top w:type="dxa" w:w="60"/>
              <w:left w:type="dxa" w:w="80"/>
              <w:bottom w:type="dxa" w:w="60"/>
              <w:right w:type="dxa" w:w="80"/>
            </w:tcMar>
          </w:tcPr>
          <w:p>
            <w:r>
              <w:rPr>
                <w:b w:val="false"/>
                <w:bCs w:val="false"/>
                <w:color w:val="000000"/>
                <w:sz w:val="18"/>
                <w:szCs w:val="18"/>
              </w:rPr>
              <w:t xml:space="preserve">96</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0 % de perte en bidon/fût contre 10,8 % en sac : le contenant hermétique est le levier le plus efficace mesuré.</w:t>
            </w:r>
          </w:p>
        </w:tc>
      </w:tr>
      <w:tr>
        <w:tc>
          <w:tcPr>
            <w:tcW w:type="dxa" w:w="1500"/>
            <w:tcMar>
              <w:top w:type="dxa" w:w="60"/>
              <w:left w:type="dxa" w:w="80"/>
              <w:bottom w:type="dxa" w:w="60"/>
              <w:right w:type="dxa" w:w="80"/>
            </w:tcMar>
          </w:tcPr>
          <w:p>
            <w:r>
              <w:rPr>
                <w:b w:val="false"/>
                <w:bCs w:val="false"/>
                <w:color w:val="000000"/>
                <w:sz w:val="18"/>
                <w:szCs w:val="18"/>
              </w:rPr>
              <w:t xml:space="preserve">Fisher exact (H2 bis)</w:t>
            </w:r>
          </w:p>
        </w:tc>
        <w:tc>
          <w:tcPr>
            <w:tcW w:type="dxa" w:w="1900"/>
            <w:tcMar>
              <w:top w:type="dxa" w:w="60"/>
              <w:left w:type="dxa" w:w="80"/>
              <w:bottom w:type="dxa" w:w="60"/>
              <w:right w:type="dxa" w:w="80"/>
            </w:tcMar>
          </w:tcPr>
          <w:p>
            <w:r>
              <w:rPr>
                <w:b w:val="false"/>
                <w:bCs w:val="false"/>
                <w:color w:val="000000"/>
                <w:sz w:val="18"/>
                <w:szCs w:val="18"/>
              </w:rPr>
              <w:t xml:space="preserve">Probabilité de perte indépendante du type de contenant</w:t>
            </w:r>
          </w:p>
        </w:tc>
        <w:tc>
          <w:tcPr>
            <w:tcW w:type="dxa" w:w="700"/>
            <w:tcMar>
              <w:top w:type="dxa" w:w="60"/>
              <w:left w:type="dxa" w:w="80"/>
              <w:bottom w:type="dxa" w:w="60"/>
              <w:right w:type="dxa" w:w="80"/>
            </w:tcMar>
          </w:tcPr>
          <w:p>
            <w:r>
              <w:rPr>
                <w:b w:val="false"/>
                <w:bCs w:val="false"/>
                <w:color w:val="000000"/>
                <w:sz w:val="18"/>
                <w:szCs w:val="18"/>
              </w:rPr>
              <w:t xml:space="preserve">0</w:t>
            </w:r>
          </w:p>
        </w:tc>
        <w:tc>
          <w:tcPr>
            <w:tcW w:type="dxa" w:w="800"/>
            <w:tcMar>
              <w:top w:type="dxa" w:w="60"/>
              <w:left w:type="dxa" w:w="80"/>
              <w:bottom w:type="dxa" w:w="60"/>
              <w:right w:type="dxa" w:w="80"/>
            </w:tcMar>
          </w:tcPr>
          <w:p>
            <w:r>
              <w:rPr>
                <w:b w:val="false"/>
                <w:bCs w:val="false"/>
                <w:color w:val="000000"/>
                <w:sz w:val="18"/>
                <w:szCs w:val="18"/>
              </w:rPr>
              <w:t xml:space="preserve">0.000004</w:t>
            </w:r>
          </w:p>
        </w:tc>
        <w:tc>
          <w:tcPr>
            <w:tcW w:type="dxa" w:w="500"/>
            <w:tcMar>
              <w:top w:type="dxa" w:w="60"/>
              <w:left w:type="dxa" w:w="80"/>
              <w:bottom w:type="dxa" w:w="60"/>
              <w:right w:type="dxa" w:w="80"/>
            </w:tcMar>
          </w:tcPr>
          <w:p>
            <w:r>
              <w:rPr>
                <w:b w:val="false"/>
                <w:bCs w:val="false"/>
                <w:color w:val="000000"/>
                <w:sz w:val="18"/>
                <w:szCs w:val="18"/>
              </w:rPr>
              <w:t xml:space="preserve">96</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Aucun des 25 lots hermétiques n'a perdu de poids vs 33/71 lots en sac (46 %).</w:t>
            </w:r>
          </w:p>
        </w:tc>
      </w:tr>
      <w:tr>
        <w:tc>
          <w:tcPr>
            <w:tcW w:type="dxa" w:w="1500"/>
            <w:tcMar>
              <w:top w:type="dxa" w:w="60"/>
              <w:left w:type="dxa" w:w="80"/>
              <w:bottom w:type="dxa" w:w="60"/>
              <w:right w:type="dxa" w:w="80"/>
            </w:tcMar>
          </w:tcPr>
          <w:p>
            <w:r>
              <w:rPr>
                <w:b w:val="false"/>
                <w:bCs w:val="false"/>
                <w:color w:val="000000"/>
                <w:sz w:val="18"/>
                <w:szCs w:val="18"/>
              </w:rPr>
              <w:t xml:space="preserve">Mann-Whitney (H3, sacs seulement)</w:t>
            </w:r>
          </w:p>
        </w:tc>
        <w:tc>
          <w:tcPr>
            <w:tcW w:type="dxa" w:w="1900"/>
            <w:tcMar>
              <w:top w:type="dxa" w:w="60"/>
              <w:left w:type="dxa" w:w="80"/>
              <w:bottom w:type="dxa" w:w="60"/>
              <w:right w:type="dxa" w:w="80"/>
            </w:tcMar>
          </w:tcPr>
          <w:p>
            <w:r>
              <w:rPr>
                <w:b w:val="false"/>
                <w:bCs w:val="false"/>
                <w:color w:val="000000"/>
                <w:sz w:val="18"/>
                <w:szCs w:val="18"/>
              </w:rPr>
              <w:t xml:space="preserve">Perte identique avec / sans traitement chimique (décortiqué en sac)</w:t>
            </w:r>
          </w:p>
        </w:tc>
        <w:tc>
          <w:tcPr>
            <w:tcW w:type="dxa" w:w="700"/>
            <w:tcMar>
              <w:top w:type="dxa" w:w="60"/>
              <w:left w:type="dxa" w:w="80"/>
              <w:bottom w:type="dxa" w:w="60"/>
              <w:right w:type="dxa" w:w="80"/>
            </w:tcMar>
          </w:tcPr>
          <w:p>
            <w:r>
              <w:rPr>
                <w:b w:val="false"/>
                <w:bCs w:val="false"/>
                <w:color w:val="000000"/>
                <w:sz w:val="18"/>
                <w:szCs w:val="18"/>
              </w:rPr>
              <w:t xml:space="preserve">552</w:t>
            </w:r>
          </w:p>
        </w:tc>
        <w:tc>
          <w:tcPr>
            <w:tcW w:type="dxa" w:w="800"/>
            <w:tcMar>
              <w:top w:type="dxa" w:w="60"/>
              <w:left w:type="dxa" w:w="80"/>
              <w:bottom w:type="dxa" w:w="60"/>
              <w:right w:type="dxa" w:w="80"/>
            </w:tcMar>
          </w:tcPr>
          <w:p>
            <w:r>
              <w:rPr>
                <w:b w:val="false"/>
                <w:bCs w:val="false"/>
                <w:color w:val="000000"/>
                <w:sz w:val="18"/>
                <w:szCs w:val="18"/>
              </w:rPr>
              <w:t xml:space="preserve">0.001</w:t>
            </w:r>
          </w:p>
        </w:tc>
        <w:tc>
          <w:tcPr>
            <w:tcW w:type="dxa" w:w="500"/>
            <w:tcMar>
              <w:top w:type="dxa" w:w="60"/>
              <w:left w:type="dxa" w:w="80"/>
              <w:bottom w:type="dxa" w:w="60"/>
              <w:right w:type="dxa" w:w="80"/>
            </w:tcMar>
          </w:tcPr>
          <w:p>
            <w:r>
              <w:rPr>
                <w:b w:val="false"/>
                <w:bCs w:val="false"/>
                <w:color w:val="000000"/>
                <w:sz w:val="18"/>
                <w:szCs w:val="18"/>
              </w:rPr>
              <w:t xml:space="preserve">71</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Résultat contre-intuitif : 13 % de perte sur les lots traités aux perles vs 0 % sur 12 lots non traités. Le traitement est appliqué de façon curative sur des stocks déjà infestés ou de plus grande taille ; un biais de sélection est probable. Le traitement chimique seul n'est pas une garantie.</w:t>
            </w:r>
          </w:p>
        </w:tc>
      </w:tr>
      <w:tr>
        <w:tc>
          <w:tcPr>
            <w:tcW w:type="dxa" w:w="1500"/>
            <w:tcMar>
              <w:top w:type="dxa" w:w="60"/>
              <w:left w:type="dxa" w:w="80"/>
              <w:bottom w:type="dxa" w:w="60"/>
              <w:right w:type="dxa" w:w="80"/>
            </w:tcMar>
          </w:tcPr>
          <w:p>
            <w:r>
              <w:rPr>
                <w:b w:val="false"/>
                <w:bCs w:val="false"/>
                <w:color w:val="000000"/>
                <w:sz w:val="18"/>
                <w:szCs w:val="18"/>
              </w:rPr>
              <w:t xml:space="preserve">Kruskal-Wallis (H3 gousses)</w:t>
            </w:r>
          </w:p>
        </w:tc>
        <w:tc>
          <w:tcPr>
            <w:tcW w:type="dxa" w:w="1900"/>
            <w:tcMar>
              <w:top w:type="dxa" w:w="60"/>
              <w:left w:type="dxa" w:w="80"/>
              <w:bottom w:type="dxa" w:w="60"/>
              <w:right w:type="dxa" w:w="80"/>
            </w:tcMar>
          </w:tcPr>
          <w:p>
            <w:r>
              <w:rPr>
                <w:b w:val="false"/>
                <w:bCs w:val="false"/>
                <w:color w:val="000000"/>
                <w:sz w:val="18"/>
                <w:szCs w:val="18"/>
              </w:rPr>
              <w:t xml:space="preserve">Perte gousses identique quel que soit le traitement</w:t>
            </w:r>
          </w:p>
        </w:tc>
        <w:tc>
          <w:tcPr>
            <w:tcW w:type="dxa" w:w="700"/>
            <w:tcMar>
              <w:top w:type="dxa" w:w="60"/>
              <w:left w:type="dxa" w:w="80"/>
              <w:bottom w:type="dxa" w:w="60"/>
              <w:right w:type="dxa" w:w="80"/>
            </w:tcMar>
          </w:tcPr>
          <w:p>
            <w:r>
              <w:rPr>
                <w:b w:val="false"/>
                <w:bCs w:val="false"/>
                <w:color w:val="000000"/>
                <w:sz w:val="18"/>
                <w:szCs w:val="18"/>
              </w:rPr>
              <w:t xml:space="preserve">10,922</w:t>
            </w:r>
          </w:p>
        </w:tc>
        <w:tc>
          <w:tcPr>
            <w:tcW w:type="dxa" w:w="800"/>
            <w:tcMar>
              <w:top w:type="dxa" w:w="60"/>
              <w:left w:type="dxa" w:w="80"/>
              <w:bottom w:type="dxa" w:w="60"/>
              <w:right w:type="dxa" w:w="80"/>
            </w:tcMar>
          </w:tcPr>
          <w:p>
            <w:r>
              <w:rPr>
                <w:b w:val="false"/>
                <w:bCs w:val="false"/>
                <w:color w:val="000000"/>
                <w:sz w:val="18"/>
                <w:szCs w:val="18"/>
              </w:rPr>
              <w:t xml:space="preserve">0.0122</w:t>
            </w:r>
          </w:p>
        </w:tc>
        <w:tc>
          <w:tcPr>
            <w:tcW w:type="dxa" w:w="500"/>
            <w:tcMar>
              <w:top w:type="dxa" w:w="60"/>
              <w:left w:type="dxa" w:w="80"/>
              <w:bottom w:type="dxa" w:w="60"/>
              <w:right w:type="dxa" w:w="80"/>
            </w:tcMar>
          </w:tcPr>
          <w:p>
            <w:r>
              <w:rPr>
                <w:b w:val="false"/>
                <w:bCs w:val="false"/>
                <w:color w:val="000000"/>
                <w:sz w:val="18"/>
                <w:szCs w:val="18"/>
              </w:rPr>
              <w:t xml:space="preserve">96</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Perles + poudre (1,3 %) &lt; perles seules (5,9 %) : la combinaison fumigant + insecticide de contact est plus efficace (Mann-Whitney perles vs perles+poudre p = 0,007).</w:t>
            </w:r>
          </w:p>
        </w:tc>
      </w:tr>
      <w:tr>
        <w:tc>
          <w:tcPr>
            <w:tcW w:type="dxa" w:w="1500"/>
            <w:tcMar>
              <w:top w:type="dxa" w:w="60"/>
              <w:left w:type="dxa" w:w="80"/>
              <w:bottom w:type="dxa" w:w="60"/>
              <w:right w:type="dxa" w:w="80"/>
            </w:tcMar>
          </w:tcPr>
          <w:p>
            <w:r>
              <w:rPr>
                <w:b w:val="false"/>
                <w:bCs w:val="false"/>
                <w:color w:val="000000"/>
                <w:sz w:val="18"/>
                <w:szCs w:val="18"/>
              </w:rPr>
              <w:t xml:space="preserve">Kruskal-Wallis (H4, gousses)</w:t>
            </w:r>
          </w:p>
        </w:tc>
        <w:tc>
          <w:tcPr>
            <w:tcW w:type="dxa" w:w="1900"/>
            <w:tcMar>
              <w:top w:type="dxa" w:w="60"/>
              <w:left w:type="dxa" w:w="80"/>
              <w:bottom w:type="dxa" w:w="60"/>
              <w:right w:type="dxa" w:w="80"/>
            </w:tcMar>
          </w:tcPr>
          <w:p>
            <w:r>
              <w:rPr>
                <w:b w:val="false"/>
                <w:bCs w:val="false"/>
                <w:color w:val="000000"/>
                <w:sz w:val="18"/>
                <w:szCs w:val="18"/>
              </w:rPr>
              <w:t xml:space="preserve">Perte gousses identique entre communes</w:t>
            </w:r>
          </w:p>
        </w:tc>
        <w:tc>
          <w:tcPr>
            <w:tcW w:type="dxa" w:w="700"/>
            <w:tcMar>
              <w:top w:type="dxa" w:w="60"/>
              <w:left w:type="dxa" w:w="80"/>
              <w:bottom w:type="dxa" w:w="60"/>
              <w:right w:type="dxa" w:w="80"/>
            </w:tcMar>
          </w:tcPr>
          <w:p>
            <w:r>
              <w:rPr>
                <w:b w:val="false"/>
                <w:bCs w:val="false"/>
                <w:color w:val="000000"/>
                <w:sz w:val="18"/>
                <w:szCs w:val="18"/>
              </w:rPr>
              <w:t xml:space="preserve">0,005</w:t>
            </w:r>
          </w:p>
        </w:tc>
        <w:tc>
          <w:tcPr>
            <w:tcW w:type="dxa" w:w="800"/>
            <w:tcMar>
              <w:top w:type="dxa" w:w="60"/>
              <w:left w:type="dxa" w:w="80"/>
              <w:bottom w:type="dxa" w:w="60"/>
              <w:right w:type="dxa" w:w="80"/>
            </w:tcMar>
          </w:tcPr>
          <w:p>
            <w:r>
              <w:rPr>
                <w:b w:val="false"/>
                <w:bCs w:val="false"/>
                <w:color w:val="000000"/>
                <w:sz w:val="18"/>
                <w:szCs w:val="18"/>
              </w:rPr>
              <w:t xml:space="preserve">0.9973</w:t>
            </w:r>
          </w:p>
        </w:tc>
        <w:tc>
          <w:tcPr>
            <w:tcW w:type="dxa" w:w="500"/>
            <w:tcMar>
              <w:top w:type="dxa" w:w="60"/>
              <w:left w:type="dxa" w:w="80"/>
              <w:bottom w:type="dxa" w:w="60"/>
              <w:right w:type="dxa" w:w="80"/>
            </w:tcMar>
          </w:tcPr>
          <w:p>
            <w:r>
              <w:rPr>
                <w:b w:val="false"/>
                <w:bCs w:val="false"/>
                <w:color w:val="000000"/>
                <w:sz w:val="18"/>
                <w:szCs w:val="18"/>
              </w:rPr>
              <w:t xml:space="preserve">96</w:t>
            </w:r>
          </w:p>
        </w:tc>
        <w:tc>
          <w:tcPr>
            <w:tcW w:type="dxa" w:w="1300"/>
            <w:tcMar>
              <w:top w:type="dxa" w:w="60"/>
              <w:left w:type="dxa" w:w="80"/>
              <w:bottom w:type="dxa" w:w="60"/>
              <w:right w:type="dxa" w:w="80"/>
            </w:tcMar>
          </w:tcPr>
          <w:p>
            <w:r>
              <w:rPr>
                <w:b w:val="false"/>
                <w:bCs w:val="false"/>
                <w:color w:val="000000"/>
                <w:sz w:val="18"/>
                <w:szCs w:val="18"/>
              </w:rPr>
              <w:t xml:space="preserve">Non rejet H0
non significatif</w:t>
            </w:r>
          </w:p>
        </w:tc>
        <w:tc>
          <w:tcPr>
            <w:tcW w:type="dxa" w:w="3100"/>
            <w:tcMar>
              <w:top w:type="dxa" w:w="60"/>
              <w:left w:type="dxa" w:w="80"/>
              <w:bottom w:type="dxa" w:w="60"/>
              <w:right w:type="dxa" w:w="80"/>
            </w:tcMar>
          </w:tcPr>
          <w:p>
            <w:r>
              <w:rPr>
                <w:b w:val="false"/>
                <w:bCs w:val="false"/>
                <w:color w:val="000000"/>
                <w:sz w:val="18"/>
                <w:szCs w:val="18"/>
              </w:rPr>
              <w:t xml:space="preserve">Pas de différence significative entre communes : les pertes dépendent des pratiques individuelles plus que de la localisation.</w:t>
            </w:r>
          </w:p>
        </w:tc>
      </w:tr>
      <w:tr>
        <w:tc>
          <w:tcPr>
            <w:tcW w:type="dxa" w:w="1500"/>
            <w:tcMar>
              <w:top w:type="dxa" w:w="60"/>
              <w:left w:type="dxa" w:w="80"/>
              <w:bottom w:type="dxa" w:w="60"/>
              <w:right w:type="dxa" w:w="80"/>
            </w:tcMar>
          </w:tcPr>
          <w:p>
            <w:r>
              <w:rPr>
                <w:b w:val="false"/>
                <w:bCs w:val="false"/>
                <w:color w:val="000000"/>
                <w:sz w:val="18"/>
                <w:szCs w:val="18"/>
              </w:rPr>
              <w:t xml:space="preserve">Kruskal-Wallis (H4, décortiqué)</w:t>
            </w:r>
          </w:p>
        </w:tc>
        <w:tc>
          <w:tcPr>
            <w:tcW w:type="dxa" w:w="1900"/>
            <w:tcMar>
              <w:top w:type="dxa" w:w="60"/>
              <w:left w:type="dxa" w:w="80"/>
              <w:bottom w:type="dxa" w:w="60"/>
              <w:right w:type="dxa" w:w="80"/>
            </w:tcMar>
          </w:tcPr>
          <w:p>
            <w:r>
              <w:rPr>
                <w:b w:val="false"/>
                <w:bCs w:val="false"/>
                <w:color w:val="000000"/>
                <w:sz w:val="18"/>
                <w:szCs w:val="18"/>
              </w:rPr>
              <w:t xml:space="preserve">Perte décortiqué identique entre communes</w:t>
            </w:r>
          </w:p>
        </w:tc>
        <w:tc>
          <w:tcPr>
            <w:tcW w:type="dxa" w:w="700"/>
            <w:tcMar>
              <w:top w:type="dxa" w:w="60"/>
              <w:left w:type="dxa" w:w="80"/>
              <w:bottom w:type="dxa" w:w="60"/>
              <w:right w:type="dxa" w:w="80"/>
            </w:tcMar>
          </w:tcPr>
          <w:p>
            <w:r>
              <w:rPr>
                <w:b w:val="false"/>
                <w:bCs w:val="false"/>
                <w:color w:val="000000"/>
                <w:sz w:val="18"/>
                <w:szCs w:val="18"/>
              </w:rPr>
              <w:t xml:space="preserve">1,171</w:t>
            </w:r>
          </w:p>
        </w:tc>
        <w:tc>
          <w:tcPr>
            <w:tcW w:type="dxa" w:w="800"/>
            <w:tcMar>
              <w:top w:type="dxa" w:w="60"/>
              <w:left w:type="dxa" w:w="80"/>
              <w:bottom w:type="dxa" w:w="60"/>
              <w:right w:type="dxa" w:w="80"/>
            </w:tcMar>
          </w:tcPr>
          <w:p>
            <w:r>
              <w:rPr>
                <w:b w:val="false"/>
                <w:bCs w:val="false"/>
                <w:color w:val="000000"/>
                <w:sz w:val="18"/>
                <w:szCs w:val="18"/>
              </w:rPr>
              <w:t xml:space="preserve">0.5569</w:t>
            </w:r>
          </w:p>
        </w:tc>
        <w:tc>
          <w:tcPr>
            <w:tcW w:type="dxa" w:w="500"/>
            <w:tcMar>
              <w:top w:type="dxa" w:w="60"/>
              <w:left w:type="dxa" w:w="80"/>
              <w:bottom w:type="dxa" w:w="60"/>
              <w:right w:type="dxa" w:w="80"/>
            </w:tcMar>
          </w:tcPr>
          <w:p>
            <w:r>
              <w:rPr>
                <w:b w:val="false"/>
                <w:bCs w:val="false"/>
                <w:color w:val="000000"/>
                <w:sz w:val="18"/>
                <w:szCs w:val="18"/>
              </w:rPr>
              <w:t xml:space="preserve">96</w:t>
            </w:r>
          </w:p>
        </w:tc>
        <w:tc>
          <w:tcPr>
            <w:tcW w:type="dxa" w:w="1300"/>
            <w:tcMar>
              <w:top w:type="dxa" w:w="60"/>
              <w:left w:type="dxa" w:w="80"/>
              <w:bottom w:type="dxa" w:w="60"/>
              <w:right w:type="dxa" w:w="80"/>
            </w:tcMar>
          </w:tcPr>
          <w:p>
            <w:r>
              <w:rPr>
                <w:b w:val="false"/>
                <w:bCs w:val="false"/>
                <w:color w:val="000000"/>
                <w:sz w:val="18"/>
                <w:szCs w:val="18"/>
              </w:rPr>
              <w:t xml:space="preserve">Non rejet H0
non significatif</w:t>
            </w:r>
          </w:p>
        </w:tc>
        <w:tc>
          <w:tcPr>
            <w:tcW w:type="dxa" w:w="3100"/>
            <w:tcMar>
              <w:top w:type="dxa" w:w="60"/>
              <w:left w:type="dxa" w:w="80"/>
              <w:bottom w:type="dxa" w:w="60"/>
              <w:right w:type="dxa" w:w="80"/>
            </w:tcMar>
          </w:tcPr>
          <w:p>
            <w:r>
              <w:rPr>
                <w:b w:val="false"/>
                <w:bCs w:val="false"/>
                <w:color w:val="000000"/>
                <w:sz w:val="18"/>
                <w:szCs w:val="18"/>
              </w:rPr>
              <w:t xml:space="preserve">Pas de différence significative entre communes : les pertes dépendent des pratiques individuelles plus que de la localisation.</w:t>
            </w:r>
          </w:p>
        </w:tc>
      </w:tr>
      <w:tr>
        <w:tc>
          <w:tcPr>
            <w:tcW w:type="dxa" w:w="1500"/>
            <w:tcMar>
              <w:top w:type="dxa" w:w="60"/>
              <w:left w:type="dxa" w:w="80"/>
              <w:bottom w:type="dxa" w:w="60"/>
              <w:right w:type="dxa" w:w="80"/>
            </w:tcMar>
          </w:tcPr>
          <w:p>
            <w:r>
              <w:rPr>
                <w:b w:val="false"/>
                <w:bCs w:val="false"/>
                <w:color w:val="000000"/>
                <w:sz w:val="18"/>
                <w:szCs w:val="18"/>
              </w:rPr>
              <w:t xml:space="preserve">χ² (H4, déclarations)</w:t>
            </w:r>
          </w:p>
        </w:tc>
        <w:tc>
          <w:tcPr>
            <w:tcW w:type="dxa" w:w="1900"/>
            <w:tcMar>
              <w:top w:type="dxa" w:w="60"/>
              <w:left w:type="dxa" w:w="80"/>
              <w:bottom w:type="dxa" w:w="60"/>
              <w:right w:type="dxa" w:w="80"/>
            </w:tcMar>
          </w:tcPr>
          <w:p>
            <w:r>
              <w:rPr>
                <w:b w:val="false"/>
                <w:bCs w:val="false"/>
                <w:color w:val="000000"/>
                <w:sz w:val="18"/>
                <w:szCs w:val="18"/>
              </w:rPr>
              <w:t xml:space="preserve">Déclaration de pertes indépendante de la commune</w:t>
            </w:r>
          </w:p>
        </w:tc>
        <w:tc>
          <w:tcPr>
            <w:tcW w:type="dxa" w:w="700"/>
            <w:tcMar>
              <w:top w:type="dxa" w:w="60"/>
              <w:left w:type="dxa" w:w="80"/>
              <w:bottom w:type="dxa" w:w="60"/>
              <w:right w:type="dxa" w:w="80"/>
            </w:tcMar>
          </w:tcPr>
          <w:p>
            <w:r>
              <w:rPr>
                <w:b w:val="false"/>
                <w:bCs w:val="false"/>
                <w:color w:val="000000"/>
                <w:sz w:val="18"/>
                <w:szCs w:val="18"/>
              </w:rPr>
              <w:t xml:space="preserve">23,839</w:t>
            </w:r>
          </w:p>
        </w:tc>
        <w:tc>
          <w:tcPr>
            <w:tcW w:type="dxa" w:w="800"/>
            <w:tcMar>
              <w:top w:type="dxa" w:w="60"/>
              <w:left w:type="dxa" w:w="80"/>
              <w:bottom w:type="dxa" w:w="60"/>
              <w:right w:type="dxa" w:w="80"/>
            </w:tcMar>
          </w:tcPr>
          <w:p>
            <w:r>
              <w:rPr>
                <w:b w:val="false"/>
                <w:bCs w:val="false"/>
                <w:color w:val="000000"/>
                <w:sz w:val="18"/>
                <w:szCs w:val="18"/>
              </w:rPr>
              <w:t xml:space="preserve">0.0000067</w:t>
            </w:r>
          </w:p>
        </w:tc>
        <w:tc>
          <w:tcPr>
            <w:tcW w:type="dxa" w:w="500"/>
            <w:tcMar>
              <w:top w:type="dxa" w:w="60"/>
              <w:left w:type="dxa" w:w="80"/>
              <w:bottom w:type="dxa" w:w="60"/>
              <w:right w:type="dxa" w:w="80"/>
            </w:tcMar>
          </w:tcPr>
          <w:p>
            <w:r>
              <w:rPr>
                <w:b w:val="false"/>
                <w:bCs w:val="false"/>
                <w:color w:val="000000"/>
                <w:sz w:val="18"/>
                <w:szCs w:val="18"/>
              </w:rPr>
              <w:t xml:space="preserve">195</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Keur Samba Guèye déclare nettement moins de pertes (55 % vs 86–88 %) — commune où l'usage de fûts/bidons est le plus répandu (41 %).</w:t>
            </w:r>
          </w:p>
        </w:tc>
      </w:tr>
      <w:tr>
        <w:tc>
          <w:tcPr>
            <w:tcW w:type="dxa" w:w="1500"/>
            <w:tcMar>
              <w:top w:type="dxa" w:w="60"/>
              <w:left w:type="dxa" w:w="80"/>
              <w:bottom w:type="dxa" w:w="60"/>
              <w:right w:type="dxa" w:w="80"/>
            </w:tcMar>
          </w:tcPr>
          <w:p>
            <w:r>
              <w:rPr>
                <w:b w:val="false"/>
                <w:bCs w:val="false"/>
                <w:color w:val="000000"/>
                <w:sz w:val="18"/>
                <w:szCs w:val="18"/>
              </w:rPr>
              <w:t xml:space="preserve">Spearman (H5, production)</w:t>
            </w:r>
          </w:p>
        </w:tc>
        <w:tc>
          <w:tcPr>
            <w:tcW w:type="dxa" w:w="1900"/>
            <w:tcMar>
              <w:top w:type="dxa" w:w="60"/>
              <w:left w:type="dxa" w:w="80"/>
              <w:bottom w:type="dxa" w:w="60"/>
              <w:right w:type="dxa" w:w="80"/>
            </w:tcMar>
          </w:tcPr>
          <w:p>
            <w:r>
              <w:rPr>
                <w:b w:val="false"/>
                <w:bCs w:val="false"/>
                <w:color w:val="000000"/>
                <w:sz w:val="18"/>
                <w:szCs w:val="18"/>
              </w:rPr>
              <w:t xml:space="preserve">Valeur des pertes indépendante de la production</w:t>
            </w:r>
          </w:p>
        </w:tc>
        <w:tc>
          <w:tcPr>
            <w:tcW w:type="dxa" w:w="700"/>
            <w:tcMar>
              <w:top w:type="dxa" w:w="60"/>
              <w:left w:type="dxa" w:w="80"/>
              <w:bottom w:type="dxa" w:w="60"/>
              <w:right w:type="dxa" w:w="80"/>
            </w:tcMar>
          </w:tcPr>
          <w:p>
            <w:r>
              <w:rPr>
                <w:b w:val="false"/>
                <w:bCs w:val="false"/>
                <w:color w:val="000000"/>
                <w:sz w:val="18"/>
                <w:szCs w:val="18"/>
              </w:rPr>
              <w:t xml:space="preserve">0,355</w:t>
            </w:r>
          </w:p>
        </w:tc>
        <w:tc>
          <w:tcPr>
            <w:tcW w:type="dxa" w:w="800"/>
            <w:tcMar>
              <w:top w:type="dxa" w:w="60"/>
              <w:left w:type="dxa" w:w="80"/>
              <w:bottom w:type="dxa" w:w="60"/>
              <w:right w:type="dxa" w:w="80"/>
            </w:tcMar>
          </w:tcPr>
          <w:p>
            <w:r>
              <w:rPr>
                <w:b w:val="false"/>
                <w:bCs w:val="false"/>
                <w:color w:val="000000"/>
                <w:sz w:val="18"/>
                <w:szCs w:val="18"/>
              </w:rPr>
              <w:t xml:space="preserve">0.000011</w:t>
            </w:r>
          </w:p>
        </w:tc>
        <w:tc>
          <w:tcPr>
            <w:tcW w:type="dxa" w:w="500"/>
            <w:tcMar>
              <w:top w:type="dxa" w:w="60"/>
              <w:left w:type="dxa" w:w="80"/>
              <w:bottom w:type="dxa" w:w="60"/>
              <w:right w:type="dxa" w:w="80"/>
            </w:tcMar>
          </w:tcPr>
          <w:p>
            <w:r>
              <w:rPr>
                <w:b w:val="false"/>
                <w:bCs w:val="false"/>
                <w:color w:val="000000"/>
                <w:sz w:val="18"/>
                <w:szCs w:val="18"/>
              </w:rPr>
              <w:t xml:space="preserve">146</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ρ = 0.35 : les pertes monétaires croissent avec la production — les gros stockeurs subissent des pertes absolues plus lourdes.</w:t>
            </w:r>
          </w:p>
        </w:tc>
      </w:tr>
      <w:tr>
        <w:tc>
          <w:tcPr>
            <w:tcW w:type="dxa" w:w="1500"/>
            <w:tcMar>
              <w:top w:type="dxa" w:w="60"/>
              <w:left w:type="dxa" w:w="80"/>
              <w:bottom w:type="dxa" w:w="60"/>
              <w:right w:type="dxa" w:w="80"/>
            </w:tcMar>
          </w:tcPr>
          <w:p>
            <w:r>
              <w:rPr>
                <w:b w:val="false"/>
                <w:bCs w:val="false"/>
                <w:color w:val="000000"/>
                <w:sz w:val="18"/>
                <w:szCs w:val="18"/>
              </w:rPr>
              <w:t xml:space="preserve">Spearman (H5, quantité stockée)</w:t>
            </w:r>
          </w:p>
        </w:tc>
        <w:tc>
          <w:tcPr>
            <w:tcW w:type="dxa" w:w="1900"/>
            <w:tcMar>
              <w:top w:type="dxa" w:w="60"/>
              <w:left w:type="dxa" w:w="80"/>
              <w:bottom w:type="dxa" w:w="60"/>
              <w:right w:type="dxa" w:w="80"/>
            </w:tcMar>
          </w:tcPr>
          <w:p>
            <w:r>
              <w:rPr>
                <w:b w:val="false"/>
                <w:bCs w:val="false"/>
                <w:color w:val="000000"/>
                <w:sz w:val="18"/>
                <w:szCs w:val="18"/>
              </w:rPr>
              <w:t xml:space="preserve">Valeur des pertes indépendante de la quantité stockée</w:t>
            </w:r>
          </w:p>
        </w:tc>
        <w:tc>
          <w:tcPr>
            <w:tcW w:type="dxa" w:w="700"/>
            <w:tcMar>
              <w:top w:type="dxa" w:w="60"/>
              <w:left w:type="dxa" w:w="80"/>
              <w:bottom w:type="dxa" w:w="60"/>
              <w:right w:type="dxa" w:w="80"/>
            </w:tcMar>
          </w:tcPr>
          <w:p>
            <w:r>
              <w:rPr>
                <w:b w:val="false"/>
                <w:bCs w:val="false"/>
                <w:color w:val="000000"/>
                <w:sz w:val="18"/>
                <w:szCs w:val="18"/>
              </w:rPr>
              <w:t xml:space="preserve">0,379</w:t>
            </w:r>
          </w:p>
        </w:tc>
        <w:tc>
          <w:tcPr>
            <w:tcW w:type="dxa" w:w="800"/>
            <w:tcMar>
              <w:top w:type="dxa" w:w="60"/>
              <w:left w:type="dxa" w:w="80"/>
              <w:bottom w:type="dxa" w:w="60"/>
              <w:right w:type="dxa" w:w="80"/>
            </w:tcMar>
          </w:tcPr>
          <w:p>
            <w:r>
              <w:rPr>
                <w:b w:val="false"/>
                <w:bCs w:val="false"/>
                <w:color w:val="000000"/>
                <w:sz w:val="18"/>
                <w:szCs w:val="18"/>
              </w:rPr>
              <w:t xml:space="preserve">0.0000023</w:t>
            </w:r>
          </w:p>
        </w:tc>
        <w:tc>
          <w:tcPr>
            <w:tcW w:type="dxa" w:w="500"/>
            <w:tcMar>
              <w:top w:type="dxa" w:w="60"/>
              <w:left w:type="dxa" w:w="80"/>
              <w:bottom w:type="dxa" w:w="60"/>
              <w:right w:type="dxa" w:w="80"/>
            </w:tcMar>
          </w:tcPr>
          <w:p>
            <w:r>
              <w:rPr>
                <w:b w:val="false"/>
                <w:bCs w:val="false"/>
                <w:color w:val="000000"/>
                <w:sz w:val="18"/>
                <w:szCs w:val="18"/>
              </w:rPr>
              <w:t xml:space="preserve">146</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ρ = 0.38 : les pertes monétaires croissent avec la quantité stockée — les gros stockeurs subissent des pertes absolues plus lourdes.</w:t>
            </w:r>
          </w:p>
        </w:tc>
      </w:tr>
      <w:tr>
        <w:tc>
          <w:tcPr>
            <w:tcW w:type="dxa" w:w="1500"/>
            <w:tcMar>
              <w:top w:type="dxa" w:w="60"/>
              <w:left w:type="dxa" w:w="80"/>
              <w:bottom w:type="dxa" w:w="60"/>
              <w:right w:type="dxa" w:w="80"/>
            </w:tcMar>
          </w:tcPr>
          <w:p>
            <w:r>
              <w:rPr>
                <w:b w:val="false"/>
                <w:bCs w:val="false"/>
                <w:color w:val="000000"/>
                <w:sz w:val="18"/>
                <w:szCs w:val="18"/>
              </w:rPr>
              <w:t xml:space="preserve">Spearman (H5, superficie)</w:t>
            </w:r>
          </w:p>
        </w:tc>
        <w:tc>
          <w:tcPr>
            <w:tcW w:type="dxa" w:w="1900"/>
            <w:tcMar>
              <w:top w:type="dxa" w:w="60"/>
              <w:left w:type="dxa" w:w="80"/>
              <w:bottom w:type="dxa" w:w="60"/>
              <w:right w:type="dxa" w:w="80"/>
            </w:tcMar>
          </w:tcPr>
          <w:p>
            <w:r>
              <w:rPr>
                <w:b w:val="false"/>
                <w:bCs w:val="false"/>
                <w:color w:val="000000"/>
                <w:sz w:val="18"/>
                <w:szCs w:val="18"/>
              </w:rPr>
              <w:t xml:space="preserve">Valeur des pertes indépendante de la superficie</w:t>
            </w:r>
          </w:p>
        </w:tc>
        <w:tc>
          <w:tcPr>
            <w:tcW w:type="dxa" w:w="700"/>
            <w:tcMar>
              <w:top w:type="dxa" w:w="60"/>
              <w:left w:type="dxa" w:w="80"/>
              <w:bottom w:type="dxa" w:w="60"/>
              <w:right w:type="dxa" w:w="80"/>
            </w:tcMar>
          </w:tcPr>
          <w:p>
            <w:r>
              <w:rPr>
                <w:b w:val="false"/>
                <w:bCs w:val="false"/>
                <w:color w:val="000000"/>
                <w:sz w:val="18"/>
                <w:szCs w:val="18"/>
              </w:rPr>
              <w:t xml:space="preserve">0,33</w:t>
            </w:r>
          </w:p>
        </w:tc>
        <w:tc>
          <w:tcPr>
            <w:tcW w:type="dxa" w:w="800"/>
            <w:tcMar>
              <w:top w:type="dxa" w:w="60"/>
              <w:left w:type="dxa" w:w="80"/>
              <w:bottom w:type="dxa" w:w="60"/>
              <w:right w:type="dxa" w:w="80"/>
            </w:tcMar>
          </w:tcPr>
          <w:p>
            <w:r>
              <w:rPr>
                <w:b w:val="false"/>
                <w:bCs w:val="false"/>
                <w:color w:val="000000"/>
                <w:sz w:val="18"/>
                <w:szCs w:val="18"/>
              </w:rPr>
              <w:t xml:space="preserve">0.000047</w:t>
            </w:r>
          </w:p>
        </w:tc>
        <w:tc>
          <w:tcPr>
            <w:tcW w:type="dxa" w:w="500"/>
            <w:tcMar>
              <w:top w:type="dxa" w:w="60"/>
              <w:left w:type="dxa" w:w="80"/>
              <w:bottom w:type="dxa" w:w="60"/>
              <w:right w:type="dxa" w:w="80"/>
            </w:tcMar>
          </w:tcPr>
          <w:p>
            <w:r>
              <w:rPr>
                <w:b w:val="false"/>
                <w:bCs w:val="false"/>
                <w:color w:val="000000"/>
                <w:sz w:val="18"/>
                <w:szCs w:val="18"/>
              </w:rPr>
              <w:t xml:space="preserve">146</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ρ = 0.33 : les pertes monétaires croissent avec la superficie — les gros stockeurs subissent des pertes absolues plus lourdes.</w:t>
            </w:r>
          </w:p>
        </w:tc>
      </w:tr>
      <w:tr>
        <w:tc>
          <w:tcPr>
            <w:tcW w:type="dxa" w:w="1500"/>
            <w:tcMar>
              <w:top w:type="dxa" w:w="60"/>
              <w:left w:type="dxa" w:w="80"/>
              <w:bottom w:type="dxa" w:w="60"/>
              <w:right w:type="dxa" w:w="80"/>
            </w:tcMar>
          </w:tcPr>
          <w:p>
            <w:r>
              <w:rPr>
                <w:b w:val="false"/>
                <w:bCs w:val="false"/>
                <w:color w:val="000000"/>
                <w:sz w:val="18"/>
                <w:szCs w:val="18"/>
              </w:rPr>
              <w:t xml:space="preserve">Fisher exact (H6)</w:t>
            </w:r>
          </w:p>
        </w:tc>
        <w:tc>
          <w:tcPr>
            <w:tcW w:type="dxa" w:w="1900"/>
            <w:tcMar>
              <w:top w:type="dxa" w:w="60"/>
              <w:left w:type="dxa" w:w="80"/>
              <w:bottom w:type="dxa" w:w="60"/>
              <w:right w:type="dxa" w:w="80"/>
            </w:tcMar>
          </w:tcPr>
          <w:p>
            <w:r>
              <w:rPr>
                <w:b w:val="false"/>
                <w:bCs w:val="false"/>
                <w:color w:val="000000"/>
                <w:sz w:val="18"/>
                <w:szCs w:val="18"/>
              </w:rPr>
              <w:t xml:space="preserve">Couverture alimentaire indépendante des pertes de stockage</w:t>
            </w:r>
          </w:p>
        </w:tc>
        <w:tc>
          <w:tcPr>
            <w:tcW w:type="dxa" w:w="700"/>
            <w:tcMar>
              <w:top w:type="dxa" w:w="60"/>
              <w:left w:type="dxa" w:w="80"/>
              <w:bottom w:type="dxa" w:w="60"/>
              <w:right w:type="dxa" w:w="80"/>
            </w:tcMar>
          </w:tcPr>
          <w:p>
            <w:r>
              <w:rPr>
                <w:b w:val="false"/>
                <w:bCs w:val="false"/>
                <w:color w:val="000000"/>
                <w:sz w:val="18"/>
                <w:szCs w:val="18"/>
              </w:rPr>
              <w:t xml:space="preserve">0,507</w:t>
            </w:r>
          </w:p>
        </w:tc>
        <w:tc>
          <w:tcPr>
            <w:tcW w:type="dxa" w:w="800"/>
            <w:tcMar>
              <w:top w:type="dxa" w:w="60"/>
              <w:left w:type="dxa" w:w="80"/>
              <w:bottom w:type="dxa" w:w="60"/>
              <w:right w:type="dxa" w:w="80"/>
            </w:tcMar>
          </w:tcPr>
          <w:p>
            <w:r>
              <w:rPr>
                <w:b w:val="false"/>
                <w:bCs w:val="false"/>
                <w:color w:val="000000"/>
                <w:sz w:val="18"/>
                <w:szCs w:val="18"/>
              </w:rPr>
              <w:t xml:space="preserve">0.1201</w:t>
            </w:r>
          </w:p>
        </w:tc>
        <w:tc>
          <w:tcPr>
            <w:tcW w:type="dxa" w:w="500"/>
            <w:tcMar>
              <w:top w:type="dxa" w:w="60"/>
              <w:left w:type="dxa" w:w="80"/>
              <w:bottom w:type="dxa" w:w="60"/>
              <w:right w:type="dxa" w:w="80"/>
            </w:tcMar>
          </w:tcPr>
          <w:p>
            <w:r>
              <w:rPr>
                <w:b w:val="false"/>
                <w:bCs w:val="false"/>
                <w:color w:val="000000"/>
                <w:sz w:val="18"/>
                <w:szCs w:val="18"/>
              </w:rPr>
              <w:t xml:space="preserve">195</w:t>
            </w:r>
          </w:p>
        </w:tc>
        <w:tc>
          <w:tcPr>
            <w:tcW w:type="dxa" w:w="1300"/>
            <w:tcMar>
              <w:top w:type="dxa" w:w="60"/>
              <w:left w:type="dxa" w:w="80"/>
              <w:bottom w:type="dxa" w:w="60"/>
              <w:right w:type="dxa" w:w="80"/>
            </w:tcMar>
          </w:tcPr>
          <w:p>
            <w:r>
              <w:rPr>
                <w:b w:val="false"/>
                <w:bCs w:val="false"/>
                <w:color w:val="000000"/>
                <w:sz w:val="18"/>
                <w:szCs w:val="18"/>
              </w:rPr>
              <w:t xml:space="preserve">Non rejet H0
non significatif</w:t>
            </w:r>
          </w:p>
        </w:tc>
        <w:tc>
          <w:tcPr>
            <w:tcW w:type="dxa" w:w="3100"/>
            <w:tcMar>
              <w:top w:type="dxa" w:w="60"/>
              <w:left w:type="dxa" w:w="80"/>
              <w:bottom w:type="dxa" w:w="60"/>
              <w:right w:type="dxa" w:w="80"/>
            </w:tcMar>
          </w:tcPr>
          <w:p>
            <w:r>
              <w:rPr>
                <w:b w:val="false"/>
                <w:bCs w:val="false"/>
                <w:color w:val="000000"/>
                <w:sz w:val="18"/>
                <w:szCs w:val="18"/>
              </w:rPr>
              <w:t xml:space="preserve">24 % de couverture chez les sans-perte vs 14 % chez ceux qui perdent : tendance dans le sens attendu mais non significative (puissance limitée : seulement 32 ménages couverts).</w:t>
            </w:r>
          </w:p>
        </w:tc>
      </w:tr>
      <w:tr>
        <w:tc>
          <w:tcPr>
            <w:tcW w:type="dxa" w:w="1500"/>
            <w:tcMar>
              <w:top w:type="dxa" w:w="60"/>
              <w:left w:type="dxa" w:w="80"/>
              <w:bottom w:type="dxa" w:w="60"/>
              <w:right w:type="dxa" w:w="80"/>
            </w:tcMar>
          </w:tcPr>
          <w:p>
            <w:r>
              <w:rPr>
                <w:b w:val="false"/>
                <w:bCs w:val="false"/>
                <w:color w:val="000000"/>
                <w:sz w:val="18"/>
                <w:szCs w:val="18"/>
              </w:rPr>
              <w:t xml:space="preserve">χ² (H6 bis, superficie)</w:t>
            </w:r>
          </w:p>
        </w:tc>
        <w:tc>
          <w:tcPr>
            <w:tcW w:type="dxa" w:w="1900"/>
            <w:tcMar>
              <w:top w:type="dxa" w:w="60"/>
              <w:left w:type="dxa" w:w="80"/>
              <w:bottom w:type="dxa" w:w="60"/>
              <w:right w:type="dxa" w:w="80"/>
            </w:tcMar>
          </w:tcPr>
          <w:p>
            <w:r>
              <w:rPr>
                <w:b w:val="false"/>
                <w:bCs w:val="false"/>
                <w:color w:val="000000"/>
                <w:sz w:val="18"/>
                <w:szCs w:val="18"/>
              </w:rPr>
              <w:t xml:space="preserve">Couverture alimentaire indépendante de la classe de superficie</w:t>
            </w:r>
          </w:p>
        </w:tc>
        <w:tc>
          <w:tcPr>
            <w:tcW w:type="dxa" w:w="700"/>
            <w:tcMar>
              <w:top w:type="dxa" w:w="60"/>
              <w:left w:type="dxa" w:w="80"/>
              <w:bottom w:type="dxa" w:w="60"/>
              <w:right w:type="dxa" w:w="80"/>
            </w:tcMar>
          </w:tcPr>
          <w:p>
            <w:r>
              <w:rPr>
                <w:b w:val="false"/>
                <w:bCs w:val="false"/>
                <w:color w:val="000000"/>
                <w:sz w:val="18"/>
                <w:szCs w:val="18"/>
              </w:rPr>
              <w:t xml:space="preserve">11,779</w:t>
            </w:r>
          </w:p>
        </w:tc>
        <w:tc>
          <w:tcPr>
            <w:tcW w:type="dxa" w:w="800"/>
            <w:tcMar>
              <w:top w:type="dxa" w:w="60"/>
              <w:left w:type="dxa" w:w="80"/>
              <w:bottom w:type="dxa" w:w="60"/>
              <w:right w:type="dxa" w:w="80"/>
            </w:tcMar>
          </w:tcPr>
          <w:p>
            <w:r>
              <w:rPr>
                <w:b w:val="false"/>
                <w:bCs w:val="false"/>
                <w:color w:val="000000"/>
                <w:sz w:val="18"/>
                <w:szCs w:val="18"/>
              </w:rPr>
              <w:t xml:space="preserve">0.0082</w:t>
            </w:r>
          </w:p>
        </w:tc>
        <w:tc>
          <w:tcPr>
            <w:tcW w:type="dxa" w:w="500"/>
            <w:tcMar>
              <w:top w:type="dxa" w:w="60"/>
              <w:left w:type="dxa" w:w="80"/>
              <w:bottom w:type="dxa" w:w="60"/>
              <w:right w:type="dxa" w:w="80"/>
            </w:tcMar>
          </w:tcPr>
          <w:p>
            <w:r>
              <w:rPr>
                <w:b w:val="false"/>
                <w:bCs w:val="false"/>
                <w:color w:val="000000"/>
                <w:sz w:val="18"/>
                <w:szCs w:val="18"/>
              </w:rPr>
              <w:t xml:space="preserve">195</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37 % des exploitations ≥ 5 ha couvrent l'année contre 8–13 % des autres : la taille d'exploitation est le premier déterminant de la sécurité alimentaire.</w:t>
            </w:r>
          </w:p>
        </w:tc>
      </w:tr>
      <w:tr>
        <w:tc>
          <w:tcPr>
            <w:tcW w:type="dxa" w:w="1500"/>
            <w:tcMar>
              <w:top w:type="dxa" w:w="60"/>
              <w:left w:type="dxa" w:w="80"/>
              <w:bottom w:type="dxa" w:w="60"/>
              <w:right w:type="dxa" w:w="80"/>
            </w:tcMar>
          </w:tcPr>
          <w:p>
            <w:r>
              <w:rPr>
                <w:b w:val="false"/>
                <w:bCs w:val="false"/>
                <w:color w:val="000000"/>
                <w:sz w:val="18"/>
                <w:szCs w:val="18"/>
              </w:rPr>
              <w:t xml:space="preserve">Fisher exact (H7, formation)</w:t>
            </w:r>
          </w:p>
        </w:tc>
        <w:tc>
          <w:tcPr>
            <w:tcW w:type="dxa" w:w="1900"/>
            <w:tcMar>
              <w:top w:type="dxa" w:w="60"/>
              <w:left w:type="dxa" w:w="80"/>
              <w:bottom w:type="dxa" w:w="60"/>
              <w:right w:type="dxa" w:w="80"/>
            </w:tcMar>
          </w:tcPr>
          <w:p>
            <w:r>
              <w:rPr>
                <w:b w:val="false"/>
                <w:bCs w:val="false"/>
                <w:color w:val="000000"/>
                <w:sz w:val="18"/>
                <w:szCs w:val="18"/>
              </w:rPr>
              <w:t xml:space="preserve">Déclaration de pertes indépendante de la formation reçue</w:t>
            </w:r>
          </w:p>
        </w:tc>
        <w:tc>
          <w:tcPr>
            <w:tcW w:type="dxa" w:w="700"/>
            <w:tcMar>
              <w:top w:type="dxa" w:w="60"/>
              <w:left w:type="dxa" w:w="80"/>
              <w:bottom w:type="dxa" w:w="60"/>
              <w:right w:type="dxa" w:w="80"/>
            </w:tcMar>
          </w:tcPr>
          <w:p>
            <w:r>
              <w:rPr>
                <w:b w:val="false"/>
                <w:bCs w:val="false"/>
                <w:color w:val="000000"/>
                <w:sz w:val="18"/>
                <w:szCs w:val="18"/>
              </w:rPr>
              <w:t xml:space="preserve">4,421</w:t>
            </w:r>
          </w:p>
        </w:tc>
        <w:tc>
          <w:tcPr>
            <w:tcW w:type="dxa" w:w="800"/>
            <w:tcMar>
              <w:top w:type="dxa" w:w="60"/>
              <w:left w:type="dxa" w:w="80"/>
              <w:bottom w:type="dxa" w:w="60"/>
              <w:right w:type="dxa" w:w="80"/>
            </w:tcMar>
          </w:tcPr>
          <w:p>
            <w:r>
              <w:rPr>
                <w:b w:val="false"/>
                <w:bCs w:val="false"/>
                <w:color w:val="000000"/>
                <w:sz w:val="18"/>
                <w:szCs w:val="18"/>
              </w:rPr>
              <w:t xml:space="preserve">0.19</w:t>
            </w:r>
          </w:p>
        </w:tc>
        <w:tc>
          <w:tcPr>
            <w:tcW w:type="dxa" w:w="500"/>
            <w:tcMar>
              <w:top w:type="dxa" w:w="60"/>
              <w:left w:type="dxa" w:w="80"/>
              <w:bottom w:type="dxa" w:w="60"/>
              <w:right w:type="dxa" w:w="80"/>
            </w:tcMar>
          </w:tcPr>
          <w:p>
            <w:r>
              <w:rPr>
                <w:b w:val="false"/>
                <w:bCs w:val="false"/>
                <w:color w:val="000000"/>
                <w:sz w:val="18"/>
                <w:szCs w:val="18"/>
              </w:rPr>
              <w:t xml:space="preserve">195</w:t>
            </w:r>
          </w:p>
        </w:tc>
        <w:tc>
          <w:tcPr>
            <w:tcW w:type="dxa" w:w="1300"/>
            <w:tcMar>
              <w:top w:type="dxa" w:w="60"/>
              <w:left w:type="dxa" w:w="80"/>
              <w:bottom w:type="dxa" w:w="60"/>
              <w:right w:type="dxa" w:w="80"/>
            </w:tcMar>
          </w:tcPr>
          <w:p>
            <w:r>
              <w:rPr>
                <w:b w:val="false"/>
                <w:bCs w:val="false"/>
                <w:color w:val="000000"/>
                <w:sz w:val="18"/>
                <w:szCs w:val="18"/>
              </w:rPr>
              <w:t xml:space="preserve">Non rejet H0
non significatif</w:t>
            </w:r>
          </w:p>
        </w:tc>
        <w:tc>
          <w:tcPr>
            <w:tcW w:type="dxa" w:w="3100"/>
            <w:tcMar>
              <w:top w:type="dxa" w:w="60"/>
              <w:left w:type="dxa" w:w="80"/>
              <w:bottom w:type="dxa" w:w="60"/>
              <w:right w:type="dxa" w:w="80"/>
            </w:tcMar>
          </w:tcPr>
          <w:p>
            <w:r>
              <w:rPr>
                <w:b w:val="false"/>
                <w:bCs w:val="false"/>
                <w:color w:val="000000"/>
                <w:sz w:val="18"/>
                <w:szCs w:val="18"/>
              </w:rPr>
              <w:t xml:space="preserve">Non significatif (13 formés seulement) ; les formés déclarent même plus de pertes (92 %) — possible effet de sensibilisation (meilleure détection).</w:t>
            </w:r>
          </w:p>
        </w:tc>
      </w:tr>
      <w:tr>
        <w:tc>
          <w:tcPr>
            <w:tcW w:type="dxa" w:w="1500"/>
            <w:tcMar>
              <w:top w:type="dxa" w:w="60"/>
              <w:left w:type="dxa" w:w="80"/>
              <w:bottom w:type="dxa" w:w="60"/>
              <w:right w:type="dxa" w:w="80"/>
            </w:tcMar>
          </w:tcPr>
          <w:p>
            <w:r>
              <w:rPr>
                <w:b w:val="false"/>
                <w:bCs w:val="false"/>
                <w:color w:val="000000"/>
                <w:sz w:val="18"/>
                <w:szCs w:val="18"/>
              </w:rPr>
              <w:t xml:space="preserve">χ² (H7, instruction)</w:t>
            </w:r>
          </w:p>
        </w:tc>
        <w:tc>
          <w:tcPr>
            <w:tcW w:type="dxa" w:w="1900"/>
            <w:tcMar>
              <w:top w:type="dxa" w:w="60"/>
              <w:left w:type="dxa" w:w="80"/>
              <w:bottom w:type="dxa" w:w="60"/>
              <w:right w:type="dxa" w:w="80"/>
            </w:tcMar>
          </w:tcPr>
          <w:p>
            <w:r>
              <w:rPr>
                <w:b w:val="false"/>
                <w:bCs w:val="false"/>
                <w:color w:val="000000"/>
                <w:sz w:val="18"/>
                <w:szCs w:val="18"/>
              </w:rPr>
              <w:t xml:space="preserve">Déclaration de pertes indépendante du niveau d'instruction</w:t>
            </w:r>
          </w:p>
        </w:tc>
        <w:tc>
          <w:tcPr>
            <w:tcW w:type="dxa" w:w="700"/>
            <w:tcMar>
              <w:top w:type="dxa" w:w="60"/>
              <w:left w:type="dxa" w:w="80"/>
              <w:bottom w:type="dxa" w:w="60"/>
              <w:right w:type="dxa" w:w="80"/>
            </w:tcMar>
          </w:tcPr>
          <w:p>
            <w:r>
              <w:rPr>
                <w:b w:val="false"/>
                <w:bCs w:val="false"/>
                <w:color w:val="000000"/>
                <w:sz w:val="18"/>
                <w:szCs w:val="18"/>
              </w:rPr>
              <w:t xml:space="preserve">1,379</w:t>
            </w:r>
          </w:p>
        </w:tc>
        <w:tc>
          <w:tcPr>
            <w:tcW w:type="dxa" w:w="800"/>
            <w:tcMar>
              <w:top w:type="dxa" w:w="60"/>
              <w:left w:type="dxa" w:w="80"/>
              <w:bottom w:type="dxa" w:w="60"/>
              <w:right w:type="dxa" w:w="80"/>
            </w:tcMar>
          </w:tcPr>
          <w:p>
            <w:r>
              <w:rPr>
                <w:b w:val="false"/>
                <w:bCs w:val="false"/>
                <w:color w:val="000000"/>
                <w:sz w:val="18"/>
                <w:szCs w:val="18"/>
              </w:rPr>
              <w:t xml:space="preserve">0.5018</w:t>
            </w:r>
          </w:p>
        </w:tc>
        <w:tc>
          <w:tcPr>
            <w:tcW w:type="dxa" w:w="500"/>
            <w:tcMar>
              <w:top w:type="dxa" w:w="60"/>
              <w:left w:type="dxa" w:w="80"/>
              <w:bottom w:type="dxa" w:w="60"/>
              <w:right w:type="dxa" w:w="80"/>
            </w:tcMar>
          </w:tcPr>
          <w:p>
            <w:r>
              <w:rPr>
                <w:b w:val="false"/>
                <w:bCs w:val="false"/>
                <w:color w:val="000000"/>
                <w:sz w:val="18"/>
                <w:szCs w:val="18"/>
              </w:rPr>
              <w:t xml:space="preserve">195</w:t>
            </w:r>
          </w:p>
        </w:tc>
        <w:tc>
          <w:tcPr>
            <w:tcW w:type="dxa" w:w="1300"/>
            <w:tcMar>
              <w:top w:type="dxa" w:w="60"/>
              <w:left w:type="dxa" w:w="80"/>
              <w:bottom w:type="dxa" w:w="60"/>
              <w:right w:type="dxa" w:w="80"/>
            </w:tcMar>
          </w:tcPr>
          <w:p>
            <w:r>
              <w:rPr>
                <w:b w:val="false"/>
                <w:bCs w:val="false"/>
                <w:color w:val="000000"/>
                <w:sz w:val="18"/>
                <w:szCs w:val="18"/>
              </w:rPr>
              <w:t xml:space="preserve">Non rejet H0
non significatif</w:t>
            </w:r>
          </w:p>
        </w:tc>
        <w:tc>
          <w:tcPr>
            <w:tcW w:type="dxa" w:w="3100"/>
            <w:tcMar>
              <w:top w:type="dxa" w:w="60"/>
              <w:left w:type="dxa" w:w="80"/>
              <w:bottom w:type="dxa" w:w="60"/>
              <w:right w:type="dxa" w:w="80"/>
            </w:tcMar>
          </w:tcPr>
          <w:p>
            <w:r>
              <w:rPr>
                <w:b w:val="false"/>
                <w:bCs w:val="false"/>
                <w:color w:val="000000"/>
                <w:sz w:val="18"/>
                <w:szCs w:val="18"/>
              </w:rPr>
              <w:t xml:space="preserve">Aucun effet du niveau d'instruction.</w:t>
            </w:r>
          </w:p>
        </w:tc>
      </w:tr>
      <w:tr>
        <w:tc>
          <w:tcPr>
            <w:tcW w:type="dxa" w:w="1500"/>
            <w:tcMar>
              <w:top w:type="dxa" w:w="60"/>
              <w:left w:type="dxa" w:w="80"/>
              <w:bottom w:type="dxa" w:w="60"/>
              <w:right w:type="dxa" w:w="80"/>
            </w:tcMar>
          </w:tcPr>
          <w:p>
            <w:r>
              <w:rPr>
                <w:b w:val="false"/>
                <w:bCs w:val="false"/>
                <w:color w:val="000000"/>
                <w:sz w:val="18"/>
                <w:szCs w:val="18"/>
              </w:rPr>
              <w:t xml:space="preserve">Spearman (H8)</w:t>
            </w:r>
          </w:p>
        </w:tc>
        <w:tc>
          <w:tcPr>
            <w:tcW w:type="dxa" w:w="1900"/>
            <w:tcMar>
              <w:top w:type="dxa" w:w="60"/>
              <w:left w:type="dxa" w:w="80"/>
              <w:bottom w:type="dxa" w:w="60"/>
              <w:right w:type="dxa" w:w="80"/>
            </w:tcMar>
          </w:tcPr>
          <w:p>
            <w:r>
              <w:rPr>
                <w:b w:val="false"/>
                <w:bCs w:val="false"/>
                <w:color w:val="000000"/>
                <w:sz w:val="18"/>
                <w:szCs w:val="18"/>
              </w:rPr>
              <w:t xml:space="preserve">Rendement indépendant de la superficie</w:t>
            </w:r>
          </w:p>
        </w:tc>
        <w:tc>
          <w:tcPr>
            <w:tcW w:type="dxa" w:w="700"/>
            <w:tcMar>
              <w:top w:type="dxa" w:w="60"/>
              <w:left w:type="dxa" w:w="80"/>
              <w:bottom w:type="dxa" w:w="60"/>
              <w:right w:type="dxa" w:w="80"/>
            </w:tcMar>
          </w:tcPr>
          <w:p>
            <w:r>
              <w:rPr>
                <w:b w:val="false"/>
                <w:bCs w:val="false"/>
                <w:color w:val="000000"/>
                <w:sz w:val="18"/>
                <w:szCs w:val="18"/>
              </w:rPr>
              <w:t xml:space="preserve">-0,094</w:t>
            </w:r>
          </w:p>
        </w:tc>
        <w:tc>
          <w:tcPr>
            <w:tcW w:type="dxa" w:w="800"/>
            <w:tcMar>
              <w:top w:type="dxa" w:w="60"/>
              <w:left w:type="dxa" w:w="80"/>
              <w:bottom w:type="dxa" w:w="60"/>
              <w:right w:type="dxa" w:w="80"/>
            </w:tcMar>
          </w:tcPr>
          <w:p>
            <w:r>
              <w:rPr>
                <w:b w:val="false"/>
                <w:bCs w:val="false"/>
                <w:color w:val="000000"/>
                <w:sz w:val="18"/>
                <w:szCs w:val="18"/>
              </w:rPr>
              <w:t xml:space="preserve">0.2002</w:t>
            </w:r>
          </w:p>
        </w:tc>
        <w:tc>
          <w:tcPr>
            <w:tcW w:type="dxa" w:w="500"/>
            <w:tcMar>
              <w:top w:type="dxa" w:w="60"/>
              <w:left w:type="dxa" w:w="80"/>
              <w:bottom w:type="dxa" w:w="60"/>
              <w:right w:type="dxa" w:w="80"/>
            </w:tcMar>
          </w:tcPr>
          <w:p>
            <w:r>
              <w:rPr>
                <w:b w:val="false"/>
                <w:bCs w:val="false"/>
                <w:color w:val="000000"/>
                <w:sz w:val="18"/>
                <w:szCs w:val="18"/>
              </w:rPr>
              <w:t xml:space="preserve">189</w:t>
            </w:r>
          </w:p>
        </w:tc>
        <w:tc>
          <w:tcPr>
            <w:tcW w:type="dxa" w:w="1300"/>
            <w:tcMar>
              <w:top w:type="dxa" w:w="60"/>
              <w:left w:type="dxa" w:w="80"/>
              <w:bottom w:type="dxa" w:w="60"/>
              <w:right w:type="dxa" w:w="80"/>
            </w:tcMar>
          </w:tcPr>
          <w:p>
            <w:r>
              <w:rPr>
                <w:b w:val="false"/>
                <w:bCs w:val="false"/>
                <w:color w:val="000000"/>
                <w:sz w:val="18"/>
                <w:szCs w:val="18"/>
              </w:rPr>
              <w:t xml:space="preserve">Non rejet H0
non significatif</w:t>
            </w:r>
          </w:p>
        </w:tc>
        <w:tc>
          <w:tcPr>
            <w:tcW w:type="dxa" w:w="3100"/>
            <w:tcMar>
              <w:top w:type="dxa" w:w="60"/>
              <w:left w:type="dxa" w:w="80"/>
              <w:bottom w:type="dxa" w:w="60"/>
              <w:right w:type="dxa" w:w="80"/>
            </w:tcMar>
          </w:tcPr>
          <w:p>
            <w:r>
              <w:rPr>
                <w:b w:val="false"/>
                <w:bCs w:val="false"/>
                <w:color w:val="000000"/>
                <w:sz w:val="18"/>
                <w:szCs w:val="18"/>
              </w:rPr>
              <w:t xml:space="preserve">Pas d'économie d'échelle : le rendement (≈ 700 kg/ha) est le même quelle que soit la taille — les gains de production passent par l'intensification, pas par l'extension.</w:t>
            </w:r>
          </w:p>
        </w:tc>
      </w:tr>
      <w:tr>
        <w:tc>
          <w:tcPr>
            <w:tcW w:type="dxa" w:w="1500"/>
            <w:tcMar>
              <w:top w:type="dxa" w:w="60"/>
              <w:left w:type="dxa" w:w="80"/>
              <w:bottom w:type="dxa" w:w="60"/>
              <w:right w:type="dxa" w:w="80"/>
            </w:tcMar>
          </w:tcPr>
          <w:p>
            <w:r>
              <w:rPr>
                <w:b w:val="false"/>
                <w:bCs w:val="false"/>
                <w:color w:val="000000"/>
                <w:sz w:val="18"/>
                <w:szCs w:val="18"/>
              </w:rPr>
              <w:t xml:space="preserve">Kruskal-Wallis (H8 bis)</w:t>
            </w:r>
          </w:p>
        </w:tc>
        <w:tc>
          <w:tcPr>
            <w:tcW w:type="dxa" w:w="1900"/>
            <w:tcMar>
              <w:top w:type="dxa" w:w="60"/>
              <w:left w:type="dxa" w:w="80"/>
              <w:bottom w:type="dxa" w:w="60"/>
              <w:right w:type="dxa" w:w="80"/>
            </w:tcMar>
          </w:tcPr>
          <w:p>
            <w:r>
              <w:rPr>
                <w:b w:val="false"/>
                <w:bCs w:val="false"/>
                <w:color w:val="000000"/>
                <w:sz w:val="18"/>
                <w:szCs w:val="18"/>
              </w:rPr>
              <w:t xml:space="preserve">Rendement identique entre communes</w:t>
            </w:r>
          </w:p>
        </w:tc>
        <w:tc>
          <w:tcPr>
            <w:tcW w:type="dxa" w:w="700"/>
            <w:tcMar>
              <w:top w:type="dxa" w:w="60"/>
              <w:left w:type="dxa" w:w="80"/>
              <w:bottom w:type="dxa" w:w="60"/>
              <w:right w:type="dxa" w:w="80"/>
            </w:tcMar>
          </w:tcPr>
          <w:p>
            <w:r>
              <w:rPr>
                <w:b w:val="false"/>
                <w:bCs w:val="false"/>
                <w:color w:val="000000"/>
                <w:sz w:val="18"/>
                <w:szCs w:val="18"/>
              </w:rPr>
              <w:t xml:space="preserve">5,401</w:t>
            </w:r>
          </w:p>
        </w:tc>
        <w:tc>
          <w:tcPr>
            <w:tcW w:type="dxa" w:w="800"/>
            <w:tcMar>
              <w:top w:type="dxa" w:w="60"/>
              <w:left w:type="dxa" w:w="80"/>
              <w:bottom w:type="dxa" w:w="60"/>
              <w:right w:type="dxa" w:w="80"/>
            </w:tcMar>
          </w:tcPr>
          <w:p>
            <w:r>
              <w:rPr>
                <w:b w:val="false"/>
                <w:bCs w:val="false"/>
                <w:color w:val="000000"/>
                <w:sz w:val="18"/>
                <w:szCs w:val="18"/>
              </w:rPr>
              <w:t xml:space="preserve">0.0672</w:t>
            </w:r>
          </w:p>
        </w:tc>
        <w:tc>
          <w:tcPr>
            <w:tcW w:type="dxa" w:w="500"/>
            <w:tcMar>
              <w:top w:type="dxa" w:w="60"/>
              <w:left w:type="dxa" w:w="80"/>
              <w:bottom w:type="dxa" w:w="60"/>
              <w:right w:type="dxa" w:w="80"/>
            </w:tcMar>
          </w:tcPr>
          <w:p>
            <w:r>
              <w:rPr>
                <w:b w:val="false"/>
                <w:bCs w:val="false"/>
                <w:color w:val="000000"/>
                <w:sz w:val="18"/>
                <w:szCs w:val="18"/>
              </w:rPr>
              <w:t xml:space="preserve">189</w:t>
            </w:r>
          </w:p>
        </w:tc>
        <w:tc>
          <w:tcPr>
            <w:tcW w:type="dxa" w:w="1300"/>
            <w:tcMar>
              <w:top w:type="dxa" w:w="60"/>
              <w:left w:type="dxa" w:w="80"/>
              <w:bottom w:type="dxa" w:w="60"/>
              <w:right w:type="dxa" w:w="80"/>
            </w:tcMar>
          </w:tcPr>
          <w:p>
            <w:r>
              <w:rPr>
                <w:b w:val="false"/>
                <w:bCs w:val="false"/>
                <w:color w:val="000000"/>
                <w:sz w:val="18"/>
                <w:szCs w:val="18"/>
              </w:rPr>
              <w:t xml:space="preserve">Non rejet H0
non significatif</w:t>
            </w:r>
          </w:p>
        </w:tc>
        <w:tc>
          <w:tcPr>
            <w:tcW w:type="dxa" w:w="3100"/>
            <w:tcMar>
              <w:top w:type="dxa" w:w="60"/>
              <w:left w:type="dxa" w:w="80"/>
              <w:bottom w:type="dxa" w:w="60"/>
              <w:right w:type="dxa" w:w="80"/>
            </w:tcMar>
          </w:tcPr>
          <w:p>
            <w:r>
              <w:rPr>
                <w:b w:val="false"/>
                <w:bCs w:val="false"/>
                <w:color w:val="000000"/>
                <w:sz w:val="18"/>
                <w:szCs w:val="18"/>
              </w:rPr>
              <w:t xml:space="preserve">Nioro Alassane Tall légèrement au-dessus (médiane 750 vs 667 kg/ha), différence à la limite de la significativité (p ≈ 0,07).</w:t>
            </w:r>
          </w:p>
        </w:tc>
      </w:tr>
      <w:tr>
        <w:tc>
          <w:tcPr>
            <w:tcW w:type="dxa" w:w="1500"/>
            <w:tcMar>
              <w:top w:type="dxa" w:w="60"/>
              <w:left w:type="dxa" w:w="80"/>
              <w:bottom w:type="dxa" w:w="60"/>
              <w:right w:type="dxa" w:w="80"/>
            </w:tcMar>
          </w:tcPr>
          <w:p>
            <w:r>
              <w:rPr>
                <w:b w:val="false"/>
                <w:bCs w:val="false"/>
                <w:color w:val="000000"/>
                <w:sz w:val="18"/>
                <w:szCs w:val="18"/>
              </w:rPr>
              <w:t xml:space="preserve">χ² (mode de stockage déclaré)</w:t>
            </w:r>
          </w:p>
        </w:tc>
        <w:tc>
          <w:tcPr>
            <w:tcW w:type="dxa" w:w="1900"/>
            <w:tcMar>
              <w:top w:type="dxa" w:w="60"/>
              <w:left w:type="dxa" w:w="80"/>
              <w:bottom w:type="dxa" w:w="60"/>
              <w:right w:type="dxa" w:w="80"/>
            </w:tcMar>
          </w:tcPr>
          <w:p>
            <w:r>
              <w:rPr>
                <w:b w:val="false"/>
                <w:bCs w:val="false"/>
                <w:color w:val="000000"/>
                <w:sz w:val="18"/>
                <w:szCs w:val="18"/>
              </w:rPr>
              <w:t xml:space="preserve">Déclaration de pertes indépendante du mode de stockage</w:t>
            </w:r>
          </w:p>
        </w:tc>
        <w:tc>
          <w:tcPr>
            <w:tcW w:type="dxa" w:w="700"/>
            <w:tcMar>
              <w:top w:type="dxa" w:w="60"/>
              <w:left w:type="dxa" w:w="80"/>
              <w:bottom w:type="dxa" w:w="60"/>
              <w:right w:type="dxa" w:w="80"/>
            </w:tcMar>
          </w:tcPr>
          <w:p>
            <w:r>
              <w:rPr>
                <w:b w:val="false"/>
                <w:bCs w:val="false"/>
                <w:color w:val="000000"/>
                <w:sz w:val="18"/>
                <w:szCs w:val="18"/>
              </w:rPr>
              <w:t xml:space="preserve">56,209</w:t>
            </w:r>
          </w:p>
        </w:tc>
        <w:tc>
          <w:tcPr>
            <w:tcW w:type="dxa" w:w="800"/>
            <w:tcMar>
              <w:top w:type="dxa" w:w="60"/>
              <w:left w:type="dxa" w:w="80"/>
              <w:bottom w:type="dxa" w:w="60"/>
              <w:right w:type="dxa" w:w="80"/>
            </w:tcMar>
          </w:tcPr>
          <w:p>
            <w:r>
              <w:rPr>
                <w:b w:val="false"/>
                <w:bCs w:val="false"/>
                <w:color w:val="000000"/>
                <w:sz w:val="18"/>
                <w:szCs w:val="18"/>
              </w:rPr>
              <w:t xml:space="preserve">6.2e-13</w:t>
            </w:r>
          </w:p>
        </w:tc>
        <w:tc>
          <w:tcPr>
            <w:tcW w:type="dxa" w:w="500"/>
            <w:tcMar>
              <w:top w:type="dxa" w:w="60"/>
              <w:left w:type="dxa" w:w="80"/>
              <w:bottom w:type="dxa" w:w="60"/>
              <w:right w:type="dxa" w:w="80"/>
            </w:tcMar>
          </w:tcPr>
          <w:p>
            <w:r>
              <w:rPr>
                <w:b w:val="false"/>
                <w:bCs w:val="false"/>
                <w:color w:val="000000"/>
                <w:sz w:val="18"/>
                <w:szCs w:val="18"/>
              </w:rPr>
              <w:t xml:space="preserve">195</w:t>
            </w:r>
          </w:p>
        </w:tc>
        <w:tc>
          <w:tcPr>
            <w:tcW w:type="dxa" w:w="1300"/>
            <w:tcMar>
              <w:top w:type="dxa" w:w="60"/>
              <w:left w:type="dxa" w:w="80"/>
              <w:bottom w:type="dxa" w:w="60"/>
              <w:right w:type="dxa" w:w="80"/>
            </w:tcMar>
          </w:tcPr>
          <w:p>
            <w:r>
              <w:rPr>
                <w:b w:val="false"/>
                <w:bCs w:val="false"/>
                <w:color w:val="000000"/>
                <w:sz w:val="18"/>
                <w:szCs w:val="18"/>
              </w:rPr>
              <w:t xml:space="preserve">Rejet H0
significatif</w:t>
            </w:r>
          </w:p>
        </w:tc>
        <w:tc>
          <w:tcPr>
            <w:tcW w:type="dxa" w:w="3100"/>
            <w:tcMar>
              <w:top w:type="dxa" w:w="60"/>
              <w:left w:type="dxa" w:w="80"/>
              <w:bottom w:type="dxa" w:w="60"/>
              <w:right w:type="dxa" w:w="80"/>
            </w:tcMar>
          </w:tcPr>
          <w:p>
            <w:r>
              <w:rPr>
                <w:b w:val="false"/>
                <w:bCs w:val="false"/>
                <w:color w:val="000000"/>
                <w:sz w:val="18"/>
                <w:szCs w:val="18"/>
              </w:rPr>
              <w:t xml:space="preserve">88 % de pertes en sacs seuls, 60 % en mixte, 6 % en hermétique seul : confirme H2 sur les données déclaratives.</w:t>
            </w:r>
          </w:p>
        </w:tc>
      </w:tr>
    </w:tbl>
    <w:p>
      <w:pPr>
        <w:spacing w:after="160"/>
      </w:pPr>
    </w:p>
    <w:p>
      <w:pPr>
        <w:pStyle w:val="Heading1"/>
        <w:spacing w:after="160" w:before="360"/>
      </w:pPr>
      <w:r>
        <w:t xml:space="preserve">6. Facteurs déterminants</w:t>
      </w:r>
    </w:p>
    <w:p>
      <w:pPr>
        <w:pStyle w:val="Heading2"/>
        <w:spacing w:after="120" w:before="240"/>
      </w:pPr>
      <w:r>
        <w:t xml:space="preserve">6.1 Régression logistique — déclaration de pertes de stockage (n = 192)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100"/>
        <w:gridCol w:w="3900"/>
      </w:tblGrid>
      <w:tr>
        <w:trPr>
          <w:tblHeader/>
        </w:trPr>
        <w:tc>
          <w:tcPr>
            <w:tcW w:type="dxa" w:w="3400"/>
            <w:shd w:fill="264653" w:color="auto" w:val="clear"/>
            <w:tcMar>
              <w:top w:type="dxa" w:w="60"/>
              <w:left w:type="dxa" w:w="80"/>
              <w:bottom w:type="dxa" w:w="60"/>
              <w:right w:type="dxa" w:w="80"/>
            </w:tcMar>
          </w:tcPr>
          <w:p>
            <w:r>
              <w:rPr>
                <w:b/>
                <w:bCs/>
                <w:color w:val="FFFFFF"/>
                <w:sz w:val="18"/>
                <w:szCs w:val="18"/>
              </w:rPr>
              <w:t xml:space="preserve">Variable</w:t>
            </w:r>
          </w:p>
        </w:tc>
        <w:tc>
          <w:tcPr>
            <w:tcW w:type="dxa" w:w="1200"/>
            <w:shd w:fill="264653" w:color="auto" w:val="clear"/>
            <w:tcMar>
              <w:top w:type="dxa" w:w="60"/>
              <w:left w:type="dxa" w:w="80"/>
              <w:bottom w:type="dxa" w:w="60"/>
              <w:right w:type="dxa" w:w="80"/>
            </w:tcMar>
          </w:tcPr>
          <w:p>
            <w:r>
              <w:rPr>
                <w:b/>
                <w:bCs/>
                <w:color w:val="FFFFFF"/>
                <w:sz w:val="18"/>
                <w:szCs w:val="18"/>
              </w:rPr>
              <w:t xml:space="preserve">Odds ratio</w:t>
            </w:r>
          </w:p>
        </w:tc>
        <w:tc>
          <w:tcPr>
            <w:tcW w:type="dxa" w:w="1100"/>
            <w:shd w:fill="264653" w:color="auto" w:val="clear"/>
            <w:tcMar>
              <w:top w:type="dxa" w:w="60"/>
              <w:left w:type="dxa" w:w="80"/>
              <w:bottom w:type="dxa" w:w="60"/>
              <w:right w:type="dxa" w:w="80"/>
            </w:tcMar>
          </w:tcPr>
          <w:p>
            <w:r>
              <w:rPr>
                <w:b/>
                <w:bCs/>
                <w:color w:val="FFFFFF"/>
                <w:sz w:val="18"/>
                <w:szCs w:val="18"/>
              </w:rPr>
              <w:t xml:space="preserve">p-value</w:t>
            </w:r>
          </w:p>
        </w:tc>
        <w:tc>
          <w:tcPr>
            <w:tcW w:type="dxa" w:w="3900"/>
            <w:shd w:fill="264653" w:color="auto" w:val="clear"/>
            <w:tcMar>
              <w:top w:type="dxa" w:w="60"/>
              <w:left w:type="dxa" w:w="80"/>
              <w:bottom w:type="dxa" w:w="60"/>
              <w:right w:type="dxa" w:w="80"/>
            </w:tcMar>
          </w:tcPr>
          <w:p>
            <w:r>
              <w:rPr>
                <w:b/>
                <w:bCs/>
                <w:color w:val="FFFFFF"/>
                <w:sz w:val="18"/>
                <w:szCs w:val="18"/>
              </w:rPr>
              <w:t xml:space="preserve">Lecture</w:t>
            </w:r>
          </w:p>
        </w:tc>
      </w:tr>
      <w:tr>
        <w:tc>
          <w:tcPr>
            <w:tcW w:type="dxa" w:w="3400"/>
            <w:tcMar>
              <w:top w:type="dxa" w:w="60"/>
              <w:left w:type="dxa" w:w="80"/>
              <w:bottom w:type="dxa" w:w="60"/>
              <w:right w:type="dxa" w:w="80"/>
            </w:tcMar>
          </w:tcPr>
          <w:p>
            <w:r>
              <w:rPr>
                <w:b w:val="false"/>
                <w:bCs w:val="false"/>
                <w:color w:val="000000"/>
                <w:sz w:val="18"/>
                <w:szCs w:val="18"/>
              </w:rPr>
              <w:t xml:space="preserve">Contenant hermétique (fût/bidon)</w:t>
            </w:r>
          </w:p>
        </w:tc>
        <w:tc>
          <w:tcPr>
            <w:tcW w:type="dxa" w:w="1200"/>
            <w:tcMar>
              <w:top w:type="dxa" w:w="60"/>
              <w:left w:type="dxa" w:w="80"/>
              <w:bottom w:type="dxa" w:w="60"/>
              <w:right w:type="dxa" w:w="80"/>
            </w:tcMar>
          </w:tcPr>
          <w:p>
            <w:r>
              <w:rPr>
                <w:b w:val="false"/>
                <w:bCs w:val="false"/>
                <w:color w:val="000000"/>
                <w:sz w:val="18"/>
                <w:szCs w:val="18"/>
              </w:rPr>
              <w:t xml:space="preserve">0,10</w:t>
            </w:r>
          </w:p>
        </w:tc>
        <w:tc>
          <w:tcPr>
            <w:tcW w:type="dxa" w:w="1100"/>
            <w:tcMar>
              <w:top w:type="dxa" w:w="60"/>
              <w:left w:type="dxa" w:w="80"/>
              <w:bottom w:type="dxa" w:w="60"/>
              <w:right w:type="dxa" w:w="80"/>
            </w:tcMar>
          </w:tcPr>
          <w:p>
            <w:r>
              <w:rPr>
                <w:b w:val="false"/>
                <w:bCs w:val="false"/>
                <w:color w:val="000000"/>
                <w:sz w:val="18"/>
                <w:szCs w:val="18"/>
              </w:rPr>
              <w:t xml:space="preserve">&lt; 0,001</w:t>
            </w:r>
          </w:p>
        </w:tc>
        <w:tc>
          <w:tcPr>
            <w:tcW w:type="dxa" w:w="3900"/>
            <w:tcMar>
              <w:top w:type="dxa" w:w="60"/>
              <w:left w:type="dxa" w:w="80"/>
              <w:bottom w:type="dxa" w:w="60"/>
              <w:right w:type="dxa" w:w="80"/>
            </w:tcMar>
          </w:tcPr>
          <w:p>
            <w:r>
              <w:rPr>
                <w:b w:val="false"/>
                <w:bCs w:val="false"/>
                <w:color w:val="000000"/>
                <w:sz w:val="18"/>
                <w:szCs w:val="18"/>
              </w:rPr>
              <w:t xml:space="preserve">Divise par 10 les chances de déclarer des pertes</w:t>
            </w:r>
          </w:p>
        </w:tc>
      </w:tr>
      <w:tr>
        <w:tc>
          <w:tcPr>
            <w:tcW w:type="dxa" w:w="3400"/>
            <w:tcMar>
              <w:top w:type="dxa" w:w="60"/>
              <w:left w:type="dxa" w:w="80"/>
              <w:bottom w:type="dxa" w:w="60"/>
              <w:right w:type="dxa" w:w="80"/>
            </w:tcMar>
          </w:tcPr>
          <w:p>
            <w:r>
              <w:rPr>
                <w:b w:val="false"/>
                <w:bCs w:val="false"/>
                <w:color w:val="000000"/>
                <w:sz w:val="18"/>
                <w:szCs w:val="18"/>
              </w:rPr>
              <w:t xml:space="preserve">Traitement chimique</w:t>
            </w:r>
          </w:p>
        </w:tc>
        <w:tc>
          <w:tcPr>
            <w:tcW w:type="dxa" w:w="1200"/>
            <w:tcMar>
              <w:top w:type="dxa" w:w="60"/>
              <w:left w:type="dxa" w:w="80"/>
              <w:bottom w:type="dxa" w:w="60"/>
              <w:right w:type="dxa" w:w="80"/>
            </w:tcMar>
          </w:tcPr>
          <w:p>
            <w:r>
              <w:rPr>
                <w:b w:val="false"/>
                <w:bCs w:val="false"/>
                <w:color w:val="000000"/>
                <w:sz w:val="18"/>
                <w:szCs w:val="18"/>
              </w:rPr>
              <w:t xml:space="preserve">1,29</w:t>
            </w:r>
          </w:p>
        </w:tc>
        <w:tc>
          <w:tcPr>
            <w:tcW w:type="dxa" w:w="1100"/>
            <w:tcMar>
              <w:top w:type="dxa" w:w="60"/>
              <w:left w:type="dxa" w:w="80"/>
              <w:bottom w:type="dxa" w:w="60"/>
              <w:right w:type="dxa" w:w="80"/>
            </w:tcMar>
          </w:tcPr>
          <w:p>
            <w:r>
              <w:rPr>
                <w:b w:val="false"/>
                <w:bCs w:val="false"/>
                <w:color w:val="000000"/>
                <w:sz w:val="18"/>
                <w:szCs w:val="18"/>
              </w:rPr>
              <w:t xml:space="preserve">0,71</w:t>
            </w:r>
          </w:p>
        </w:tc>
        <w:tc>
          <w:tcPr>
            <w:tcW w:type="dxa" w:w="3900"/>
            <w:tcMar>
              <w:top w:type="dxa" w:w="60"/>
              <w:left w:type="dxa" w:w="80"/>
              <w:bottom w:type="dxa" w:w="60"/>
              <w:right w:type="dxa" w:w="80"/>
            </w:tcMar>
          </w:tcPr>
          <w:p>
            <w:r>
              <w:rPr>
                <w:b w:val="false"/>
                <w:bCs w:val="false"/>
                <w:color w:val="000000"/>
                <w:sz w:val="18"/>
                <w:szCs w:val="18"/>
              </w:rPr>
              <w:t xml:space="preserve">Aucun effet propre</w:t>
            </w:r>
          </w:p>
        </w:tc>
      </w:tr>
      <w:tr>
        <w:tc>
          <w:tcPr>
            <w:tcW w:type="dxa" w:w="3400"/>
            <w:tcMar>
              <w:top w:type="dxa" w:w="60"/>
              <w:left w:type="dxa" w:w="80"/>
              <w:bottom w:type="dxa" w:w="60"/>
              <w:right w:type="dxa" w:w="80"/>
            </w:tcMar>
          </w:tcPr>
          <w:p>
            <w:r>
              <w:rPr>
                <w:b w:val="false"/>
                <w:bCs w:val="false"/>
                <w:color w:val="000000"/>
                <w:sz w:val="18"/>
                <w:szCs w:val="18"/>
              </w:rPr>
              <w:t xml:space="preserve">Commune : Keur Samba Guèye (réf. Keur Saloum Diané)</w:t>
            </w:r>
          </w:p>
        </w:tc>
        <w:tc>
          <w:tcPr>
            <w:tcW w:type="dxa" w:w="1200"/>
            <w:tcMar>
              <w:top w:type="dxa" w:w="60"/>
              <w:left w:type="dxa" w:w="80"/>
              <w:bottom w:type="dxa" w:w="60"/>
              <w:right w:type="dxa" w:w="80"/>
            </w:tcMar>
          </w:tcPr>
          <w:p>
            <w:r>
              <w:rPr>
                <w:b w:val="false"/>
                <w:bCs w:val="false"/>
                <w:color w:val="000000"/>
                <w:sz w:val="18"/>
                <w:szCs w:val="18"/>
              </w:rPr>
              <w:t xml:space="preserve">0,31</w:t>
            </w:r>
          </w:p>
        </w:tc>
        <w:tc>
          <w:tcPr>
            <w:tcW w:type="dxa" w:w="1100"/>
            <w:tcMar>
              <w:top w:type="dxa" w:w="60"/>
              <w:left w:type="dxa" w:w="80"/>
              <w:bottom w:type="dxa" w:w="60"/>
              <w:right w:type="dxa" w:w="80"/>
            </w:tcMar>
          </w:tcPr>
          <w:p>
            <w:r>
              <w:rPr>
                <w:b w:val="false"/>
                <w:bCs w:val="false"/>
                <w:color w:val="000000"/>
                <w:sz w:val="18"/>
                <w:szCs w:val="18"/>
              </w:rPr>
              <w:t xml:space="preserve">0,07</w:t>
            </w:r>
          </w:p>
        </w:tc>
        <w:tc>
          <w:tcPr>
            <w:tcW w:type="dxa" w:w="3900"/>
            <w:tcMar>
              <w:top w:type="dxa" w:w="60"/>
              <w:left w:type="dxa" w:w="80"/>
              <w:bottom w:type="dxa" w:w="60"/>
              <w:right w:type="dxa" w:w="80"/>
            </w:tcMar>
          </w:tcPr>
          <w:p>
            <w:r>
              <w:rPr>
                <w:b w:val="false"/>
                <w:bCs w:val="false"/>
                <w:color w:val="000000"/>
                <w:sz w:val="18"/>
                <w:szCs w:val="18"/>
              </w:rPr>
              <w:t xml:space="preserve">Effet atténué : expliqué par les contenants</w:t>
            </w:r>
          </w:p>
        </w:tc>
      </w:tr>
      <w:tr>
        <w:tc>
          <w:tcPr>
            <w:tcW w:type="dxa" w:w="3400"/>
            <w:tcMar>
              <w:top w:type="dxa" w:w="60"/>
              <w:left w:type="dxa" w:w="80"/>
              <w:bottom w:type="dxa" w:w="60"/>
              <w:right w:type="dxa" w:w="80"/>
            </w:tcMar>
          </w:tcPr>
          <w:p>
            <w:r>
              <w:rPr>
                <w:b w:val="false"/>
                <w:bCs w:val="false"/>
                <w:color w:val="000000"/>
                <w:sz w:val="18"/>
                <w:szCs w:val="18"/>
              </w:rPr>
              <w:t xml:space="preserve">Champignons dans le stock</w:t>
            </w:r>
          </w:p>
        </w:tc>
        <w:tc>
          <w:tcPr>
            <w:tcW w:type="dxa" w:w="1200"/>
            <w:tcMar>
              <w:top w:type="dxa" w:w="60"/>
              <w:left w:type="dxa" w:w="80"/>
              <w:bottom w:type="dxa" w:w="60"/>
              <w:right w:type="dxa" w:w="80"/>
            </w:tcMar>
          </w:tcPr>
          <w:p>
            <w:r>
              <w:rPr>
                <w:b w:val="false"/>
                <w:bCs w:val="false"/>
                <w:color w:val="000000"/>
                <w:sz w:val="18"/>
                <w:szCs w:val="18"/>
              </w:rPr>
              <w:t xml:space="preserve">2,55</w:t>
            </w:r>
          </w:p>
        </w:tc>
        <w:tc>
          <w:tcPr>
            <w:tcW w:type="dxa" w:w="1100"/>
            <w:tcMar>
              <w:top w:type="dxa" w:w="60"/>
              <w:left w:type="dxa" w:w="80"/>
              <w:bottom w:type="dxa" w:w="60"/>
              <w:right w:type="dxa" w:w="80"/>
            </w:tcMar>
          </w:tcPr>
          <w:p>
            <w:r>
              <w:rPr>
                <w:b w:val="false"/>
                <w:bCs w:val="false"/>
                <w:color w:val="000000"/>
                <w:sz w:val="18"/>
                <w:szCs w:val="18"/>
              </w:rPr>
              <w:t xml:space="preserve">0,04</w:t>
            </w:r>
          </w:p>
        </w:tc>
        <w:tc>
          <w:tcPr>
            <w:tcW w:type="dxa" w:w="3900"/>
            <w:tcMar>
              <w:top w:type="dxa" w:w="60"/>
              <w:left w:type="dxa" w:w="80"/>
              <w:bottom w:type="dxa" w:w="60"/>
              <w:right w:type="dxa" w:w="80"/>
            </w:tcMar>
          </w:tcPr>
          <w:p>
            <w:r>
              <w:rPr>
                <w:b w:val="false"/>
                <w:bCs w:val="false"/>
                <w:color w:val="000000"/>
                <w:sz w:val="18"/>
                <w:szCs w:val="18"/>
              </w:rPr>
              <w:t xml:space="preserve">Séchage insuffisant → pertes</w:t>
            </w:r>
          </w:p>
        </w:tc>
      </w:tr>
      <w:tr>
        <w:tc>
          <w:tcPr>
            <w:tcW w:type="dxa" w:w="3400"/>
            <w:tcMar>
              <w:top w:type="dxa" w:w="60"/>
              <w:left w:type="dxa" w:w="80"/>
              <w:bottom w:type="dxa" w:w="60"/>
              <w:right w:type="dxa" w:w="80"/>
            </w:tcMar>
          </w:tcPr>
          <w:p>
            <w:r>
              <w:rPr>
                <w:b w:val="false"/>
                <w:bCs w:val="false"/>
                <w:color w:val="000000"/>
                <w:sz w:val="18"/>
                <w:szCs w:val="18"/>
              </w:rPr>
              <w:t xml:space="preserve">Volume stocké (log), durée &gt; 6 mois, formation, âge, rongeurs</w:t>
            </w:r>
          </w:p>
        </w:tc>
        <w:tc>
          <w:tcPr>
            <w:tcW w:type="dxa" w:w="1200"/>
            <w:tcMar>
              <w:top w:type="dxa" w:w="60"/>
              <w:left w:type="dxa" w:w="80"/>
              <w:bottom w:type="dxa" w:w="60"/>
              <w:right w:type="dxa" w:w="80"/>
            </w:tcMar>
          </w:tcPr>
          <w:p>
            <w:r>
              <w:rPr>
                <w:b w:val="false"/>
                <w:bCs w:val="false"/>
                <w:color w:val="000000"/>
                <w:sz w:val="18"/>
                <w:szCs w:val="18"/>
              </w:rPr>
              <w:t xml:space="preserve">–</w:t>
            </w:r>
          </w:p>
        </w:tc>
        <w:tc>
          <w:tcPr>
            <w:tcW w:type="dxa" w:w="1100"/>
            <w:tcMar>
              <w:top w:type="dxa" w:w="60"/>
              <w:left w:type="dxa" w:w="80"/>
              <w:bottom w:type="dxa" w:w="60"/>
              <w:right w:type="dxa" w:w="80"/>
            </w:tcMar>
          </w:tcPr>
          <w:p>
            <w:r>
              <w:rPr>
                <w:b w:val="false"/>
                <w:bCs w:val="false"/>
                <w:color w:val="000000"/>
                <w:sz w:val="18"/>
                <w:szCs w:val="18"/>
              </w:rPr>
              <w:t xml:space="preserve">&gt; 0,10</w:t>
            </w:r>
          </w:p>
        </w:tc>
        <w:tc>
          <w:tcPr>
            <w:tcW w:type="dxa" w:w="3900"/>
            <w:tcMar>
              <w:top w:type="dxa" w:w="60"/>
              <w:left w:type="dxa" w:w="80"/>
              <w:bottom w:type="dxa" w:w="60"/>
              <w:right w:type="dxa" w:w="80"/>
            </w:tcMar>
          </w:tcPr>
          <w:p>
            <w:r>
              <w:rPr>
                <w:b w:val="false"/>
                <w:bCs w:val="false"/>
                <w:color w:val="000000"/>
                <w:sz w:val="18"/>
                <w:szCs w:val="18"/>
              </w:rPr>
              <w:t xml:space="preserve">Non significatifs</w:t>
            </w:r>
          </w:p>
        </w:tc>
      </w:tr>
    </w:tbl>
    <w:p>
      <w:pPr>
        <w:spacing w:after="120"/>
      </w:pPr>
      <w:r>
        <w:t xml:space="preserve">Pseudo-R² = 0,31 ; AUC en validation croisée = 0,77 (régression logistique) / 0,73 (Random Forest).</w:t>
      </w:r>
    </w:p>
    <w:p>
      <w:pPr>
        <w:spacing w:after="60" w:before="120"/>
        <w:jc w:val="center"/>
      </w:pPr>
      <w:r>
        <w:drawing>
          <wp:inline distT="0" distB="0" distL="0" distR="0">
            <wp:extent cx="4762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00350"/>
                    </a:xfrm>
                    <a:prstGeom prst="rect">
                      <a:avLst/>
                    </a:prstGeom>
                  </pic:spPr>
                </pic:pic>
              </a:graphicData>
            </a:graphic>
          </wp:inline>
        </w:drawing>
      </w:r>
    </w:p>
    <w:p>
      <w:pPr>
        <w:spacing w:after="200"/>
        <w:jc w:val="center"/>
      </w:pPr>
      <w:r>
        <w:rPr>
          <w:i/>
          <w:iCs/>
          <w:color w:val="555555"/>
          <w:sz w:val="18"/>
          <w:szCs w:val="18"/>
        </w:rPr>
        <w:t xml:space="preserve">Figure 8 — Importance des variables (Random Forest) — pertes déclarées</w:t>
      </w:r>
    </w:p>
    <w:p>
      <w:pPr>
        <w:pStyle w:val="Heading2"/>
        <w:spacing w:after="120" w:before="240"/>
      </w:pPr>
      <w:r>
        <w:t xml:space="preserve">6.2 Modèles sur les pertes mesurées (192 lots)</w:t>
      </w:r>
    </w:p>
    <w:p>
      <w:pPr>
        <w:spacing w:after="120"/>
      </w:pPr>
      <w:r>
        <w:t xml:space="preserve">Régression linéaire (erreurs robustes HC3, R² = 0,22) : décortiqué +7,7 points (p &lt; 0,001) ; contenant hermétique −3,8 points (p = 0,026) ; taille du lot −1,9 point par unité de log (p = 0,008, en partie artefact de résolution). Le traitement chimique ressort avec un coefficient positif (+10,5 points) : les 38 lots non traités n'ont enregistré aucune perte — ils sont majoritairement en bidon/fût ou de petite taille suivis de près. Ce résultat ne démontre pas un effet nocif du traitement, mais montre que le traitement chimique en sacs ne protège pas suffisamment. Random Forest : R² validé = 0,55 ; hiérarchie des facteurs : traitement/contenant → nature du produit → taille du lot.</w:t>
      </w:r>
    </w:p>
    <w:p>
      <w:pPr>
        <w:spacing w:after="6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i/>
          <w:iCs/>
          <w:color w:val="555555"/>
          <w:sz w:val="18"/>
          <w:szCs w:val="18"/>
        </w:rPr>
        <w:t xml:space="preserve">Figure 9 — Importance des variables (Random Forest) — taux de perte mesuré</w:t>
      </w:r>
    </w:p>
    <w:p>
      <w:pPr>
        <w:pStyle w:val="Heading2"/>
        <w:spacing w:after="120" w:before="240"/>
      </w:pPr>
      <w:r>
        <w:t xml:space="preserve">6.3 Classement des facteurs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2800"/>
      </w:tblGrid>
      <w:tr>
        <w:trPr>
          <w:tblHeader/>
        </w:trPr>
        <w:tc>
          <w:tcPr>
            <w:tcW w:type="dxa" w:w="600"/>
            <w:shd w:fill="264653" w:color="auto" w:val="clear"/>
            <w:tcMar>
              <w:top w:type="dxa" w:w="60"/>
              <w:left w:type="dxa" w:w="80"/>
              <w:bottom w:type="dxa" w:w="60"/>
              <w:right w:type="dxa" w:w="80"/>
            </w:tcMar>
          </w:tcPr>
          <w:p>
            <w:r>
              <w:rPr>
                <w:b/>
                <w:bCs/>
                <w:color w:val="FFFFFF"/>
                <w:sz w:val="18"/>
                <w:szCs w:val="18"/>
              </w:rPr>
              <w:t xml:space="preserve">Rang</w:t>
            </w:r>
          </w:p>
        </w:tc>
        <w:tc>
          <w:tcPr>
            <w:tcW w:type="dxa" w:w="3000"/>
            <w:shd w:fill="264653" w:color="auto" w:val="clear"/>
            <w:tcMar>
              <w:top w:type="dxa" w:w="60"/>
              <w:left w:type="dxa" w:w="80"/>
              <w:bottom w:type="dxa" w:w="60"/>
              <w:right w:type="dxa" w:w="80"/>
            </w:tcMar>
          </w:tcPr>
          <w:p>
            <w:r>
              <w:rPr>
                <w:b/>
                <w:bCs/>
                <w:color w:val="FFFFFF"/>
                <w:sz w:val="18"/>
                <w:szCs w:val="18"/>
              </w:rPr>
              <w:t xml:space="preserve">Facteur</w:t>
            </w:r>
          </w:p>
        </w:tc>
        <w:tc>
          <w:tcPr>
            <w:tcW w:type="dxa" w:w="3200"/>
            <w:shd w:fill="264653" w:color="auto" w:val="clear"/>
            <w:tcMar>
              <w:top w:type="dxa" w:w="60"/>
              <w:left w:type="dxa" w:w="80"/>
              <w:bottom w:type="dxa" w:w="60"/>
              <w:right w:type="dxa" w:w="80"/>
            </w:tcMar>
          </w:tcPr>
          <w:p>
            <w:r>
              <w:rPr>
                <w:b/>
                <w:bCs/>
                <w:color w:val="FFFFFF"/>
                <w:sz w:val="18"/>
                <w:szCs w:val="18"/>
              </w:rPr>
              <w:t xml:space="preserve">Effet</w:t>
            </w:r>
          </w:p>
        </w:tc>
        <w:tc>
          <w:tcPr>
            <w:tcW w:type="dxa" w:w="2800"/>
            <w:shd w:fill="264653" w:color="auto" w:val="clear"/>
            <w:tcMar>
              <w:top w:type="dxa" w:w="60"/>
              <w:left w:type="dxa" w:w="80"/>
              <w:bottom w:type="dxa" w:w="60"/>
              <w:right w:type="dxa" w:w="80"/>
            </w:tcMar>
          </w:tcPr>
          <w:p>
            <w:r>
              <w:rPr>
                <w:b/>
                <w:bCs/>
                <w:color w:val="FFFFFF"/>
                <w:sz w:val="18"/>
                <w:szCs w:val="18"/>
              </w:rPr>
              <w:t xml:space="preserve">Preuve</w:t>
            </w:r>
          </w:p>
        </w:tc>
      </w:tr>
      <w:tr>
        <w:tc>
          <w:tcPr>
            <w:tcW w:type="dxa" w:w="600"/>
            <w:tcMar>
              <w:top w:type="dxa" w:w="60"/>
              <w:left w:type="dxa" w:w="80"/>
              <w:bottom w:type="dxa" w:w="60"/>
              <w:right w:type="dxa" w:w="80"/>
            </w:tcMar>
          </w:tcPr>
          <w:p>
            <w:r>
              <w:rPr>
                <w:b w:val="false"/>
                <w:bCs w:val="false"/>
                <w:color w:val="000000"/>
                <w:sz w:val="18"/>
                <w:szCs w:val="18"/>
              </w:rPr>
              <w:t xml:space="preserve">1</w:t>
            </w:r>
          </w:p>
        </w:tc>
        <w:tc>
          <w:tcPr>
            <w:tcW w:type="dxa" w:w="3000"/>
            <w:tcMar>
              <w:top w:type="dxa" w:w="60"/>
              <w:left w:type="dxa" w:w="80"/>
              <w:bottom w:type="dxa" w:w="60"/>
              <w:right w:type="dxa" w:w="80"/>
            </w:tcMar>
          </w:tcPr>
          <w:p>
            <w:r>
              <w:rPr>
                <w:b w:val="false"/>
                <w:bCs w:val="false"/>
                <w:color w:val="000000"/>
                <w:sz w:val="18"/>
                <w:szCs w:val="18"/>
              </w:rPr>
              <w:t xml:space="preserve">Contenant hermétique (bidon / fût)</w:t>
            </w:r>
          </w:p>
        </w:tc>
        <w:tc>
          <w:tcPr>
            <w:tcW w:type="dxa" w:w="3200"/>
            <w:tcMar>
              <w:top w:type="dxa" w:w="60"/>
              <w:left w:type="dxa" w:w="80"/>
              <w:bottom w:type="dxa" w:w="60"/>
              <w:right w:type="dxa" w:w="80"/>
            </w:tcMar>
          </w:tcPr>
          <w:p>
            <w:r>
              <w:rPr>
                <w:b w:val="false"/>
                <w:bCs w:val="false"/>
                <w:color w:val="000000"/>
                <w:sz w:val="18"/>
                <w:szCs w:val="18"/>
              </w:rPr>
              <w:t xml:space="preserve">−10,8 pts de perte mesurée (décortiqué) ; OR ≈ 0,1 sur pertes déclarées</w:t>
            </w:r>
          </w:p>
        </w:tc>
        <w:tc>
          <w:tcPr>
            <w:tcW w:type="dxa" w:w="2800"/>
            <w:tcMar>
              <w:top w:type="dxa" w:w="60"/>
              <w:left w:type="dxa" w:w="80"/>
              <w:bottom w:type="dxa" w:w="60"/>
              <w:right w:type="dxa" w:w="80"/>
            </w:tcMar>
          </w:tcPr>
          <w:p>
            <w:r>
              <w:rPr>
                <w:b w:val="false"/>
                <w:bCs w:val="false"/>
                <w:color w:val="000000"/>
                <w:sz w:val="18"/>
                <w:szCs w:val="18"/>
              </w:rPr>
              <w:t xml:space="preserve">Mann-Whitney p &lt; 0,0001 ; logit p &lt; 0,001</w:t>
            </w:r>
          </w:p>
        </w:tc>
      </w:tr>
      <w:tr>
        <w:tc>
          <w:tcPr>
            <w:tcW w:type="dxa" w:w="600"/>
            <w:tcMar>
              <w:top w:type="dxa" w:w="60"/>
              <w:left w:type="dxa" w:w="80"/>
              <w:bottom w:type="dxa" w:w="60"/>
              <w:right w:type="dxa" w:w="80"/>
            </w:tcMar>
          </w:tcPr>
          <w:p>
            <w:r>
              <w:rPr>
                <w:b w:val="false"/>
                <w:bCs w:val="false"/>
                <w:color w:val="000000"/>
                <w:sz w:val="18"/>
                <w:szCs w:val="18"/>
              </w:rPr>
              <w:t xml:space="preserve">2</w:t>
            </w:r>
          </w:p>
        </w:tc>
        <w:tc>
          <w:tcPr>
            <w:tcW w:type="dxa" w:w="3000"/>
            <w:tcMar>
              <w:top w:type="dxa" w:w="60"/>
              <w:left w:type="dxa" w:w="80"/>
              <w:bottom w:type="dxa" w:w="60"/>
              <w:right w:type="dxa" w:w="80"/>
            </w:tcMar>
          </w:tcPr>
          <w:p>
            <w:r>
              <w:rPr>
                <w:b w:val="false"/>
                <w:bCs w:val="false"/>
                <w:color w:val="000000"/>
                <w:sz w:val="18"/>
                <w:szCs w:val="18"/>
              </w:rPr>
              <w:t xml:space="preserve">Nature du produit (décortiqué vs gousses)</w:t>
            </w:r>
          </w:p>
        </w:tc>
        <w:tc>
          <w:tcPr>
            <w:tcW w:type="dxa" w:w="3200"/>
            <w:tcMar>
              <w:top w:type="dxa" w:w="60"/>
              <w:left w:type="dxa" w:w="80"/>
              <w:bottom w:type="dxa" w:w="60"/>
              <w:right w:type="dxa" w:w="80"/>
            </w:tcMar>
          </w:tcPr>
          <w:p>
            <w:r>
              <w:rPr>
                <w:b w:val="false"/>
                <w:bCs w:val="false"/>
                <w:color w:val="000000"/>
                <w:sz w:val="18"/>
                <w:szCs w:val="18"/>
              </w:rPr>
              <w:t xml:space="preserve">+4 pts</w:t>
            </w:r>
          </w:p>
        </w:tc>
        <w:tc>
          <w:tcPr>
            <w:tcW w:type="dxa" w:w="2800"/>
            <w:tcMar>
              <w:top w:type="dxa" w:w="60"/>
              <w:left w:type="dxa" w:w="80"/>
              <w:bottom w:type="dxa" w:w="60"/>
              <w:right w:type="dxa" w:w="80"/>
            </w:tcMar>
          </w:tcPr>
          <w:p>
            <w:r>
              <w:rPr>
                <w:b w:val="false"/>
                <w:bCs w:val="false"/>
                <w:color w:val="000000"/>
                <w:sz w:val="18"/>
                <w:szCs w:val="18"/>
              </w:rPr>
              <w:t xml:space="preserve">Wilcoxon apparié p = 0,003</w:t>
            </w:r>
          </w:p>
        </w:tc>
      </w:tr>
      <w:tr>
        <w:tc>
          <w:tcPr>
            <w:tcW w:type="dxa" w:w="600"/>
            <w:tcMar>
              <w:top w:type="dxa" w:w="60"/>
              <w:left w:type="dxa" w:w="80"/>
              <w:bottom w:type="dxa" w:w="60"/>
              <w:right w:type="dxa" w:w="80"/>
            </w:tcMar>
          </w:tcPr>
          <w:p>
            <w:r>
              <w:rPr>
                <w:b w:val="false"/>
                <w:bCs w:val="false"/>
                <w:color w:val="000000"/>
                <w:sz w:val="18"/>
                <w:szCs w:val="18"/>
              </w:rPr>
              <w:t xml:space="preserve">3</w:t>
            </w:r>
          </w:p>
        </w:tc>
        <w:tc>
          <w:tcPr>
            <w:tcW w:type="dxa" w:w="3000"/>
            <w:tcMar>
              <w:top w:type="dxa" w:w="60"/>
              <w:left w:type="dxa" w:w="80"/>
              <w:bottom w:type="dxa" w:w="60"/>
              <w:right w:type="dxa" w:w="80"/>
            </w:tcMar>
          </w:tcPr>
          <w:p>
            <w:r>
              <w:rPr>
                <w:b w:val="false"/>
                <w:bCs w:val="false"/>
                <w:color w:val="000000"/>
                <w:sz w:val="18"/>
                <w:szCs w:val="18"/>
              </w:rPr>
              <w:t xml:space="preserve">Type de traitement (perles + poudre vs perles seules)</w:t>
            </w:r>
          </w:p>
        </w:tc>
        <w:tc>
          <w:tcPr>
            <w:tcW w:type="dxa" w:w="3200"/>
            <w:tcMar>
              <w:top w:type="dxa" w:w="60"/>
              <w:left w:type="dxa" w:w="80"/>
              <w:bottom w:type="dxa" w:w="60"/>
              <w:right w:type="dxa" w:w="80"/>
            </w:tcMar>
          </w:tcPr>
          <w:p>
            <w:r>
              <w:rPr>
                <w:b w:val="false"/>
                <w:bCs w:val="false"/>
                <w:color w:val="000000"/>
                <w:sz w:val="18"/>
                <w:szCs w:val="18"/>
              </w:rPr>
              <w:t xml:space="preserve">−4,6 pts sur gousses</w:t>
            </w:r>
          </w:p>
        </w:tc>
        <w:tc>
          <w:tcPr>
            <w:tcW w:type="dxa" w:w="2800"/>
            <w:tcMar>
              <w:top w:type="dxa" w:w="60"/>
              <w:left w:type="dxa" w:w="80"/>
              <w:bottom w:type="dxa" w:w="60"/>
              <w:right w:type="dxa" w:w="80"/>
            </w:tcMar>
          </w:tcPr>
          <w:p>
            <w:r>
              <w:rPr>
                <w:b w:val="false"/>
                <w:bCs w:val="false"/>
                <w:color w:val="000000"/>
                <w:sz w:val="18"/>
                <w:szCs w:val="18"/>
              </w:rPr>
              <w:t xml:space="preserve">Kruskal p = 0,012 ; MW p = 0,007</w:t>
            </w:r>
          </w:p>
        </w:tc>
      </w:tr>
      <w:tr>
        <w:tc>
          <w:tcPr>
            <w:tcW w:type="dxa" w:w="600"/>
            <w:tcMar>
              <w:top w:type="dxa" w:w="60"/>
              <w:left w:type="dxa" w:w="80"/>
              <w:bottom w:type="dxa" w:w="60"/>
              <w:right w:type="dxa" w:w="80"/>
            </w:tcMar>
          </w:tcPr>
          <w:p>
            <w:r>
              <w:rPr>
                <w:b w:val="false"/>
                <w:bCs w:val="false"/>
                <w:color w:val="000000"/>
                <w:sz w:val="18"/>
                <w:szCs w:val="18"/>
              </w:rPr>
              <w:t xml:space="preserve">4</w:t>
            </w:r>
          </w:p>
        </w:tc>
        <w:tc>
          <w:tcPr>
            <w:tcW w:type="dxa" w:w="3000"/>
            <w:tcMar>
              <w:top w:type="dxa" w:w="60"/>
              <w:left w:type="dxa" w:w="80"/>
              <w:bottom w:type="dxa" w:w="60"/>
              <w:right w:type="dxa" w:w="80"/>
            </w:tcMar>
          </w:tcPr>
          <w:p>
            <w:r>
              <w:rPr>
                <w:b w:val="false"/>
                <w:bCs w:val="false"/>
                <w:color w:val="000000"/>
                <w:sz w:val="18"/>
                <w:szCs w:val="18"/>
              </w:rPr>
              <w:t xml:space="preserve">Volume stocké / taille d'exploitation</w:t>
            </w:r>
          </w:p>
        </w:tc>
        <w:tc>
          <w:tcPr>
            <w:tcW w:type="dxa" w:w="3200"/>
            <w:tcMar>
              <w:top w:type="dxa" w:w="60"/>
              <w:left w:type="dxa" w:w="80"/>
              <w:bottom w:type="dxa" w:w="60"/>
              <w:right w:type="dxa" w:w="80"/>
            </w:tcMar>
          </w:tcPr>
          <w:p>
            <w:r>
              <w:rPr>
                <w:b w:val="false"/>
                <w:bCs w:val="false"/>
                <w:color w:val="000000"/>
                <w:sz w:val="18"/>
                <w:szCs w:val="18"/>
              </w:rPr>
              <w:t xml:space="preserve">Pertes monétaires ↑ (ρ = 0,38) ; pas d'effet sur le taux</w:t>
            </w:r>
          </w:p>
        </w:tc>
        <w:tc>
          <w:tcPr>
            <w:tcW w:type="dxa" w:w="2800"/>
            <w:tcMar>
              <w:top w:type="dxa" w:w="60"/>
              <w:left w:type="dxa" w:w="80"/>
              <w:bottom w:type="dxa" w:w="60"/>
              <w:right w:type="dxa" w:w="80"/>
            </w:tcMar>
          </w:tcPr>
          <w:p>
            <w:r>
              <w:rPr>
                <w:b w:val="false"/>
                <w:bCs w:val="false"/>
                <w:color w:val="000000"/>
                <w:sz w:val="18"/>
                <w:szCs w:val="18"/>
              </w:rPr>
              <w:t xml:space="preserve">Spearman p &lt; 0,0001</w:t>
            </w:r>
          </w:p>
        </w:tc>
      </w:tr>
      <w:tr>
        <w:tc>
          <w:tcPr>
            <w:tcW w:type="dxa" w:w="600"/>
            <w:tcMar>
              <w:top w:type="dxa" w:w="60"/>
              <w:left w:type="dxa" w:w="80"/>
              <w:bottom w:type="dxa" w:w="60"/>
              <w:right w:type="dxa" w:w="80"/>
            </w:tcMar>
          </w:tcPr>
          <w:p>
            <w:r>
              <w:rPr>
                <w:b w:val="false"/>
                <w:bCs w:val="false"/>
                <w:color w:val="000000"/>
                <w:sz w:val="18"/>
                <w:szCs w:val="18"/>
              </w:rPr>
              <w:t xml:space="preserve">5</w:t>
            </w:r>
          </w:p>
        </w:tc>
        <w:tc>
          <w:tcPr>
            <w:tcW w:type="dxa" w:w="3000"/>
            <w:tcMar>
              <w:top w:type="dxa" w:w="60"/>
              <w:left w:type="dxa" w:w="80"/>
              <w:bottom w:type="dxa" w:w="60"/>
              <w:right w:type="dxa" w:w="80"/>
            </w:tcMar>
          </w:tcPr>
          <w:p>
            <w:r>
              <w:rPr>
                <w:b w:val="false"/>
                <w:bCs w:val="false"/>
                <w:color w:val="000000"/>
                <w:sz w:val="18"/>
                <w:szCs w:val="18"/>
              </w:rPr>
              <w:t xml:space="preserve">Commune</w:t>
            </w:r>
          </w:p>
        </w:tc>
        <w:tc>
          <w:tcPr>
            <w:tcW w:type="dxa" w:w="3200"/>
            <w:tcMar>
              <w:top w:type="dxa" w:w="60"/>
              <w:left w:type="dxa" w:w="80"/>
              <w:bottom w:type="dxa" w:w="60"/>
              <w:right w:type="dxa" w:w="80"/>
            </w:tcMar>
          </w:tcPr>
          <w:p>
            <w:r>
              <w:rPr>
                <w:b w:val="false"/>
                <w:bCs w:val="false"/>
                <w:color w:val="000000"/>
                <w:sz w:val="18"/>
                <w:szCs w:val="18"/>
              </w:rPr>
              <w:t xml:space="preserve">Effet indirect via diffusion des fûts</w:t>
            </w:r>
          </w:p>
        </w:tc>
        <w:tc>
          <w:tcPr>
            <w:tcW w:type="dxa" w:w="2800"/>
            <w:tcMar>
              <w:top w:type="dxa" w:w="60"/>
              <w:left w:type="dxa" w:w="80"/>
              <w:bottom w:type="dxa" w:w="60"/>
              <w:right w:type="dxa" w:w="80"/>
            </w:tcMar>
          </w:tcPr>
          <w:p>
            <w:r>
              <w:rPr>
                <w:b w:val="false"/>
                <w:bCs w:val="false"/>
                <w:color w:val="000000"/>
                <w:sz w:val="18"/>
                <w:szCs w:val="18"/>
              </w:rPr>
              <w:t xml:space="preserve">χ² p &lt; 0,001 ; NS après ajustement</w:t>
            </w:r>
          </w:p>
        </w:tc>
      </w:tr>
      <w:tr>
        <w:tc>
          <w:tcPr>
            <w:tcW w:type="dxa" w:w="600"/>
            <w:tcMar>
              <w:top w:type="dxa" w:w="60"/>
              <w:left w:type="dxa" w:w="80"/>
              <w:bottom w:type="dxa" w:w="60"/>
              <w:right w:type="dxa" w:w="80"/>
            </w:tcMar>
          </w:tcPr>
          <w:p>
            <w:r>
              <w:rPr>
                <w:b w:val="false"/>
                <w:bCs w:val="false"/>
                <w:color w:val="000000"/>
                <w:sz w:val="18"/>
                <w:szCs w:val="18"/>
              </w:rPr>
              <w:t xml:space="preserve">–</w:t>
            </w:r>
          </w:p>
        </w:tc>
        <w:tc>
          <w:tcPr>
            <w:tcW w:type="dxa" w:w="3000"/>
            <w:tcMar>
              <w:top w:type="dxa" w:w="60"/>
              <w:left w:type="dxa" w:w="80"/>
              <w:bottom w:type="dxa" w:w="60"/>
              <w:right w:type="dxa" w:w="80"/>
            </w:tcMar>
          </w:tcPr>
          <w:p>
            <w:r>
              <w:rPr>
                <w:b w:val="false"/>
                <w:bCs w:val="false"/>
                <w:color w:val="000000"/>
                <w:sz w:val="18"/>
                <w:szCs w:val="18"/>
              </w:rPr>
              <w:t xml:space="preserve">Traitement oui/non, durée, âge, instruction, formation</w:t>
            </w:r>
          </w:p>
        </w:tc>
        <w:tc>
          <w:tcPr>
            <w:tcW w:type="dxa" w:w="3200"/>
            <w:tcMar>
              <w:top w:type="dxa" w:w="60"/>
              <w:left w:type="dxa" w:w="80"/>
              <w:bottom w:type="dxa" w:w="60"/>
              <w:right w:type="dxa" w:w="80"/>
            </w:tcMar>
          </w:tcPr>
          <w:p>
            <w:r>
              <w:rPr>
                <w:b w:val="false"/>
                <w:bCs w:val="false"/>
                <w:color w:val="000000"/>
                <w:sz w:val="18"/>
                <w:szCs w:val="18"/>
              </w:rPr>
              <w:t xml:space="preserve">Pas d'effet propre</w:t>
            </w:r>
          </w:p>
        </w:tc>
        <w:tc>
          <w:tcPr>
            <w:tcW w:type="dxa" w:w="2800"/>
            <w:tcMar>
              <w:top w:type="dxa" w:w="60"/>
              <w:left w:type="dxa" w:w="80"/>
              <w:bottom w:type="dxa" w:w="60"/>
              <w:right w:type="dxa" w:w="80"/>
            </w:tcMar>
          </w:tcPr>
          <w:p>
            <w:r>
              <w:rPr>
                <w:b w:val="false"/>
                <w:bCs w:val="false"/>
                <w:color w:val="000000"/>
                <w:sz w:val="18"/>
                <w:szCs w:val="18"/>
              </w:rPr>
              <w:t xml:space="preserve">p &gt; 0,05</w:t>
            </w:r>
          </w:p>
        </w:tc>
      </w:tr>
    </w:tbl>
    <w:p>
      <w:pPr>
        <w:spacing w:after="160"/>
      </w:pPr>
    </w:p>
    <w:p>
      <w:pPr>
        <w:pStyle w:val="Heading1"/>
        <w:spacing w:after="160" w:before="360"/>
      </w:pPr>
      <w:r>
        <w:t xml:space="preserve">7. Segmentation des producteurs</w:t>
      </w:r>
    </w:p>
    <w:p>
      <w:pPr>
        <w:spacing w:after="120"/>
      </w:pPr>
      <w:r>
        <w:t xml:space="preserve">K-Means sur 9 variables standardisées (superficie, production, stock, part vendue, valeur des pertes, contenant hermétique, âge, pertes déclarées, couverture alimentaire ; log pour les variables de volume). k = 4 retenu (silhouette 0,31, coude).</w:t>
      </w:r>
    </w:p>
    <w:p>
      <w:pPr>
        <w:spacing w:after="60" w:before="120"/>
        <w:jc w:val="center"/>
      </w:pPr>
      <w:r>
        <w:drawing>
          <wp:inline distT="0" distB="0" distL="0" distR="0">
            <wp:extent cx="4953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686175"/>
                    </a:xfrm>
                    <a:prstGeom prst="rect">
                      <a:avLst/>
                    </a:prstGeom>
                  </pic:spPr>
                </pic:pic>
              </a:graphicData>
            </a:graphic>
          </wp:inline>
        </w:drawing>
      </w:r>
    </w:p>
    <w:p>
      <w:pPr>
        <w:spacing w:after="200"/>
        <w:jc w:val="center"/>
      </w:pPr>
      <w:r>
        <w:rPr>
          <w:i/>
          <w:iCs/>
          <w:color w:val="555555"/>
          <w:sz w:val="18"/>
          <w:szCs w:val="18"/>
        </w:rPr>
        <w:t xml:space="preserve">Figure 10 — Projection ACP des 4 segments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850"/>
        <w:gridCol w:w="900"/>
        <w:gridCol w:w="800"/>
        <w:gridCol w:w="700"/>
        <w:gridCol w:w="800"/>
        <w:gridCol w:w="900"/>
        <w:gridCol w:w="1000"/>
        <w:gridCol w:w="900"/>
        <w:gridCol w:w="850"/>
      </w:tblGrid>
      <w:tr>
        <w:trPr>
          <w:tblHeader/>
        </w:trPr>
        <w:tc>
          <w:tcPr>
            <w:tcW w:type="dxa" w:w="1700"/>
            <w:shd w:fill="264653" w:color="auto" w:val="clear"/>
            <w:tcMar>
              <w:top w:type="dxa" w:w="60"/>
              <w:left w:type="dxa" w:w="80"/>
              <w:bottom w:type="dxa" w:w="60"/>
              <w:right w:type="dxa" w:w="80"/>
            </w:tcMar>
          </w:tcPr>
          <w:p>
            <w:r>
              <w:rPr>
                <w:b/>
                <w:bCs/>
                <w:color w:val="FFFFFF"/>
                <w:sz w:val="18"/>
                <w:szCs w:val="18"/>
              </w:rPr>
              <w:t xml:space="preserve">Segment</w:t>
            </w:r>
          </w:p>
        </w:tc>
        <w:tc>
          <w:tcPr>
            <w:tcW w:type="dxa" w:w="500"/>
            <w:shd w:fill="264653" w:color="auto" w:val="clear"/>
            <w:tcMar>
              <w:top w:type="dxa" w:w="60"/>
              <w:left w:type="dxa" w:w="80"/>
              <w:bottom w:type="dxa" w:w="60"/>
              <w:right w:type="dxa" w:w="80"/>
            </w:tcMar>
          </w:tcPr>
          <w:p>
            <w:r>
              <w:rPr>
                <w:b/>
                <w:bCs/>
                <w:color w:val="FFFFFF"/>
                <w:sz w:val="18"/>
                <w:szCs w:val="18"/>
              </w:rPr>
              <w:t xml:space="preserve">n</w:t>
            </w:r>
          </w:p>
        </w:tc>
        <w:tc>
          <w:tcPr>
            <w:tcW w:type="dxa" w:w="850"/>
            <w:shd w:fill="264653" w:color="auto" w:val="clear"/>
            <w:tcMar>
              <w:top w:type="dxa" w:w="60"/>
              <w:left w:type="dxa" w:w="80"/>
              <w:bottom w:type="dxa" w:w="60"/>
              <w:right w:type="dxa" w:w="80"/>
            </w:tcMar>
          </w:tcPr>
          <w:p>
            <w:r>
              <w:rPr>
                <w:b/>
                <w:bCs/>
                <w:color w:val="FFFFFF"/>
                <w:sz w:val="18"/>
                <w:szCs w:val="18"/>
              </w:rPr>
              <w:t xml:space="preserve">Superficie méd.</w:t>
            </w:r>
          </w:p>
        </w:tc>
        <w:tc>
          <w:tcPr>
            <w:tcW w:type="dxa" w:w="900"/>
            <w:shd w:fill="264653" w:color="auto" w:val="clear"/>
            <w:tcMar>
              <w:top w:type="dxa" w:w="60"/>
              <w:left w:type="dxa" w:w="80"/>
              <w:bottom w:type="dxa" w:w="60"/>
              <w:right w:type="dxa" w:w="80"/>
            </w:tcMar>
          </w:tcPr>
          <w:p>
            <w:r>
              <w:rPr>
                <w:b/>
                <w:bCs/>
                <w:color w:val="FFFFFF"/>
                <w:sz w:val="18"/>
                <w:szCs w:val="18"/>
              </w:rPr>
              <w:t xml:space="preserve">Production méd.</w:t>
            </w:r>
          </w:p>
        </w:tc>
        <w:tc>
          <w:tcPr>
            <w:tcW w:type="dxa" w:w="800"/>
            <w:shd w:fill="264653" w:color="auto" w:val="clear"/>
            <w:tcMar>
              <w:top w:type="dxa" w:w="60"/>
              <w:left w:type="dxa" w:w="80"/>
              <w:bottom w:type="dxa" w:w="60"/>
              <w:right w:type="dxa" w:w="80"/>
            </w:tcMar>
          </w:tcPr>
          <w:p>
            <w:r>
              <w:rPr>
                <w:b/>
                <w:bCs/>
                <w:color w:val="FFFFFF"/>
                <w:sz w:val="18"/>
                <w:szCs w:val="18"/>
              </w:rPr>
              <w:t xml:space="preserve">Stock méd.</w:t>
            </w:r>
          </w:p>
        </w:tc>
        <w:tc>
          <w:tcPr>
            <w:tcW w:type="dxa" w:w="700"/>
            <w:shd w:fill="264653" w:color="auto" w:val="clear"/>
            <w:tcMar>
              <w:top w:type="dxa" w:w="60"/>
              <w:left w:type="dxa" w:w="80"/>
              <w:bottom w:type="dxa" w:w="60"/>
              <w:right w:type="dxa" w:w="80"/>
            </w:tcMar>
          </w:tcPr>
          <w:p>
            <w:r>
              <w:rPr>
                <w:b/>
                <w:bCs/>
                <w:color w:val="FFFFFF"/>
                <w:sz w:val="18"/>
                <w:szCs w:val="18"/>
              </w:rPr>
              <w:t xml:space="preserve">Vente</w:t>
            </w:r>
          </w:p>
        </w:tc>
        <w:tc>
          <w:tcPr>
            <w:tcW w:type="dxa" w:w="800"/>
            <w:shd w:fill="264653" w:color="auto" w:val="clear"/>
            <w:tcMar>
              <w:top w:type="dxa" w:w="60"/>
              <w:left w:type="dxa" w:w="80"/>
              <w:bottom w:type="dxa" w:w="60"/>
              <w:right w:type="dxa" w:w="80"/>
            </w:tcMar>
          </w:tcPr>
          <w:p>
            <w:r>
              <w:rPr>
                <w:b/>
                <w:bCs/>
                <w:color w:val="FFFFFF"/>
                <w:sz w:val="18"/>
                <w:szCs w:val="18"/>
              </w:rPr>
              <w:t xml:space="preserve">Fût/bidon</w:t>
            </w:r>
          </w:p>
        </w:tc>
        <w:tc>
          <w:tcPr>
            <w:tcW w:type="dxa" w:w="900"/>
            <w:shd w:fill="264653" w:color="auto" w:val="clear"/>
            <w:tcMar>
              <w:top w:type="dxa" w:w="60"/>
              <w:left w:type="dxa" w:w="80"/>
              <w:bottom w:type="dxa" w:w="60"/>
              <w:right w:type="dxa" w:w="80"/>
            </w:tcMar>
          </w:tcPr>
          <w:p>
            <w:r>
              <w:rPr>
                <w:b/>
                <w:bCs/>
                <w:color w:val="FFFFFF"/>
                <w:sz w:val="18"/>
                <w:szCs w:val="18"/>
              </w:rPr>
              <w:t xml:space="preserve">Pertes déclarées</w:t>
            </w:r>
          </w:p>
        </w:tc>
        <w:tc>
          <w:tcPr>
            <w:tcW w:type="dxa" w:w="1000"/>
            <w:shd w:fill="264653" w:color="auto" w:val="clear"/>
            <w:tcMar>
              <w:top w:type="dxa" w:w="60"/>
              <w:left w:type="dxa" w:w="80"/>
              <w:bottom w:type="dxa" w:w="60"/>
              <w:right w:type="dxa" w:w="80"/>
            </w:tcMar>
          </w:tcPr>
          <w:p>
            <w:r>
              <w:rPr>
                <w:b/>
                <w:bCs/>
                <w:color w:val="FFFFFF"/>
                <w:sz w:val="18"/>
                <w:szCs w:val="18"/>
              </w:rPr>
              <w:t xml:space="preserve">Valeur pertes méd.</w:t>
            </w:r>
          </w:p>
        </w:tc>
        <w:tc>
          <w:tcPr>
            <w:tcW w:type="dxa" w:w="900"/>
            <w:shd w:fill="264653" w:color="auto" w:val="clear"/>
            <w:tcMar>
              <w:top w:type="dxa" w:w="60"/>
              <w:left w:type="dxa" w:w="80"/>
              <w:bottom w:type="dxa" w:w="60"/>
              <w:right w:type="dxa" w:w="80"/>
            </w:tcMar>
          </w:tcPr>
          <w:p>
            <w:r>
              <w:rPr>
                <w:b/>
                <w:bCs/>
                <w:color w:val="FFFFFF"/>
                <w:sz w:val="18"/>
                <w:szCs w:val="18"/>
              </w:rPr>
              <w:t xml:space="preserve">Couverture alim.</w:t>
            </w:r>
          </w:p>
        </w:tc>
        <w:tc>
          <w:tcPr>
            <w:tcW w:type="dxa" w:w="850"/>
            <w:shd w:fill="264653" w:color="auto" w:val="clear"/>
            <w:tcMar>
              <w:top w:type="dxa" w:w="60"/>
              <w:left w:type="dxa" w:w="80"/>
              <w:bottom w:type="dxa" w:w="60"/>
              <w:right w:type="dxa" w:w="80"/>
            </w:tcMar>
          </w:tcPr>
          <w:p>
            <w:r>
              <w:rPr>
                <w:b/>
                <w:bCs/>
                <w:color w:val="FFFFFF"/>
                <w:sz w:val="18"/>
                <w:szCs w:val="18"/>
              </w:rPr>
              <w:t xml:space="preserve">Emprunt soudure</w:t>
            </w:r>
          </w:p>
        </w:tc>
      </w:tr>
      <w:tr>
        <w:tc>
          <w:tcPr>
            <w:tcW w:type="dxa" w:w="1700"/>
            <w:tcMar>
              <w:top w:type="dxa" w:w="60"/>
              <w:left w:type="dxa" w:w="80"/>
              <w:bottom w:type="dxa" w:w="60"/>
              <w:right w:type="dxa" w:w="80"/>
            </w:tcMar>
          </w:tcPr>
          <w:p>
            <w:r>
              <w:rPr>
                <w:b w:val="false"/>
                <w:bCs w:val="false"/>
                <w:color w:val="000000"/>
                <w:sz w:val="18"/>
                <w:szCs w:val="18"/>
              </w:rPr>
              <w:t xml:space="preserve">Grands producteurs exposés</w:t>
            </w:r>
          </w:p>
        </w:tc>
        <w:tc>
          <w:tcPr>
            <w:tcW w:type="dxa" w:w="500"/>
            <w:tcMar>
              <w:top w:type="dxa" w:w="60"/>
              <w:left w:type="dxa" w:w="80"/>
              <w:bottom w:type="dxa" w:w="60"/>
              <w:right w:type="dxa" w:w="80"/>
            </w:tcMar>
          </w:tcPr>
          <w:p>
            <w:r>
              <w:rPr>
                <w:b w:val="false"/>
                <w:bCs w:val="false"/>
                <w:color w:val="000000"/>
                <w:sz w:val="18"/>
                <w:szCs w:val="18"/>
              </w:rPr>
              <w:t xml:space="preserve">26</w:t>
            </w:r>
          </w:p>
        </w:tc>
        <w:tc>
          <w:tcPr>
            <w:tcW w:type="dxa" w:w="850"/>
            <w:tcMar>
              <w:top w:type="dxa" w:w="60"/>
              <w:left w:type="dxa" w:w="80"/>
              <w:bottom w:type="dxa" w:w="60"/>
              <w:right w:type="dxa" w:w="80"/>
            </w:tcMar>
          </w:tcPr>
          <w:p>
            <w:r>
              <w:rPr>
                <w:b w:val="false"/>
                <w:bCs w:val="false"/>
                <w:color w:val="000000"/>
                <w:sz w:val="18"/>
                <w:szCs w:val="18"/>
              </w:rPr>
              <w:t xml:space="preserve">6</w:t>
            </w:r>
          </w:p>
        </w:tc>
        <w:tc>
          <w:tcPr>
            <w:tcW w:type="dxa" w:w="900"/>
            <w:tcMar>
              <w:top w:type="dxa" w:w="60"/>
              <w:left w:type="dxa" w:w="80"/>
              <w:bottom w:type="dxa" w:w="60"/>
              <w:right w:type="dxa" w:w="80"/>
            </w:tcMar>
          </w:tcPr>
          <w:p>
            <w:r>
              <w:rPr>
                <w:b w:val="false"/>
                <w:bCs w:val="false"/>
                <w:color w:val="000000"/>
                <w:sz w:val="18"/>
                <w:szCs w:val="18"/>
              </w:rPr>
              <w:t xml:space="preserve">5 000</w:t>
            </w:r>
          </w:p>
        </w:tc>
        <w:tc>
          <w:tcPr>
            <w:tcW w:type="dxa" w:w="800"/>
            <w:tcMar>
              <w:top w:type="dxa" w:w="60"/>
              <w:left w:type="dxa" w:w="80"/>
              <w:bottom w:type="dxa" w:w="60"/>
              <w:right w:type="dxa" w:w="80"/>
            </w:tcMar>
          </w:tcPr>
          <w:p>
            <w:r>
              <w:rPr>
                <w:b w:val="false"/>
                <w:bCs w:val="false"/>
                <w:color w:val="000000"/>
                <w:sz w:val="18"/>
                <w:szCs w:val="18"/>
              </w:rPr>
              <w:t xml:space="preserve">2 000</w:t>
            </w:r>
          </w:p>
        </w:tc>
        <w:tc>
          <w:tcPr>
            <w:tcW w:type="dxa" w:w="700"/>
            <w:tcMar>
              <w:top w:type="dxa" w:w="60"/>
              <w:left w:type="dxa" w:w="80"/>
              <w:bottom w:type="dxa" w:w="60"/>
              <w:right w:type="dxa" w:w="80"/>
            </w:tcMar>
          </w:tcPr>
          <w:p>
            <w:r>
              <w:rPr>
                <w:b w:val="false"/>
                <w:bCs w:val="false"/>
                <w:color w:val="000000"/>
                <w:sz w:val="18"/>
                <w:szCs w:val="18"/>
              </w:rPr>
              <w:t xml:space="preserve">66 %</w:t>
            </w:r>
          </w:p>
        </w:tc>
        <w:tc>
          <w:tcPr>
            <w:tcW w:type="dxa" w:w="800"/>
            <w:tcMar>
              <w:top w:type="dxa" w:w="60"/>
              <w:left w:type="dxa" w:w="80"/>
              <w:bottom w:type="dxa" w:w="60"/>
              <w:right w:type="dxa" w:w="80"/>
            </w:tcMar>
          </w:tcPr>
          <w:p>
            <w:r>
              <w:rPr>
                <w:b w:val="false"/>
                <w:bCs w:val="false"/>
                <w:color w:val="000000"/>
                <w:sz w:val="18"/>
                <w:szCs w:val="18"/>
              </w:rPr>
              <w:t xml:space="preserve">38 %</w:t>
            </w:r>
          </w:p>
        </w:tc>
        <w:tc>
          <w:tcPr>
            <w:tcW w:type="dxa" w:w="900"/>
            <w:tcMar>
              <w:top w:type="dxa" w:w="60"/>
              <w:left w:type="dxa" w:w="80"/>
              <w:bottom w:type="dxa" w:w="60"/>
              <w:right w:type="dxa" w:w="80"/>
            </w:tcMar>
          </w:tcPr>
          <w:p>
            <w:r>
              <w:rPr>
                <w:b w:val="false"/>
                <w:bCs w:val="false"/>
                <w:color w:val="000000"/>
                <w:sz w:val="18"/>
                <w:szCs w:val="18"/>
              </w:rPr>
              <w:t xml:space="preserve">92 %</w:t>
            </w:r>
          </w:p>
        </w:tc>
        <w:tc>
          <w:tcPr>
            <w:tcW w:type="dxa" w:w="1000"/>
            <w:tcMar>
              <w:top w:type="dxa" w:w="60"/>
              <w:left w:type="dxa" w:w="80"/>
              <w:bottom w:type="dxa" w:w="60"/>
              <w:right w:type="dxa" w:w="80"/>
            </w:tcMar>
          </w:tcPr>
          <w:p>
            <w:r>
              <w:rPr>
                <w:b w:val="false"/>
                <w:bCs w:val="false"/>
                <w:color w:val="000000"/>
                <w:sz w:val="18"/>
                <w:szCs w:val="18"/>
              </w:rPr>
              <w:t xml:space="preserve">100 000</w:t>
            </w:r>
          </w:p>
        </w:tc>
        <w:tc>
          <w:tcPr>
            <w:tcW w:type="dxa" w:w="900"/>
            <w:tcMar>
              <w:top w:type="dxa" w:w="60"/>
              <w:left w:type="dxa" w:w="80"/>
              <w:bottom w:type="dxa" w:w="60"/>
              <w:right w:type="dxa" w:w="80"/>
            </w:tcMar>
          </w:tcPr>
          <w:p>
            <w:r>
              <w:rPr>
                <w:b w:val="false"/>
                <w:bCs w:val="false"/>
                <w:color w:val="000000"/>
                <w:sz w:val="18"/>
                <w:szCs w:val="18"/>
              </w:rPr>
              <w:t xml:space="preserve">62 %</w:t>
            </w:r>
          </w:p>
        </w:tc>
        <w:tc>
          <w:tcPr>
            <w:tcW w:type="dxa" w:w="850"/>
            <w:tcMar>
              <w:top w:type="dxa" w:w="60"/>
              <w:left w:type="dxa" w:w="80"/>
              <w:bottom w:type="dxa" w:w="60"/>
              <w:right w:type="dxa" w:w="80"/>
            </w:tcMar>
          </w:tcPr>
          <w:p>
            <w:r>
              <w:rPr>
                <w:b w:val="false"/>
                <w:bCs w:val="false"/>
                <w:color w:val="000000"/>
                <w:sz w:val="18"/>
                <w:szCs w:val="18"/>
              </w:rPr>
              <w:t xml:space="preserve">0 %</w:t>
            </w:r>
          </w:p>
        </w:tc>
      </w:tr>
      <w:tr>
        <w:tc>
          <w:tcPr>
            <w:tcW w:type="dxa" w:w="1700"/>
            <w:tcMar>
              <w:top w:type="dxa" w:w="60"/>
              <w:left w:type="dxa" w:w="80"/>
              <w:bottom w:type="dxa" w:w="60"/>
              <w:right w:type="dxa" w:w="80"/>
            </w:tcMar>
          </w:tcPr>
          <w:p>
            <w:r>
              <w:rPr>
                <w:b w:val="false"/>
                <w:bCs w:val="false"/>
                <w:color w:val="000000"/>
                <w:sz w:val="18"/>
                <w:szCs w:val="18"/>
              </w:rPr>
              <w:t xml:space="preserve">Micro-exploitants d'autoconsommation</w:t>
            </w:r>
          </w:p>
        </w:tc>
        <w:tc>
          <w:tcPr>
            <w:tcW w:type="dxa" w:w="500"/>
            <w:tcMar>
              <w:top w:type="dxa" w:w="60"/>
              <w:left w:type="dxa" w:w="80"/>
              <w:bottom w:type="dxa" w:w="60"/>
              <w:right w:type="dxa" w:w="80"/>
            </w:tcMar>
          </w:tcPr>
          <w:p>
            <w:r>
              <w:rPr>
                <w:b w:val="false"/>
                <w:bCs w:val="false"/>
                <w:color w:val="000000"/>
                <w:sz w:val="18"/>
                <w:szCs w:val="18"/>
              </w:rPr>
              <w:t xml:space="preserve">13</w:t>
            </w:r>
          </w:p>
        </w:tc>
        <w:tc>
          <w:tcPr>
            <w:tcW w:type="dxa" w:w="850"/>
            <w:tcMar>
              <w:top w:type="dxa" w:w="60"/>
              <w:left w:type="dxa" w:w="80"/>
              <w:bottom w:type="dxa" w:w="60"/>
              <w:right w:type="dxa" w:w="80"/>
            </w:tcMar>
          </w:tcPr>
          <w:p>
            <w:r>
              <w:rPr>
                <w:b w:val="false"/>
                <w:bCs w:val="false"/>
                <w:color w:val="000000"/>
                <w:sz w:val="18"/>
                <w:szCs w:val="18"/>
              </w:rPr>
              <w:t xml:space="preserve">1</w:t>
            </w:r>
          </w:p>
        </w:tc>
        <w:tc>
          <w:tcPr>
            <w:tcW w:type="dxa" w:w="900"/>
            <w:tcMar>
              <w:top w:type="dxa" w:w="60"/>
              <w:left w:type="dxa" w:w="80"/>
              <w:bottom w:type="dxa" w:w="60"/>
              <w:right w:type="dxa" w:w="80"/>
            </w:tcMar>
          </w:tcPr>
          <w:p>
            <w:r>
              <w:rPr>
                <w:b w:val="false"/>
                <w:bCs w:val="false"/>
                <w:color w:val="000000"/>
                <w:sz w:val="18"/>
                <w:szCs w:val="18"/>
              </w:rPr>
              <w:t xml:space="preserve">1 000</w:t>
            </w:r>
          </w:p>
        </w:tc>
        <w:tc>
          <w:tcPr>
            <w:tcW w:type="dxa" w:w="800"/>
            <w:tcMar>
              <w:top w:type="dxa" w:w="60"/>
              <w:left w:type="dxa" w:w="80"/>
              <w:bottom w:type="dxa" w:w="60"/>
              <w:right w:type="dxa" w:w="80"/>
            </w:tcMar>
          </w:tcPr>
          <w:p>
            <w:r>
              <w:rPr>
                <w:b w:val="false"/>
                <w:bCs w:val="false"/>
                <w:color w:val="000000"/>
                <w:sz w:val="18"/>
                <w:szCs w:val="18"/>
              </w:rPr>
              <w:t xml:space="preserve">1 000</w:t>
            </w:r>
          </w:p>
        </w:tc>
        <w:tc>
          <w:tcPr>
            <w:tcW w:type="dxa" w:w="700"/>
            <w:tcMar>
              <w:top w:type="dxa" w:w="60"/>
              <w:left w:type="dxa" w:w="80"/>
              <w:bottom w:type="dxa" w:w="60"/>
              <w:right w:type="dxa" w:w="80"/>
            </w:tcMar>
          </w:tcPr>
          <w:p>
            <w:r>
              <w:rPr>
                <w:b w:val="false"/>
                <w:bCs w:val="false"/>
                <w:color w:val="000000"/>
                <w:sz w:val="18"/>
                <w:szCs w:val="18"/>
              </w:rPr>
              <w:t xml:space="preserve">13 %</w:t>
            </w:r>
          </w:p>
        </w:tc>
        <w:tc>
          <w:tcPr>
            <w:tcW w:type="dxa" w:w="800"/>
            <w:tcMar>
              <w:top w:type="dxa" w:w="60"/>
              <w:left w:type="dxa" w:w="80"/>
              <w:bottom w:type="dxa" w:w="60"/>
              <w:right w:type="dxa" w:w="80"/>
            </w:tcMar>
          </w:tcPr>
          <w:p>
            <w:r>
              <w:rPr>
                <w:b w:val="false"/>
                <w:bCs w:val="false"/>
                <w:color w:val="000000"/>
                <w:sz w:val="18"/>
                <w:szCs w:val="18"/>
              </w:rPr>
              <w:t xml:space="preserve">46 %</w:t>
            </w:r>
          </w:p>
        </w:tc>
        <w:tc>
          <w:tcPr>
            <w:tcW w:type="dxa" w:w="900"/>
            <w:tcMar>
              <w:top w:type="dxa" w:w="60"/>
              <w:left w:type="dxa" w:w="80"/>
              <w:bottom w:type="dxa" w:w="60"/>
              <w:right w:type="dxa" w:w="80"/>
            </w:tcMar>
          </w:tcPr>
          <w:p>
            <w:r>
              <w:rPr>
                <w:b w:val="false"/>
                <w:bCs w:val="false"/>
                <w:color w:val="000000"/>
                <w:sz w:val="18"/>
                <w:szCs w:val="18"/>
              </w:rPr>
              <w:t xml:space="preserve">100 %</w:t>
            </w:r>
          </w:p>
        </w:tc>
        <w:tc>
          <w:tcPr>
            <w:tcW w:type="dxa" w:w="1000"/>
            <w:tcMar>
              <w:top w:type="dxa" w:w="60"/>
              <w:left w:type="dxa" w:w="80"/>
              <w:bottom w:type="dxa" w:w="60"/>
              <w:right w:type="dxa" w:w="80"/>
            </w:tcMar>
          </w:tcPr>
          <w:p>
            <w:r>
              <w:rPr>
                <w:b w:val="false"/>
                <w:bCs w:val="false"/>
                <w:color w:val="000000"/>
                <w:sz w:val="18"/>
                <w:szCs w:val="18"/>
              </w:rPr>
              <w:t xml:space="preserve">50 000</w:t>
            </w:r>
          </w:p>
        </w:tc>
        <w:tc>
          <w:tcPr>
            <w:tcW w:type="dxa" w:w="900"/>
            <w:tcMar>
              <w:top w:type="dxa" w:w="60"/>
              <w:left w:type="dxa" w:w="80"/>
              <w:bottom w:type="dxa" w:w="60"/>
              <w:right w:type="dxa" w:w="80"/>
            </w:tcMar>
          </w:tcPr>
          <w:p>
            <w:r>
              <w:rPr>
                <w:b w:val="false"/>
                <w:bCs w:val="false"/>
                <w:color w:val="000000"/>
                <w:sz w:val="18"/>
                <w:szCs w:val="18"/>
              </w:rPr>
              <w:t xml:space="preserve">15 %</w:t>
            </w:r>
          </w:p>
        </w:tc>
        <w:tc>
          <w:tcPr>
            <w:tcW w:type="dxa" w:w="850"/>
            <w:tcMar>
              <w:top w:type="dxa" w:w="60"/>
              <w:left w:type="dxa" w:w="80"/>
              <w:bottom w:type="dxa" w:w="60"/>
              <w:right w:type="dxa" w:w="80"/>
            </w:tcMar>
          </w:tcPr>
          <w:p>
            <w:r>
              <w:rPr>
                <w:b w:val="false"/>
                <w:bCs w:val="false"/>
                <w:color w:val="000000"/>
                <w:sz w:val="18"/>
                <w:szCs w:val="18"/>
              </w:rPr>
              <w:t xml:space="preserve">25 %</w:t>
            </w:r>
          </w:p>
        </w:tc>
      </w:tr>
      <w:tr>
        <w:tc>
          <w:tcPr>
            <w:tcW w:type="dxa" w:w="1700"/>
            <w:tcMar>
              <w:top w:type="dxa" w:w="60"/>
              <w:left w:type="dxa" w:w="80"/>
              <w:bottom w:type="dxa" w:w="60"/>
              <w:right w:type="dxa" w:w="80"/>
            </w:tcMar>
          </w:tcPr>
          <w:p>
            <w:r>
              <w:rPr>
                <w:b w:val="false"/>
                <w:bCs w:val="false"/>
                <w:color w:val="000000"/>
                <w:sz w:val="18"/>
                <w:szCs w:val="18"/>
              </w:rPr>
              <w:t xml:space="preserve">Stockeurs sécurisés</w:t>
            </w:r>
          </w:p>
        </w:tc>
        <w:tc>
          <w:tcPr>
            <w:tcW w:type="dxa" w:w="500"/>
            <w:tcMar>
              <w:top w:type="dxa" w:w="60"/>
              <w:left w:type="dxa" w:w="80"/>
              <w:bottom w:type="dxa" w:w="60"/>
              <w:right w:type="dxa" w:w="80"/>
            </w:tcMar>
          </w:tcPr>
          <w:p>
            <w:r>
              <w:rPr>
                <w:b w:val="false"/>
                <w:bCs w:val="false"/>
                <w:color w:val="000000"/>
                <w:sz w:val="18"/>
                <w:szCs w:val="18"/>
              </w:rPr>
              <w:t xml:space="preserve">42</w:t>
            </w:r>
          </w:p>
        </w:tc>
        <w:tc>
          <w:tcPr>
            <w:tcW w:type="dxa" w:w="850"/>
            <w:tcMar>
              <w:top w:type="dxa" w:w="60"/>
              <w:left w:type="dxa" w:w="80"/>
              <w:bottom w:type="dxa" w:w="60"/>
              <w:right w:type="dxa" w:w="80"/>
            </w:tcMar>
          </w:tcPr>
          <w:p>
            <w:r>
              <w:rPr>
                <w:b w:val="false"/>
                <w:bCs w:val="false"/>
                <w:color w:val="000000"/>
                <w:sz w:val="18"/>
                <w:szCs w:val="18"/>
              </w:rPr>
              <w:t xml:space="preserve">3</w:t>
            </w:r>
          </w:p>
        </w:tc>
        <w:tc>
          <w:tcPr>
            <w:tcW w:type="dxa" w:w="900"/>
            <w:tcMar>
              <w:top w:type="dxa" w:w="60"/>
              <w:left w:type="dxa" w:w="80"/>
              <w:bottom w:type="dxa" w:w="60"/>
              <w:right w:type="dxa" w:w="80"/>
            </w:tcMar>
          </w:tcPr>
          <w:p>
            <w:r>
              <w:rPr>
                <w:b w:val="false"/>
                <w:bCs w:val="false"/>
                <w:color w:val="000000"/>
                <w:sz w:val="18"/>
                <w:szCs w:val="18"/>
              </w:rPr>
              <w:t xml:space="preserve">1 500</w:t>
            </w:r>
          </w:p>
        </w:tc>
        <w:tc>
          <w:tcPr>
            <w:tcW w:type="dxa" w:w="800"/>
            <w:tcMar>
              <w:top w:type="dxa" w:w="60"/>
              <w:left w:type="dxa" w:w="80"/>
              <w:bottom w:type="dxa" w:w="60"/>
              <w:right w:type="dxa" w:w="80"/>
            </w:tcMar>
          </w:tcPr>
          <w:p>
            <w:r>
              <w:rPr>
                <w:b w:val="false"/>
                <w:bCs w:val="false"/>
                <w:color w:val="000000"/>
                <w:sz w:val="18"/>
                <w:szCs w:val="18"/>
              </w:rPr>
              <w:t xml:space="preserve">475</w:t>
            </w:r>
          </w:p>
        </w:tc>
        <w:tc>
          <w:tcPr>
            <w:tcW w:type="dxa" w:w="700"/>
            <w:tcMar>
              <w:top w:type="dxa" w:w="60"/>
              <w:left w:type="dxa" w:w="80"/>
              <w:bottom w:type="dxa" w:w="60"/>
              <w:right w:type="dxa" w:w="80"/>
            </w:tcMar>
          </w:tcPr>
          <w:p>
            <w:r>
              <w:rPr>
                <w:b w:val="false"/>
                <w:bCs w:val="false"/>
                <w:color w:val="000000"/>
                <w:sz w:val="18"/>
                <w:szCs w:val="18"/>
              </w:rPr>
              <w:t xml:space="preserve">64 %</w:t>
            </w:r>
          </w:p>
        </w:tc>
        <w:tc>
          <w:tcPr>
            <w:tcW w:type="dxa" w:w="800"/>
            <w:tcMar>
              <w:top w:type="dxa" w:w="60"/>
              <w:left w:type="dxa" w:w="80"/>
              <w:bottom w:type="dxa" w:w="60"/>
              <w:right w:type="dxa" w:w="80"/>
            </w:tcMar>
          </w:tcPr>
          <w:p>
            <w:r>
              <w:rPr>
                <w:b w:val="false"/>
                <w:bCs w:val="false"/>
                <w:color w:val="000000"/>
                <w:sz w:val="18"/>
                <w:szCs w:val="18"/>
              </w:rPr>
              <w:t xml:space="preserve">79 %</w:t>
            </w:r>
          </w:p>
        </w:tc>
        <w:tc>
          <w:tcPr>
            <w:tcW w:type="dxa" w:w="900"/>
            <w:tcMar>
              <w:top w:type="dxa" w:w="60"/>
              <w:left w:type="dxa" w:w="80"/>
              <w:bottom w:type="dxa" w:w="60"/>
              <w:right w:type="dxa" w:w="80"/>
            </w:tcMar>
          </w:tcPr>
          <w:p>
            <w:r>
              <w:rPr>
                <w:b w:val="false"/>
                <w:bCs w:val="false"/>
                <w:color w:val="000000"/>
                <w:sz w:val="18"/>
                <w:szCs w:val="18"/>
              </w:rPr>
              <w:t xml:space="preserve">0 %</w:t>
            </w:r>
          </w:p>
        </w:tc>
        <w:tc>
          <w:tcPr>
            <w:tcW w:type="dxa" w:w="1000"/>
            <w:tcMar>
              <w:top w:type="dxa" w:w="60"/>
              <w:left w:type="dxa" w:w="80"/>
              <w:bottom w:type="dxa" w:w="60"/>
              <w:right w:type="dxa" w:w="80"/>
            </w:tcMar>
          </w:tcPr>
          <w:p>
            <w:r>
              <w:rPr>
                <w:b w:val="false"/>
                <w:bCs w:val="false"/>
                <w:color w:val="000000"/>
                <w:sz w:val="18"/>
                <w:szCs w:val="18"/>
              </w:rPr>
              <w:t xml:space="preserve">7 500</w:t>
            </w:r>
          </w:p>
        </w:tc>
        <w:tc>
          <w:tcPr>
            <w:tcW w:type="dxa" w:w="900"/>
            <w:tcMar>
              <w:top w:type="dxa" w:w="60"/>
              <w:left w:type="dxa" w:w="80"/>
              <w:bottom w:type="dxa" w:w="60"/>
              <w:right w:type="dxa" w:w="80"/>
            </w:tcMar>
          </w:tcPr>
          <w:p>
            <w:r>
              <w:rPr>
                <w:b w:val="false"/>
                <w:bCs w:val="false"/>
                <w:color w:val="000000"/>
                <w:sz w:val="18"/>
                <w:szCs w:val="18"/>
              </w:rPr>
              <w:t xml:space="preserve">24 %</w:t>
            </w:r>
          </w:p>
        </w:tc>
        <w:tc>
          <w:tcPr>
            <w:tcW w:type="dxa" w:w="850"/>
            <w:tcMar>
              <w:top w:type="dxa" w:w="60"/>
              <w:left w:type="dxa" w:w="80"/>
              <w:bottom w:type="dxa" w:w="60"/>
              <w:right w:type="dxa" w:w="80"/>
            </w:tcMar>
          </w:tcPr>
          <w:p>
            <w:r>
              <w:rPr>
                <w:b w:val="false"/>
                <w:bCs w:val="false"/>
                <w:color w:val="000000"/>
                <w:sz w:val="18"/>
                <w:szCs w:val="18"/>
              </w:rPr>
              <w:t xml:space="preserve">6 %</w:t>
            </w:r>
          </w:p>
        </w:tc>
      </w:tr>
      <w:tr>
        <w:tc>
          <w:tcPr>
            <w:tcW w:type="dxa" w:w="1700"/>
            <w:tcMar>
              <w:top w:type="dxa" w:w="60"/>
              <w:left w:type="dxa" w:w="80"/>
              <w:bottom w:type="dxa" w:w="60"/>
              <w:right w:type="dxa" w:w="80"/>
            </w:tcMar>
          </w:tcPr>
          <w:p>
            <w:r>
              <w:rPr>
                <w:b w:val="false"/>
                <w:bCs w:val="false"/>
                <w:color w:val="000000"/>
                <w:sz w:val="18"/>
                <w:szCs w:val="18"/>
              </w:rPr>
              <w:t xml:space="preserve">Petits producteurs vulnérables</w:t>
            </w:r>
          </w:p>
        </w:tc>
        <w:tc>
          <w:tcPr>
            <w:tcW w:type="dxa" w:w="500"/>
            <w:tcMar>
              <w:top w:type="dxa" w:w="60"/>
              <w:left w:type="dxa" w:w="80"/>
              <w:bottom w:type="dxa" w:w="60"/>
              <w:right w:type="dxa" w:w="80"/>
            </w:tcMar>
          </w:tcPr>
          <w:p>
            <w:r>
              <w:rPr>
                <w:b w:val="false"/>
                <w:bCs w:val="false"/>
                <w:color w:val="000000"/>
                <w:sz w:val="18"/>
                <w:szCs w:val="18"/>
              </w:rPr>
              <w:t xml:space="preserve">114</w:t>
            </w:r>
          </w:p>
        </w:tc>
        <w:tc>
          <w:tcPr>
            <w:tcW w:type="dxa" w:w="850"/>
            <w:tcMar>
              <w:top w:type="dxa" w:w="60"/>
              <w:left w:type="dxa" w:w="80"/>
              <w:bottom w:type="dxa" w:w="60"/>
              <w:right w:type="dxa" w:w="80"/>
            </w:tcMar>
          </w:tcPr>
          <w:p>
            <w:r>
              <w:rPr>
                <w:b w:val="false"/>
                <w:bCs w:val="false"/>
                <w:color w:val="000000"/>
                <w:sz w:val="18"/>
                <w:szCs w:val="18"/>
              </w:rPr>
              <w:t xml:space="preserve">2</w:t>
            </w:r>
          </w:p>
        </w:tc>
        <w:tc>
          <w:tcPr>
            <w:tcW w:type="dxa" w:w="900"/>
            <w:tcMar>
              <w:top w:type="dxa" w:w="60"/>
              <w:left w:type="dxa" w:w="80"/>
              <w:bottom w:type="dxa" w:w="60"/>
              <w:right w:type="dxa" w:w="80"/>
            </w:tcMar>
          </w:tcPr>
          <w:p>
            <w:r>
              <w:rPr>
                <w:b w:val="false"/>
                <w:bCs w:val="false"/>
                <w:color w:val="000000"/>
                <w:sz w:val="18"/>
                <w:szCs w:val="18"/>
              </w:rPr>
              <w:t xml:space="preserve">1 500</w:t>
            </w:r>
          </w:p>
        </w:tc>
        <w:tc>
          <w:tcPr>
            <w:tcW w:type="dxa" w:w="800"/>
            <w:tcMar>
              <w:top w:type="dxa" w:w="60"/>
              <w:left w:type="dxa" w:w="80"/>
              <w:bottom w:type="dxa" w:w="60"/>
              <w:right w:type="dxa" w:w="80"/>
            </w:tcMar>
          </w:tcPr>
          <w:p>
            <w:r>
              <w:rPr>
                <w:b w:val="false"/>
                <w:bCs w:val="false"/>
                <w:color w:val="000000"/>
                <w:sz w:val="18"/>
                <w:szCs w:val="18"/>
              </w:rPr>
              <w:t xml:space="preserve">500</w:t>
            </w:r>
          </w:p>
        </w:tc>
        <w:tc>
          <w:tcPr>
            <w:tcW w:type="dxa" w:w="700"/>
            <w:tcMar>
              <w:top w:type="dxa" w:w="60"/>
              <w:left w:type="dxa" w:w="80"/>
              <w:bottom w:type="dxa" w:w="60"/>
              <w:right w:type="dxa" w:w="80"/>
            </w:tcMar>
          </w:tcPr>
          <w:p>
            <w:r>
              <w:rPr>
                <w:b w:val="false"/>
                <w:bCs w:val="false"/>
                <w:color w:val="000000"/>
                <w:sz w:val="18"/>
                <w:szCs w:val="18"/>
              </w:rPr>
              <w:t xml:space="preserve">67 %</w:t>
            </w:r>
          </w:p>
        </w:tc>
        <w:tc>
          <w:tcPr>
            <w:tcW w:type="dxa" w:w="800"/>
            <w:tcMar>
              <w:top w:type="dxa" w:w="60"/>
              <w:left w:type="dxa" w:w="80"/>
              <w:bottom w:type="dxa" w:w="60"/>
              <w:right w:type="dxa" w:w="80"/>
            </w:tcMar>
          </w:tcPr>
          <w:p>
            <w:r>
              <w:rPr>
                <w:b w:val="false"/>
                <w:bCs w:val="false"/>
                <w:color w:val="000000"/>
                <w:sz w:val="18"/>
                <w:szCs w:val="18"/>
              </w:rPr>
              <w:t xml:space="preserve">13 %</w:t>
            </w:r>
          </w:p>
        </w:tc>
        <w:tc>
          <w:tcPr>
            <w:tcW w:type="dxa" w:w="900"/>
            <w:tcMar>
              <w:top w:type="dxa" w:w="60"/>
              <w:left w:type="dxa" w:w="80"/>
              <w:bottom w:type="dxa" w:w="60"/>
              <w:right w:type="dxa" w:w="80"/>
            </w:tcMar>
          </w:tcPr>
          <w:p>
            <w:r>
              <w:rPr>
                <w:b w:val="false"/>
                <w:bCs w:val="false"/>
                <w:color w:val="000000"/>
                <w:sz w:val="18"/>
                <w:szCs w:val="18"/>
              </w:rPr>
              <w:t xml:space="preserve">95 %</w:t>
            </w:r>
          </w:p>
        </w:tc>
        <w:tc>
          <w:tcPr>
            <w:tcW w:type="dxa" w:w="1000"/>
            <w:tcMar>
              <w:top w:type="dxa" w:w="60"/>
              <w:left w:type="dxa" w:w="80"/>
              <w:bottom w:type="dxa" w:w="60"/>
              <w:right w:type="dxa" w:w="80"/>
            </w:tcMar>
          </w:tcPr>
          <w:p>
            <w:r>
              <w:rPr>
                <w:b w:val="false"/>
                <w:bCs w:val="false"/>
                <w:color w:val="000000"/>
                <w:sz w:val="18"/>
                <w:szCs w:val="18"/>
              </w:rPr>
              <w:t xml:space="preserve">50 000</w:t>
            </w:r>
          </w:p>
        </w:tc>
        <w:tc>
          <w:tcPr>
            <w:tcW w:type="dxa" w:w="900"/>
            <w:tcMar>
              <w:top w:type="dxa" w:w="60"/>
              <w:left w:type="dxa" w:w="80"/>
              <w:bottom w:type="dxa" w:w="60"/>
              <w:right w:type="dxa" w:w="80"/>
            </w:tcMar>
          </w:tcPr>
          <w:p>
            <w:r>
              <w:rPr>
                <w:b w:val="false"/>
                <w:bCs w:val="false"/>
                <w:color w:val="000000"/>
                <w:sz w:val="18"/>
                <w:szCs w:val="18"/>
              </w:rPr>
              <w:t xml:space="preserve">4 %</w:t>
            </w:r>
          </w:p>
        </w:tc>
        <w:tc>
          <w:tcPr>
            <w:tcW w:type="dxa" w:w="850"/>
            <w:tcMar>
              <w:top w:type="dxa" w:w="60"/>
              <w:left w:type="dxa" w:w="80"/>
              <w:bottom w:type="dxa" w:w="60"/>
              <w:right w:type="dxa" w:w="80"/>
            </w:tcMar>
          </w:tcPr>
          <w:p>
            <w:r>
              <w:rPr>
                <w:b w:val="false"/>
                <w:bCs w:val="false"/>
                <w:color w:val="000000"/>
                <w:sz w:val="18"/>
                <w:szCs w:val="18"/>
              </w:rPr>
              <w:t xml:space="preserve">19 %</w:t>
            </w:r>
          </w:p>
        </w:tc>
      </w:tr>
    </w:tbl>
    <w:p>
      <w:pPr>
        <w:spacing w:after="160"/>
      </w:pPr>
    </w:p>
    <w:p>
      <w:pPr>
        <w:pStyle w:val="ListParagraph"/>
        <w:numPr>
          <w:ilvl w:val="0"/>
          <w:numId w:val="3"/>
        </w:numPr>
        <w:spacing w:after="60"/>
      </w:pPr>
      <w:r>
        <w:rPr>
          <w:b/>
          <w:bCs/>
        </w:rPr>
        <w:t xml:space="preserve">Stockeurs sécurisés (22 %)</w:t>
      </w:r>
      <w:r>
        <w:t xml:space="preserve"> : 79 % en fût/bidon, aucune perte déclarée, faible endettement — concentrés à Keur Samba Guèye. Modèle à diffuser.</w:t>
      </w:r>
    </w:p>
    <w:p>
      <w:pPr>
        <w:pStyle w:val="ListParagraph"/>
        <w:numPr>
          <w:ilvl w:val="0"/>
          <w:numId w:val="3"/>
        </w:numPr>
        <w:spacing w:after="60"/>
      </w:pPr>
      <w:r>
        <w:rPr>
          <w:b/>
          <w:bCs/>
        </w:rPr>
        <w:t xml:space="preserve">Grands producteurs exposés (13 %)</w:t>
      </w:r>
      <w:r>
        <w:t xml:space="preserve"> : 6 ha, 5 t, pertes les plus coûteuses (100 000 FCFA) ; candidats au warrantage et à l'équipement.</w:t>
      </w:r>
    </w:p>
    <w:p>
      <w:pPr>
        <w:pStyle w:val="ListParagraph"/>
        <w:numPr>
          <w:ilvl w:val="0"/>
          <w:numId w:val="3"/>
        </w:numPr>
        <w:spacing w:after="60"/>
      </w:pPr>
      <w:r>
        <w:rPr>
          <w:b/>
          <w:bCs/>
        </w:rPr>
        <w:t xml:space="preserve">Petits producteurs vulnérables (58 %)</w:t>
      </w:r>
      <w:r>
        <w:t xml:space="preserve"> : 2 ha, 1,5 t, 95 % de pertes, 4 % de couverture alimentaire, 19 % d'emprunt — cœur de cible.</w:t>
      </w:r>
    </w:p>
    <w:p>
      <w:pPr>
        <w:pStyle w:val="ListParagraph"/>
        <w:numPr>
          <w:ilvl w:val="0"/>
          <w:numId w:val="3"/>
        </w:numPr>
        <w:spacing w:after="60"/>
      </w:pPr>
      <w:r>
        <w:rPr>
          <w:b/>
          <w:bCs/>
        </w:rPr>
        <w:t xml:space="preserve">Micro-exploitants d'autoconsommation (7 %)</w:t>
      </w:r>
      <w:r>
        <w:t xml:space="preserve"> : 1 ha, 13 % vendus, 100 % de pertes, rendement 500 kg/ha — grande précarité, appui combiné.</w:t>
      </w:r>
    </w:p>
    <w:p>
      <w:pPr>
        <w:pStyle w:val="Heading1"/>
        <w:spacing w:after="160" w:before="360"/>
      </w:pPr>
      <w:r>
        <w:t xml:space="preserve">8. Principaux enseignements</w:t>
      </w:r>
    </w:p>
    <w:p>
      <w:pPr>
        <w:pStyle w:val="ListParagraph"/>
        <w:numPr>
          <w:ilvl w:val="0"/>
          <w:numId w:val="2"/>
        </w:numPr>
        <w:spacing w:after="60"/>
      </w:pPr>
      <w:r>
        <w:t xml:space="preserve">Pertes mesurées en stock : 3,8 % (gousses) et 8,0 % (décortiqué) par lot en moyenne ; 2,2 % et 5,4 % en volume ; un quart à un tiers des lots touchés, jusqu'à 33–50 %.</w:t>
      </w:r>
    </w:p>
    <w:p>
      <w:pPr>
        <w:pStyle w:val="ListParagraph"/>
        <w:numPr>
          <w:ilvl w:val="0"/>
          <w:numId w:val="2"/>
        </w:numPr>
        <w:spacing w:after="60"/>
      </w:pPr>
      <w:r>
        <w:t xml:space="preserve">Le contenant hermétique annule les pertes mesurées (0 % sur 25 lots) et divise par 10 la probabilité de pertes déclarées : facteur n° 1.</w:t>
      </w:r>
    </w:p>
    <w:p>
      <w:pPr>
        <w:pStyle w:val="ListParagraph"/>
        <w:numPr>
          <w:ilvl w:val="0"/>
          <w:numId w:val="2"/>
        </w:numPr>
        <w:spacing w:after="60"/>
      </w:pPr>
      <w:r>
        <w:t xml:space="preserve">La coque protège : décortiquer avant stockage double le taux de perte ; le décortiqué en sac perd 10,8 %.</w:t>
      </w:r>
    </w:p>
    <w:p>
      <w:pPr>
        <w:pStyle w:val="ListParagraph"/>
        <w:numPr>
          <w:ilvl w:val="0"/>
          <w:numId w:val="2"/>
        </w:numPr>
        <w:spacing w:after="60"/>
      </w:pPr>
      <w:r>
        <w:t xml:space="preserve">Le traitement chimique seul ne suffit pas ; l'association perles + poudre est plus efficace sur gousses (1,3 % vs 5,9 %).</w:t>
      </w:r>
    </w:p>
    <w:p>
      <w:pPr>
        <w:pStyle w:val="ListParagraph"/>
        <w:numPr>
          <w:ilvl w:val="0"/>
          <w:numId w:val="2"/>
        </w:numPr>
        <w:spacing w:after="60"/>
      </w:pPr>
      <w:r>
        <w:t xml:space="preserve">Les pertes s'installent entre la 1ʳᵉ et la 2ᵉ pesée puis plafonnent : fenêtre critique à mi-saison de stockage.</w:t>
      </w:r>
    </w:p>
    <w:p>
      <w:pPr>
        <w:pStyle w:val="ListParagraph"/>
        <w:numPr>
          <w:ilvl w:val="0"/>
          <w:numId w:val="2"/>
        </w:numPr>
        <w:spacing w:after="60"/>
      </w:pPr>
      <w:r>
        <w:t xml:space="preserve">Le séchage est l'étape pré-stockage la plus critique (90 % de pertes jugées importantes ; champignons ×2,6 sur les pertes en stock).</w:t>
      </w:r>
    </w:p>
    <w:p>
      <w:pPr>
        <w:pStyle w:val="ListParagraph"/>
        <w:numPr>
          <w:ilvl w:val="0"/>
          <w:numId w:val="2"/>
        </w:numPr>
        <w:spacing w:after="60"/>
      </w:pPr>
      <w:r>
        <w:t xml:space="preserve">Valeur médiane des pertes 50 000 FCFA (≈ 3 % de la valeur de production), corrélée au volume stocké ; 95 % disent que les pertes font baisser le prix de vente.</w:t>
      </w:r>
    </w:p>
    <w:p>
      <w:pPr>
        <w:pStyle w:val="ListParagraph"/>
        <w:numPr>
          <w:ilvl w:val="0"/>
          <w:numId w:val="2"/>
        </w:numPr>
        <w:spacing w:after="60"/>
      </w:pPr>
      <w:r>
        <w:t xml:space="preserve">92 % rachètent de l'arachide (≈ 1 000 FCFA/kg) ; 38 % via l'emprunt.</w:t>
      </w:r>
    </w:p>
    <w:p>
      <w:pPr>
        <w:pStyle w:val="ListParagraph"/>
        <w:numPr>
          <w:ilvl w:val="0"/>
          <w:numId w:val="2"/>
        </w:numPr>
        <w:spacing w:after="60"/>
      </w:pPr>
      <w:r>
        <w:t xml:space="preserve">Insécurité alimentaire structurelle : 16 % de couverture annuelle ; la superficie ≥ 5 ha est le premier déterminant (37 % vs 8–13 %).</w:t>
      </w:r>
    </w:p>
    <w:p>
      <w:pPr>
        <w:pStyle w:val="ListParagraph"/>
        <w:numPr>
          <w:ilvl w:val="0"/>
          <w:numId w:val="2"/>
        </w:numPr>
        <w:spacing w:after="60"/>
      </w:pPr>
      <w:r>
        <w:t xml:space="preserve">Conséquences sociales pour 63 % : alimentation, scolarité, santé.</w:t>
      </w:r>
    </w:p>
    <w:p>
      <w:pPr>
        <w:pStyle w:val="ListParagraph"/>
        <w:numPr>
          <w:ilvl w:val="0"/>
          <w:numId w:val="2"/>
        </w:numPr>
        <w:spacing w:after="60"/>
      </w:pPr>
      <w:r>
        <w:t xml:space="preserve">Charge de travail supplémentaire portée par les femmes dans 97 % des cas, alors qu'elles représentent 2 % des enquêtés.</w:t>
      </w:r>
    </w:p>
    <w:p>
      <w:pPr>
        <w:pStyle w:val="ListParagraph"/>
        <w:numPr>
          <w:ilvl w:val="0"/>
          <w:numId w:val="2"/>
        </w:numPr>
        <w:spacing w:after="60"/>
      </w:pPr>
      <w:r>
        <w:t xml:space="preserve">Aucune connaissance ni utilisation de technologie améliorée ; 7 % de formés.</w:t>
      </w:r>
    </w:p>
    <w:p>
      <w:pPr>
        <w:pStyle w:val="ListParagraph"/>
        <w:numPr>
          <w:ilvl w:val="0"/>
          <w:numId w:val="2"/>
        </w:numPr>
        <w:spacing w:after="60"/>
      </w:pPr>
      <w:r>
        <w:t xml:space="preserve">Keur Samba Guèye la moins touchée (41 % de fûts/bidons) ; Keur Saloum Diané la plus vulnérable.</w:t>
      </w:r>
    </w:p>
    <w:p>
      <w:pPr>
        <w:pStyle w:val="ListParagraph"/>
        <w:numPr>
          <w:ilvl w:val="0"/>
          <w:numId w:val="2"/>
        </w:numPr>
        <w:spacing w:after="60"/>
      </w:pPr>
      <w:r>
        <w:t xml:space="preserve">Rendements faibles et homogènes (≈ 700 kg/ha), sans effet d'échelle : levier agronomique.</w:t>
      </w:r>
    </w:p>
    <w:p>
      <w:pPr>
        <w:pStyle w:val="ListParagraph"/>
        <w:numPr>
          <w:ilvl w:val="0"/>
          <w:numId w:val="2"/>
        </w:numPr>
        <w:spacing w:after="60"/>
      </w:pPr>
      <w:r>
        <w:t xml:space="preserve">Demande spontanée : magasins (52 %), fûts 200 L (34 %), produits efficaces (23 %) — alignée sur les résultats.</w:t>
      </w:r>
    </w:p>
    <w:p>
      <w:pPr>
        <w:pStyle w:val="ListParagraph"/>
        <w:numPr>
          <w:ilvl w:val="0"/>
          <w:numId w:val="2"/>
        </w:numPr>
        <w:spacing w:after="60"/>
      </w:pPr>
      <w:r>
        <w:t xml:space="preserve">Le traitement à l'ail (5 lots test) n'a subi aucune perte : piste à valider.</w:t>
      </w:r>
    </w:p>
    <w:p>
      <w:pPr>
        <w:pStyle w:val="Heading1"/>
        <w:spacing w:after="160" w:before="360"/>
      </w:pPr>
      <w:r>
        <w:t xml:space="preserve">9. Recommandations</w:t>
      </w:r>
    </w:p>
    <w:p>
      <w:pPr>
        <w:pStyle w:val="Heading2"/>
        <w:spacing w:after="120" w:before="240"/>
      </w:pPr>
      <w:r>
        <w:t xml:space="preserve">9.1 Techniques (stockage)</w:t>
      </w:r>
    </w:p>
    <w:p>
      <w:pPr>
        <w:pStyle w:val="ListParagraph"/>
        <w:numPr>
          <w:ilvl w:val="0"/>
          <w:numId w:val="3"/>
        </w:numPr>
        <w:spacing w:after="60"/>
      </w:pPr>
      <w:r>
        <w:rPr>
          <w:b/>
          <w:bCs/>
        </w:rPr>
        <w:t xml:space="preserve">Diffuser le stockage hermétique</w:t>
      </w:r>
      <w:r>
        <w:t xml:space="preserve"> (fûts 200 L, bidons, sacs triple-couche) : &gt; 80 % d'adoption en 3 ans ; démarrer à Keur Saloum Diané et chez les petits producteurs vulnérables et les grands producteurs exposés.</w:t>
      </w:r>
    </w:p>
    <w:p>
      <w:pPr>
        <w:pStyle w:val="ListParagraph"/>
        <w:numPr>
          <w:ilvl w:val="0"/>
          <w:numId w:val="3"/>
        </w:numPr>
        <w:spacing w:after="60"/>
      </w:pPr>
      <w:r>
        <w:rPr>
          <w:b/>
          <w:bCs/>
        </w:rPr>
        <w:t xml:space="preserve">Stocker en gousses</w:t>
      </w:r>
      <w:r>
        <w:t xml:space="preserve">, décortiquer à la vente / au semis.</w:t>
      </w:r>
    </w:p>
    <w:p>
      <w:pPr>
        <w:pStyle w:val="ListParagraph"/>
        <w:numPr>
          <w:ilvl w:val="0"/>
          <w:numId w:val="3"/>
        </w:numPr>
        <w:spacing w:after="60"/>
      </w:pPr>
      <w:r>
        <w:rPr>
          <w:b/>
          <w:bCs/>
        </w:rPr>
        <w:t xml:space="preserve">Combiner fumigant + poudre insecticide</w:t>
      </w:r>
      <w:r>
        <w:t xml:space="preserve"> pour les stocks en sacs, avec formation aux doses et à la sécurité (produits toxiques stockés dans l'habitat).</w:t>
      </w:r>
    </w:p>
    <w:p>
      <w:pPr>
        <w:pStyle w:val="ListParagraph"/>
        <w:numPr>
          <w:ilvl w:val="0"/>
          <w:numId w:val="3"/>
        </w:numPr>
        <w:spacing w:after="60"/>
      </w:pPr>
      <w:r>
        <w:rPr>
          <w:b/>
          <w:bCs/>
        </w:rPr>
        <w:t xml:space="preserve">Contrôle de stock à mi-saison</w:t>
      </w:r>
      <w:r>
        <w:t xml:space="preserve"> (pesée / inspection à 2–3 mois).</w:t>
      </w:r>
    </w:p>
    <w:p>
      <w:pPr>
        <w:pStyle w:val="Heading2"/>
        <w:spacing w:after="120" w:before="240"/>
      </w:pPr>
      <w:r>
        <w:t xml:space="preserve">9.2 Agronomiques (pré-stockage)</w:t>
      </w:r>
    </w:p>
    <w:p>
      <w:pPr>
        <w:pStyle w:val="ListParagraph"/>
        <w:numPr>
          <w:ilvl w:val="0"/>
          <w:numId w:val="3"/>
        </w:numPr>
        <w:spacing w:after="60"/>
      </w:pPr>
      <w:r>
        <w:t xml:space="preserve">Séchage sur bâche ou claies surélevées, protection contre les animaux, contrôle d'humidité (&lt; 8 %) avant stockage — réduit moisissures et risque aflatoxines.</w:t>
      </w:r>
    </w:p>
    <w:p>
      <w:pPr>
        <w:pStyle w:val="ListParagraph"/>
        <w:numPr>
          <w:ilvl w:val="0"/>
          <w:numId w:val="3"/>
        </w:numPr>
        <w:spacing w:after="60"/>
      </w:pPr>
      <w:r>
        <w:t xml:space="preserve">Tri des gousses immatures / cassées avant stockage.</w:t>
      </w:r>
    </w:p>
    <w:p>
      <w:pPr>
        <w:pStyle w:val="ListParagraph"/>
        <w:numPr>
          <w:ilvl w:val="0"/>
          <w:numId w:val="3"/>
        </w:numPr>
        <w:spacing w:after="60"/>
      </w:pPr>
      <w:r>
        <w:t xml:space="preserve">Semences certifiées et fertilisation raisonnée : +30 % de production à surface égale compense largement les pertes post-récolte.</w:t>
      </w:r>
    </w:p>
    <w:p>
      <w:pPr>
        <w:pStyle w:val="Heading2"/>
        <w:spacing w:after="120" w:before="240"/>
      </w:pPr>
      <w:r>
        <w:t xml:space="preserve">9.3 Économiques</w:t>
      </w:r>
    </w:p>
    <w:p>
      <w:pPr>
        <w:pStyle w:val="ListParagraph"/>
        <w:numPr>
          <w:ilvl w:val="0"/>
          <w:numId w:val="3"/>
        </w:numPr>
        <w:spacing w:after="60"/>
      </w:pPr>
      <w:r>
        <w:t xml:space="preserve">Magasins villageois couplés au </w:t>
      </w:r>
      <w:r>
        <w:rPr>
          <w:b/>
          <w:bCs/>
        </w:rPr>
        <w:t xml:space="preserve">warrantage</w:t>
      </w:r>
      <w:r>
        <w:t xml:space="preserve"> : évite la vente précoce à bas prix et le rachat à 1 000 FCFA/kg ; réduit l'emprunt.</w:t>
      </w:r>
    </w:p>
    <w:p>
      <w:pPr>
        <w:pStyle w:val="ListParagraph"/>
        <w:numPr>
          <w:ilvl w:val="0"/>
          <w:numId w:val="3"/>
        </w:numPr>
        <w:spacing w:after="60"/>
      </w:pPr>
      <w:r>
        <w:t xml:space="preserve">Subvention / crédit-équipement pour les fûts : retour sur investissement &lt; 1 an.</w:t>
      </w:r>
    </w:p>
    <w:p>
      <w:pPr>
        <w:pStyle w:val="ListParagraph"/>
        <w:numPr>
          <w:ilvl w:val="0"/>
          <w:numId w:val="3"/>
        </w:numPr>
        <w:spacing w:after="60"/>
      </w:pPr>
      <w:r>
        <w:t xml:space="preserve">Crédit soudure adossé au stock pour les petits producteurs vulnérables.</w:t>
      </w:r>
    </w:p>
    <w:p>
      <w:pPr>
        <w:pStyle w:val="Heading2"/>
        <w:spacing w:after="120" w:before="240"/>
      </w:pPr>
      <w:r>
        <w:t xml:space="preserve">9.4 Stratégiques</w:t>
      </w:r>
    </w:p>
    <w:p>
      <w:pPr>
        <w:pStyle w:val="ListParagraph"/>
        <w:numPr>
          <w:ilvl w:val="0"/>
          <w:numId w:val="3"/>
        </w:numPr>
        <w:spacing w:after="60"/>
      </w:pPr>
      <w:r>
        <w:t xml:space="preserve">Programme d'information-formation avec démonstrations villageoises (fûts, sacs hermétiques), ciblant explicitement les femmes gestionnaires des stocks.</w:t>
      </w:r>
    </w:p>
    <w:p>
      <w:pPr>
        <w:pStyle w:val="ListParagraph"/>
        <w:numPr>
          <w:ilvl w:val="0"/>
          <w:numId w:val="3"/>
        </w:numPr>
        <w:spacing w:after="60"/>
      </w:pPr>
      <w:r>
        <w:t xml:space="preserve">Cibler les villages à pertes mesurées &gt; 10 % sur décortiqué : Keur Babou Ndity, Simong Bambara, Keur Momath Souna, Touba Mouride.</w:t>
      </w:r>
    </w:p>
    <w:p>
      <w:pPr>
        <w:pStyle w:val="ListParagraph"/>
        <w:numPr>
          <w:ilvl w:val="0"/>
          <w:numId w:val="3"/>
        </w:numPr>
        <w:spacing w:after="60"/>
      </w:pPr>
      <w:r>
        <w:t xml:space="preserve">Reprendre un protocole de pesée rigoureux (balance précise, 3 pesées, dates) sur une campagne complète pour construire une référence régionale.</w:t>
      </w:r>
    </w:p>
    <w:p>
      <w:pPr>
        <w:pStyle w:val="Heading1"/>
        <w:spacing w:after="160" w:before="360"/>
      </w:pPr>
      <w:r>
        <w:t xml:space="preserve">10. Limites de l'étude et perspectives</w:t>
      </w:r>
    </w:p>
    <w:p>
      <w:pPr>
        <w:pStyle w:val="Heading2"/>
        <w:spacing w:after="120" w:before="240"/>
      </w:pPr>
      <w:r>
        <w:t xml:space="preserve">10.1 Limites</w:t>
      </w:r>
    </w:p>
    <w:p>
      <w:pPr>
        <w:pStyle w:val="ListParagraph"/>
        <w:numPr>
          <w:ilvl w:val="0"/>
          <w:numId w:val="3"/>
        </w:numPr>
        <w:spacing w:after="60"/>
      </w:pPr>
      <w:r>
        <w:t xml:space="preserve">Échantillon de convenance (195 producteurs, 3 communes, 98 % d'hommes) : pas de représentativité régionale ni du point de vue des femmes.</w:t>
      </w:r>
    </w:p>
    <w:p>
      <w:pPr>
        <w:pStyle w:val="ListParagraph"/>
        <w:numPr>
          <w:ilvl w:val="0"/>
          <w:numId w:val="3"/>
        </w:numPr>
        <w:spacing w:after="60"/>
      </w:pPr>
      <w:r>
        <w:t xml:space="preserve">Pesées à résolution grossière (25–50 kg), une seule pesée de suivi pour les gousses, durée de suivi non documentée, lots « test » sélectionnés (biais de sélection sur les non-traités).</w:t>
      </w:r>
    </w:p>
    <w:p>
      <w:pPr>
        <w:pStyle w:val="ListParagraph"/>
        <w:numPr>
          <w:ilvl w:val="0"/>
          <w:numId w:val="3"/>
        </w:numPr>
        <w:spacing w:after="60"/>
      </w:pPr>
      <w:r>
        <w:t xml:space="preserve">Données déclaratives sujettes aux erreurs d'unités et de mémoire ; 6 rendements implausibles exclus.</w:t>
      </w:r>
    </w:p>
    <w:p>
      <w:pPr>
        <w:pStyle w:val="ListParagraph"/>
        <w:numPr>
          <w:ilvl w:val="0"/>
          <w:numId w:val="3"/>
        </w:numPr>
        <w:spacing w:after="60"/>
      </w:pPr>
      <w:r>
        <w:t xml:space="preserve">Effectifs faibles dans certaines modalités (traitement naturel n = 5, magasins modernes n = 3).</w:t>
      </w:r>
    </w:p>
    <w:p>
      <w:pPr>
        <w:pStyle w:val="ListParagraph"/>
        <w:numPr>
          <w:ilvl w:val="0"/>
          <w:numId w:val="3"/>
        </w:numPr>
        <w:spacing w:after="60"/>
      </w:pPr>
      <w:r>
        <w:t xml:space="preserve">Pas de coordonnées GPS ni de dates de mise en stock : pas de cartographie ni de modèle temporel.</w:t>
      </w:r>
    </w:p>
    <w:p>
      <w:pPr>
        <w:pStyle w:val="Heading2"/>
        <w:spacing w:after="120" w:before="240"/>
      </w:pPr>
      <w:r>
        <w:t xml:space="preserve">10.2 Perspectives</w:t>
      </w:r>
    </w:p>
    <w:p>
      <w:pPr>
        <w:pStyle w:val="ListParagraph"/>
        <w:numPr>
          <w:ilvl w:val="0"/>
          <w:numId w:val="3"/>
        </w:numPr>
        <w:spacing w:after="60"/>
      </w:pPr>
      <w:r>
        <w:t xml:space="preserve">Essai contrôlé fût vs sac hermétique vs sac + traitement sur 2 campagnes, avec pesées mensuelles, humidité et aflatoxines.</w:t>
      </w:r>
    </w:p>
    <w:p>
      <w:pPr>
        <w:pStyle w:val="ListParagraph"/>
        <w:numPr>
          <w:ilvl w:val="0"/>
          <w:numId w:val="3"/>
        </w:numPr>
        <w:spacing w:after="60"/>
      </w:pPr>
      <w:r>
        <w:t xml:space="preserve">Étude complémentaire auprès des femmes (charge de travail, savoir-faire de tri).</w:t>
      </w:r>
    </w:p>
    <w:p>
      <w:pPr>
        <w:pStyle w:val="ListParagraph"/>
        <w:numPr>
          <w:ilvl w:val="0"/>
          <w:numId w:val="3"/>
        </w:numPr>
        <w:spacing w:after="60"/>
      </w:pPr>
      <w:r>
        <w:t xml:space="preserve">Analyse coût-bénéfice des options d'équipement et modélisation de l'impact du warrantage sur le revenu.</w:t>
      </w:r>
    </w:p>
    <w:p>
      <w:pPr>
        <w:pStyle w:val="ListParagraph"/>
        <w:numPr>
          <w:ilvl w:val="0"/>
          <w:numId w:val="3"/>
        </w:numPr>
        <w:spacing w:after="60"/>
      </w:pPr>
      <w:r>
        <w:t xml:space="preserve">Extension géographique et géoréférencement pour une cartographie des pertes.</w:t>
      </w:r>
    </w:p>
    <w:p>
      <w:pPr>
        <w:pStyle w:val="Heading1"/>
        <w:spacing w:after="160" w:before="360"/>
      </w:pPr>
      <w:r>
        <w:t xml:space="preserve">Annexe — Livrables et reproductibilité</w:t>
      </w:r>
    </w:p>
    <w:p>
      <w:pPr>
        <w:pStyle w:val="ListParagraph"/>
        <w:numPr>
          <w:ilvl w:val="0"/>
          <w:numId w:val="3"/>
        </w:numPr>
        <w:spacing w:after="60"/>
      </w:pPr>
      <w:r>
        <w:t xml:space="preserve">notebooks/analyse_pertes_arachide.ipynb : notebook Jupyter/VS Code exécuté (audit, nettoyage, EDA, tests, modèles, segmentation).</w:t>
      </w:r>
    </w:p>
    <w:p>
      <w:pPr>
        <w:pStyle w:val="ListParagraph"/>
        <w:numPr>
          <w:ilvl w:val="0"/>
          <w:numId w:val="3"/>
        </w:numPr>
        <w:spacing w:after="60"/>
      </w:pPr>
      <w:r>
        <w:t xml:space="preserve">notebooks/analyse_pertes_arachide.py : même code au format script (cellules # %%) pour VS Code.</w:t>
      </w:r>
    </w:p>
    <w:p>
      <w:pPr>
        <w:pStyle w:val="ListParagraph"/>
        <w:numPr>
          <w:ilvl w:val="0"/>
          <w:numId w:val="3"/>
        </w:numPr>
        <w:spacing w:after="60"/>
      </w:pPr>
      <w:r>
        <w:t xml:space="preserve">dashboard/app.py : dashboard Streamlit (filtres, comparaisons, économie, facteurs, segmentation, export CSV/Excel/PDF).</w:t>
      </w:r>
    </w:p>
    <w:p>
      <w:pPr>
        <w:pStyle w:val="ListParagraph"/>
        <w:numPr>
          <w:ilvl w:val="0"/>
          <w:numId w:val="3"/>
        </w:numPr>
        <w:spacing w:after="60"/>
      </w:pPr>
      <w:r>
        <w:t xml:space="preserve">data/clean/ : jeux nettoyés (CSV, Excel), résultats des tests, profils de segments.</w:t>
      </w:r>
    </w:p>
    <w:p>
      <w:pPr>
        <w:pStyle w:val="ListParagraph"/>
        <w:numPr>
          <w:ilvl w:val="0"/>
          <w:numId w:val="3"/>
        </w:numPr>
        <w:spacing w:after="60"/>
      </w:pPr>
      <w:r>
        <w:t xml:space="preserve">figures/ : graphiques de l'étude.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Analyse des pertes post-récolte de l'arachide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264653"/>
      <w:sz w:val="32"/>
      <w:szCs w:val="32"/>
    </w:rPr>
  </w:style>
  <w:style w:type="paragraph" w:styleId="Heading2">
    <w:name w:val="Heading 2"/>
    <w:basedOn w:val="Normal"/>
    <w:next w:val="Normal"/>
    <w:qFormat/>
    <w:pPr>
      <w:spacing w:after="120" w:before="240"/>
      <w:outlineLvl w:val="1"/>
    </w:pPr>
    <w:rPr>
      <w:b/>
      <w:bCs/>
      <w:color w:val="2a9d8f"/>
      <w:sz w:val="26"/>
      <w:szCs w:val="26"/>
    </w:rPr>
  </w:style>
  <w:style w:type="paragraph" w:styleId="Heading3">
    <w:name w:val="Heading 3"/>
    <w:basedOn w:val="Normal"/>
    <w:next w:val="Normal"/>
    <w:qFormat/>
    <w:pPr>
      <w:spacing w:after="80" w:before="160"/>
      <w:outlineLvl w:val="2"/>
    </w:pPr>
    <w:rPr>
      <w:b/>
      <w:bCs/>
      <w:color w:val="e76f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eb3c5c2b04106896cd59c8ecb63283936db757.png"/><Relationship Id="rId9" Type="http://schemas.openxmlformats.org/officeDocument/2006/relationships/image" Target="media/3503c312a04d99916ab474ac1034ddbd379cf152.png"/><Relationship Id="rId10" Type="http://schemas.openxmlformats.org/officeDocument/2006/relationships/image" Target="media/c4a18b67ff0dcd162600e7a2aa5fc4b7eb1e2bd3.png"/><Relationship Id="rId11" Type="http://schemas.openxmlformats.org/officeDocument/2006/relationships/image" Target="media/43745bbdd9baa27ac07b11d4f9560e856bf87ec3.png"/><Relationship Id="rId12" Type="http://schemas.openxmlformats.org/officeDocument/2006/relationships/image" Target="media/501c0925af5713f108b4027c2c46c9702f74c253.png"/><Relationship Id="rId13" Type="http://schemas.openxmlformats.org/officeDocument/2006/relationships/image" Target="media/589192c0d8d982e27501d1306ff55e747eba2f54.png"/><Relationship Id="rId14" Type="http://schemas.openxmlformats.org/officeDocument/2006/relationships/image" Target="media/b1e880d743696aa54829eef59e10e7cea55542f5.png"/><Relationship Id="rId15" Type="http://schemas.openxmlformats.org/officeDocument/2006/relationships/image" Target="media/54d275412245281d970eb2d9e93d1de1ed2233f9.png"/><Relationship Id="rId16" Type="http://schemas.openxmlformats.org/officeDocument/2006/relationships/image" Target="media/be0213bcdb9820156e5a35d1680df56a9217b0d5.png"/><Relationship Id="rId17" Type="http://schemas.openxmlformats.org/officeDocument/2006/relationships/image" Target="media/876ebce923e953543b1da84ed1c2c5605bd9da5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Analyse pertes post-récolte arachide</dc:creator>
  <cp:lastModifiedBy>Un-named</cp:lastModifiedBy>
  <cp:revision>1</cp:revision>
  <dcterms:created xsi:type="dcterms:W3CDTF">2026-09-04T17:08:24.520Z</dcterms:created>
  <dcterms:modified xsi:type="dcterms:W3CDTF">2026-09-04T17:08:24.520Z</dcterms:modified>
</cp:coreProperties>
</file>

<file path=docProps/custom.xml><?xml version="1.0" encoding="utf-8"?>
<Properties xmlns="http://schemas.openxmlformats.org/officeDocument/2006/custom-properties" xmlns:vt="http://schemas.openxmlformats.org/officeDocument/2006/docPropsVTypes"/>
</file>