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Big Endian ou Little Endian -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As vantagens de cada um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 pensarmos na memória do computador como um grande Array, onde cada endereço armazena determinado número de bits, conseguimos armazenar números maiores ao dividirmos-los em partes e endereçar essas partes separadamente. Esse endereçamento pode ocorrer de duas formas.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Antes, é importante entender o quais são as partes mais significativas de um número, facilmente podem ser identificadas como sendo o dígito mais à esquerda, por exemplo, em 1308, o número 1 é a parte mais significativa.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maneira que chamamos Big Endian é aquela em que o número mais significativo fica armazenado no menor endereço disponível. Little Endian é exatamente o oposto.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0x12345678 seria armazenado: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Big Endian 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0x12 0x34 0x56 0x78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Little Endian 0x78 0x56 0x34 0x12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center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Big Endian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Vantagens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Mais fácies para entendimento humano quando este for examinar os valores da memória.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A checagem do sinal é feita de uma forma mais simples, porque o que indica esse sinal é está na parte mais significativa do número.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Não precisa se preocupar com a conversão da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highlight w:val="white"/>
          <w:rtl w:val="0"/>
        </w:rPr>
        <w:t xml:space="preserve">Endianidade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quando está enviando ou recebendo dados da rede.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center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Little Endian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Vantagens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Fácil de checar a paridade já que é informada no primeiro espaço do endereço.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Para alguns alfabetos é mais fácil de compreender, como arábico e hebreu.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É muito útil para aritmética de precisão arbitrária ou para fazer cálculos em arquiteturas como tamanho de palavras diferentes, como fazer cálculos de 64 bits em máquinas de 32 bits.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Útil para computadores com tamanho de memória limitada, por exemplo um microcontrolador ARM de 32 bits com um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16-bit 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contextualSpacing w:val="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Em relação à desvantagens de cada um, podem ser resumidas como sendo simplesmente o que uma ordenação faz que a outra não faz. Exemplo, uma desvantagens do Little Endian seria que não é tão fácil para humanos compreender, por outro lado, o Big Endian não é tão natural para a aritmética dos computadores.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