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360"/>
        <w:jc w:val="center"/>
      </w:pPr>
      <w:r>
        <w:rPr>
          <w:rFonts w:ascii="Times New Roman" w:hAnsi="Times New Roman"/>
          <w:b/>
          <w:sz w:val="24"/>
        </w:rPr>
        <w:t>INTELIGÊNCIA ARTIFICIAL GENERATIVA NO ENSINO DE PROGRAMAÇÃO: PENSAMENTO COMPUTACIONAL, AUTOEFICÁCIA E LETRAMENTO EM IA NO ENSINO MÉDIO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>2 REFERENCIAL TEÓRICO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Este capítulo apresenta os fundamentos que sustentam a investigação, organizados em seis eixos: (i) pensamento computacional e seu ensino na educação básica; (ii) instrumentos de avaliação do pensamento computacional; (iii) autoeficácia em programação; (iv) inteligência artificial (IA) generativa no ensino de programação; (v) letramento em IA e engenharia de </w:t>
      </w:r>
      <w:r>
        <w:rPr>
          <w:rFonts w:ascii="Times New Roman" w:hAnsi="Times New Roman"/>
          <w:i/>
          <w:sz w:val="24"/>
        </w:rPr>
        <w:t>prompt</w:t>
      </w:r>
      <w:r>
        <w:rPr>
          <w:rFonts w:ascii="Times New Roman" w:hAnsi="Times New Roman"/>
          <w:sz w:val="24"/>
        </w:rPr>
        <w:t>; e (vi) estratégias pedagógicas de ensino de programação para iniciantes.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>2.1 Pensamento computacional e seu ensino na educação básica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termo pensamento computacional ganhou projeção com Wing (2006), que o descreve como o conjunto de processos de pensamento envolvidos na resolução de problemas, na concepção de sistemas e na compreensão do comportamento humano com base em conceitos fundamentais da ciência da computação, defendendo-o como uma habilidade a ser desenvolvida por todos, e não apenas por profissionais da área. Em uma perspectiva mais próxima da prática escolar, Brennan e Resnick (2012) organizam o pensamento computacional em três dimensões: conceitos computacionais (como sequências, laços, condicionais e eventos), práticas computacionais (como experimentar, testar, depurar e reutilizar) e perspectivas computacionais (a forma como o indivíduo se relaciona com o mundo e consigo mesmo por meio da computação).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aprendizagem por meio da construção de artefatos computacionais remonta a Papert (1980), para quem programar permite ao estudante explorar ideias e corrigir seus próprios erros de modo ativo, o que fundamenta abordagens construcionistas. Grover e Pea (2013), ao revisarem o estado da área na educação básica (K-12), destacam a importância de definir de forma operacional o que se entende por pensamento computacional e de ampliar as pesquisas sobre como avaliá-lo.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No Brasil, a Resolução CNE/CEB nº 1, de 4 de outubro de 2022, instituiu normas sobre computação na educação básica como complemento à Base Nacional Comum Curricular (BNCC), organizando o conteúdo em torno dos eixos pensamento computacional, mundo digital e cultura digital (BRASIL, 2022). Nesse contexto, Brackmann (2017) investigou o desenvolvimento do pensamento computacional na educação básica brasileira e contribuiu para a adaptação e o uso de instrumentos de avaliação no país, constituindo referência nacional para estudos da área.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>2.2 Avaliação do pensamento computacional: Bebras e Teste de Pensamento Computacional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mensuração do pensamento computacional é um desafio recorrente na literatura. Entre as iniciativas de ampla adoção está o Bebras, desafio internacional composto por tarefas curtas que avaliam raciocínio algorítmico e lógico sem exigir conhecimento prévio de programação (DAGIENĖ; STUPURIENĖ, 2016). Essa característica o torna adequado para públicos iniciantes e para medições realizadas antes do contato dos estudantes com a linguagem de programação.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Outro instrumento consolidado é o </w:t>
      </w:r>
      <w:r>
        <w:rPr>
          <w:rFonts w:ascii="Times New Roman" w:hAnsi="Times New Roman"/>
          <w:i/>
          <w:sz w:val="24"/>
        </w:rPr>
        <w:t>Computational Thinking Test</w:t>
      </w:r>
      <w:r>
        <w:rPr>
          <w:rFonts w:ascii="Times New Roman" w:hAnsi="Times New Roman"/>
          <w:sz w:val="24"/>
        </w:rPr>
        <w:t xml:space="preserve"> (CTt), proposto por Román-González, Pérez-González e Jiménez-Fernández (2017) com o objetivo de verificar quais habilidades cognitivas se relacionam ao pensamento computacional, e concebido para estudantes adolescentes. Delineamentos que aplicam instrumentos desse tipo em dois momentos (pré-teste e pós-teste) permitem estimar a variação do desempenho dos participantes após uma intervenção, o que é pertinente para investigar o efeito de uma trilha formativa que integra programação e IA.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>2.3 Autoeficácia em programação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A autoeficácia, conceito central da teoria social cognitiva, refere-se à crença do indivíduo em sua capacidade de organizar e executar as ações necessárias para alcançar um resultado (BANDURA, 1977). Segundo o autor, essas crenças são construídas principalmente por quatro fontes: experiências de êxito, experiências vicárias (observação de outros), persuasão verbal e estados fisiológicos e emocionais. No ensino de programação, em que estudantes iniciantes frequentemente se deparam com mensagens de erro e frustração, estruturar atividades que proporcionem experiências graduais de êxito tende a ser particularmente relevante à luz dessa teoria.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Para mensurar esse construto no contexto da programação, Tsai, Wang e Hsu (2019) desenvolveram a </w:t>
      </w:r>
      <w:r>
        <w:rPr>
          <w:rFonts w:ascii="Times New Roman" w:hAnsi="Times New Roman"/>
          <w:i/>
          <w:sz w:val="24"/>
        </w:rPr>
        <w:t>Computer Programming Self-Efficacy Scale</w:t>
      </w:r>
      <w:r>
        <w:rPr>
          <w:rFonts w:ascii="Times New Roman" w:hAnsi="Times New Roman"/>
          <w:sz w:val="24"/>
        </w:rPr>
        <w:t xml:space="preserve"> (CPSES), escala multidimensional respondida em formato Likert, que vem sendo utilizada para acompanhar a confiança de estudantes em atividades de programação. Sua aplicação em momentos distintos possibilita analisar se uma intervenção pedagógica se associa a mudanças na percepção de competência dos participantes.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>2.4 Inteligência artificial generativa no ensino de programação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A disseminação de modelos de linguagem de grande porte capazes de gerar, explicar e corrigir código alterou o cenário do ensino de computação. Becker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(2023) discutem que a geração automática de código apresenta, ao mesmo tempo, oportunidades (como exemplos personalizados, explicações e apoio à depuração) e desafios (como o uso indevido para obter respostas prontas e a necessidade de repensar avaliações). Denny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(2024) reforçam que tais modelos resolvem com facilidade problemas típicos de disciplinas introdutórias, o que exige a adaptação de objetivos de aprendizagem e de práticas pedagógicas, em vez da simples proibição da tecnologia.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As evidências empíricas sobre o efeito dessas ferramentas em iniciantes são, contudo, matizadas. Kazemitabaar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(2023) observaram que aprendizes novatos que dispunham de um gerador de código obtiveram melhor desempenho em tarefas de autoria, sem prejuízo evidente em avaliações posteriores realizadas sem o apoio da ferramenta. Por outro lado, Prather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(2024) alertam para o risco de ampliação das desigualdades entre os estudantes: aqueles com menor capacidade metacognitiva podem ser induzidos a uma ilusão de competência, enquanto os mais autorregulados tendem a aproveitar melhor o recurso. Esses resultados indicam que o ganho de aprendizagem depende do modo como a IA é inserida no processo didático, o que justifica pesquisas que descrevam e avaliem propostas estruturadas de uso orientado.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 xml:space="preserve">2.5 Letramento em IA e engenharia de </w:t>
      </w:r>
      <w:r>
        <w:rPr>
          <w:rFonts w:ascii="Times New Roman" w:hAnsi="Times New Roman"/>
          <w:b/>
          <w:i/>
          <w:sz w:val="24"/>
        </w:rPr>
        <w:t>prompt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letramento em IA é definido por Long e Magerko (2020) como o conjunto de competências que permite às pessoas avaliar criticamente tecnologias de IA, comunicar-se e colaborar com elas de forma eficaz e utilizá-las como ferramenta em diferentes contextos. Esse conceito amplia o foco do simples uso instrumental para a compreensão dos limites, dos riscos e das implicações éticas desses sistemas, dimensões importantes na formação de adolescentes.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Nesse cenário, a engenharia de </w:t>
      </w:r>
      <w:r>
        <w:rPr>
          <w:rFonts w:ascii="Times New Roman" w:hAnsi="Times New Roman"/>
          <w:i/>
          <w:sz w:val="24"/>
        </w:rPr>
        <w:t>prompt</w:t>
      </w:r>
      <w:r>
        <w:rPr>
          <w:rFonts w:ascii="Times New Roman" w:hAnsi="Times New Roman"/>
          <w:sz w:val="24"/>
        </w:rPr>
        <w:t xml:space="preserve"> emerge como uma habilidade de comunicação com os modelos de linguagem. White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(2023) propõem um catálogo de padrões de </w:t>
      </w:r>
      <w:r>
        <w:rPr>
          <w:rFonts w:ascii="Times New Roman" w:hAnsi="Times New Roman"/>
          <w:i/>
          <w:sz w:val="24"/>
        </w:rPr>
        <w:t>prompt</w:t>
      </w:r>
      <w:r>
        <w:rPr>
          <w:rFonts w:ascii="Times New Roman" w:hAnsi="Times New Roman"/>
          <w:sz w:val="24"/>
        </w:rPr>
        <w:t xml:space="preserve">, entendidos como soluções reutilizáveis para problemas recorrentes na interação com modelos como o ChatGPT, o que evidencia que a qualidade da instrução formulada influencia a qualidade da resposta obtida. No ensino de programação, formular um </w:t>
      </w:r>
      <w:r>
        <w:rPr>
          <w:rFonts w:ascii="Times New Roman" w:hAnsi="Times New Roman"/>
          <w:i/>
          <w:sz w:val="24"/>
        </w:rPr>
        <w:t>prompt</w:t>
      </w:r>
      <w:r>
        <w:rPr>
          <w:rFonts w:ascii="Times New Roman" w:hAnsi="Times New Roman"/>
          <w:sz w:val="24"/>
        </w:rPr>
        <w:t xml:space="preserve"> claro exige que o estudante decomponha o problema, explicite requisitos e restrições e avalie criticamente o código recebido, habilidades associadas ao próprio pensamento computacional (BRENNAN; RESNICK, 2012).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>2.6 Estratégias pedagógicas para o ensino de programação a iniciantes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Kirschner, Sweller e Clark (2006) argumentam que, para aprendizes iniciantes, abordagens com mínima orientação são menos eficazes do que aquelas com instrução guiada, o que respalda sequências didáticas estruturadas com demonstração, prática orientada e retirada gradual do apoio. Essa lógica dialoga com o conceito de zona de desenvolvimento proximal de Vygotsky (1991), segundo o qual o apoio de um mediador mais experiente permite ao estudante realizar tarefas que ainda não realizaria sozinho.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Estudos multinacionais indicam que muitos programadores novatos apresentam dificuldades para ler e rastrear a execução de trechos de código (LISTER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>, 2004). Em resposta, Sentance, Waite e Kallia (2019) propõem a abordagem PRIMM (</w:t>
      </w:r>
      <w:r>
        <w:rPr>
          <w:rFonts w:ascii="Times New Roman" w:hAnsi="Times New Roman"/>
          <w:i/>
          <w:sz w:val="24"/>
        </w:rPr>
        <w:t>Predict, Run, Investigate, Modify, Make</w:t>
      </w:r>
      <w:r>
        <w:rPr>
          <w:rFonts w:ascii="Times New Roman" w:hAnsi="Times New Roman"/>
          <w:sz w:val="24"/>
        </w:rPr>
        <w:t>), que antecipa a leitura, a previsão e a investigação de código existente antes da escrita autônoma. Estratégias de análise de código pronto e de depuração orientada, como a engenharia reversa guiada e os testes de estresse, são coerentes com esse princípio.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Por fim, a aprendizagem baseada em projetos favorece o engajamento ao propor problemas autênticos e a produção de artefatos concretos (BLUMENFELD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>, 1991). Quando vinculados aos Objetivos de Desenvolvimento Sustentável da Agenda 2030 (ORGANIZAÇÃO DAS NAÇÕES UNIDAS, 2015), os projetos agregam à dimensão técnica uma dimensão cidadã, estimulando a aplicação da programação a problemas socialmente relevantes.</w:t>
      </w:r>
    </w:p>
    <w:p>
      <w:pPr>
        <w:keepNext/>
        <w:spacing w:line="360" w:lineRule="auto" w:before="240" w:after="240"/>
        <w:jc w:val="left"/>
      </w:pPr>
      <w:r>
        <w:rPr>
          <w:rFonts w:ascii="Times New Roman" w:hAnsi="Times New Roman"/>
          <w:b/>
          <w:sz w:val="24"/>
        </w:rPr>
        <w:t>2.7 Síntese e lacuna de pesquisa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>O Quadro 1 sintetiza a relação entre os construtos investigados, os instrumentos de medida e os principais referenciais adotados.</w:t>
      </w:r>
    </w:p>
    <w:p>
      <w:pPr>
        <w:keepNext/>
        <w:spacing w:line="240" w:lineRule="auto" w:before="120" w:after="120"/>
        <w:jc w:val="center"/>
      </w:pPr>
      <w:r>
        <w:rPr>
          <w:rFonts w:ascii="Times New Roman" w:hAnsi="Times New Roman"/>
          <w:sz w:val="20"/>
        </w:rPr>
        <w:t>Quadro 1 – Construtos, instrumentos e referenciais teóricos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Construto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Instrumento / foco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Referenciais</w:t>
            </w:r>
          </w:p>
        </w:tc>
      </w:tr>
      <w:tr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Pensamento computacional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Bebras e CTt (pré e pós-teste)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Wing (2006); Brennan e Resnick (2012); Dagienė e Stupurienė (2016); Román-González, Pérez-González e Jiménez-Fernández (2017)</w:t>
            </w:r>
          </w:p>
        </w:tc>
      </w:tr>
      <w:tr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Autoeficácia em programação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CPSES (escala Likert)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Bandura (1977); Tsai, Wang e Hsu (2019)</w:t>
            </w:r>
          </w:p>
        </w:tc>
      </w:tr>
      <w:tr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Letramento em IA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Questionário de letramento em IA; análise de </w:t>
            </w:r>
            <w:r>
              <w:rPr>
                <w:rFonts w:ascii="Times New Roman" w:hAnsi="Times New Roman"/>
                <w:i/>
                <w:sz w:val="20"/>
              </w:rPr>
              <w:t>prompts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Long e Magerko (2020); White </w:t>
            </w:r>
            <w:r>
              <w:rPr>
                <w:rFonts w:ascii="Times New Roman" w:hAnsi="Times New Roman"/>
                <w:i/>
                <w:sz w:val="20"/>
              </w:rPr>
              <w:t>et al.</w:t>
            </w:r>
            <w:r>
              <w:rPr>
                <w:rFonts w:ascii="Times New Roman" w:hAnsi="Times New Roman"/>
                <w:sz w:val="20"/>
              </w:rPr>
              <w:t xml:space="preserve"> (2023)</w:t>
            </w:r>
          </w:p>
        </w:tc>
      </w:tr>
      <w:tr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Uso de IA generativa na aprendizagem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>Registros de interação com a IA e produção de código</w:t>
            </w:r>
          </w:p>
        </w:tc>
        <w:tc>
          <w:tcPr>
            <w:tcW w:type="dxa" w:w="3024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Becker </w:t>
            </w:r>
            <w:r>
              <w:rPr>
                <w:rFonts w:ascii="Times New Roman" w:hAnsi="Times New Roman"/>
                <w:i/>
                <w:sz w:val="20"/>
              </w:rPr>
              <w:t>et al.</w:t>
            </w:r>
            <w:r>
              <w:rPr>
                <w:rFonts w:ascii="Times New Roman" w:hAnsi="Times New Roman"/>
                <w:sz w:val="20"/>
              </w:rPr>
              <w:t xml:space="preserve"> (2023); Kazemitabaar </w:t>
            </w:r>
            <w:r>
              <w:rPr>
                <w:rFonts w:ascii="Times New Roman" w:hAnsi="Times New Roman"/>
                <w:i/>
                <w:sz w:val="20"/>
              </w:rPr>
              <w:t>et al.</w:t>
            </w:r>
            <w:r>
              <w:rPr>
                <w:rFonts w:ascii="Times New Roman" w:hAnsi="Times New Roman"/>
                <w:sz w:val="20"/>
              </w:rPr>
              <w:t xml:space="preserve"> (2023); Prather </w:t>
            </w:r>
            <w:r>
              <w:rPr>
                <w:rFonts w:ascii="Times New Roman" w:hAnsi="Times New Roman"/>
                <w:i/>
                <w:sz w:val="20"/>
              </w:rPr>
              <w:t>et al.</w:t>
            </w:r>
            <w:r>
              <w:rPr>
                <w:rFonts w:ascii="Times New Roman" w:hAnsi="Times New Roman"/>
                <w:sz w:val="20"/>
              </w:rPr>
              <w:t xml:space="preserve"> (2024)</w:t>
            </w:r>
          </w:p>
        </w:tc>
      </w:tr>
    </w:tbl>
    <w:p>
      <w:pPr>
        <w:keepNext w:val="0"/>
        <w:spacing w:line="240" w:lineRule="auto" w:before="80" w:after="240"/>
        <w:jc w:val="left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4"/>
        </w:rPr>
        <w:t xml:space="preserve">Observa-se, portanto, que a literatura já discute as oportunidades e os riscos da IA generativa para iniciantes e dispõe de instrumentos validados para mensurar pensamento computacional e autoeficácia. Entretanto, ainda são escassos os estudos que descrevam e avaliem, de forma integrada, uma trilha formativa para estudantes do ensino médio sem conhecimento prévio em programação, que combine instrução guiada, engenharia de </w:t>
      </w:r>
      <w:r>
        <w:rPr>
          <w:rFonts w:ascii="Times New Roman" w:hAnsi="Times New Roman"/>
          <w:i/>
          <w:sz w:val="24"/>
        </w:rPr>
        <w:t>prompt</w:t>
      </w:r>
      <w:r>
        <w:rPr>
          <w:rFonts w:ascii="Times New Roman" w:hAnsi="Times New Roman"/>
          <w:sz w:val="24"/>
        </w:rPr>
        <w:t xml:space="preserve"> e letramento em IA, mensurando conjuntamente seus efeitos sobre o pensamento computacional e a autoeficácia. É nessa lacuna que se insere a presente investigação.</w:t>
      </w:r>
    </w:p>
    <w:p>
      <w:r>
        <w:br w:type="page"/>
      </w:r>
    </w:p>
    <w:p>
      <w:pPr>
        <w:keepNext w:val="0"/>
        <w:spacing w:line="360" w:lineRule="auto" w:before="0" w:after="240"/>
        <w:jc w:val="center"/>
      </w:pPr>
      <w:r>
        <w:rPr>
          <w:rFonts w:ascii="Times New Roman" w:hAnsi="Times New Roman"/>
          <w:b/>
          <w:sz w:val="24"/>
        </w:rPr>
        <w:t>REFERÊNCIAS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BANDURA, Albert. Self-efficacy: toward a unifying theory of behavioral change. </w:t>
      </w:r>
      <w:r>
        <w:rPr>
          <w:rFonts w:ascii="Times New Roman" w:hAnsi="Times New Roman"/>
          <w:b/>
          <w:sz w:val="24"/>
        </w:rPr>
        <w:t>Psychological Review</w:t>
      </w:r>
      <w:r>
        <w:rPr>
          <w:rFonts w:ascii="Times New Roman" w:hAnsi="Times New Roman"/>
          <w:sz w:val="24"/>
        </w:rPr>
        <w:t>, Washington, v. 84, n. 2, p. 191-215, 1977.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BECKER, Brett A.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Programming is hard – or at least it used to be: educational opportunities and challenges of AI code generation. In: ACM TECHNICAL SYMPOSIUM ON COMPUTER SCIENCE EDUCATION, 54., 2023, Toronto. </w:t>
      </w:r>
      <w:r>
        <w:rPr>
          <w:rFonts w:ascii="Times New Roman" w:hAnsi="Times New Roman"/>
          <w:b/>
          <w:sz w:val="24"/>
        </w:rPr>
        <w:t>Proceedings</w:t>
      </w:r>
      <w:r>
        <w:rPr>
          <w:rFonts w:ascii="Times New Roman" w:hAnsi="Times New Roman"/>
          <w:sz w:val="24"/>
        </w:rPr>
        <w:t xml:space="preserve"> [...]. New York: ACM, 2023. p. 500-506.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BLUMENFELD, Phyllis C.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Motivating project-based learning: sustaining the doing, supporting the learning. </w:t>
      </w:r>
      <w:r>
        <w:rPr>
          <w:rFonts w:ascii="Times New Roman" w:hAnsi="Times New Roman"/>
          <w:b/>
          <w:sz w:val="24"/>
        </w:rPr>
        <w:t>Educational Psychologist</w:t>
      </w:r>
      <w:r>
        <w:rPr>
          <w:rFonts w:ascii="Times New Roman" w:hAnsi="Times New Roman"/>
          <w:sz w:val="24"/>
        </w:rPr>
        <w:t>, Abingdon, v. 26, n. 3-4, p. 369-398, 1991.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BRACKMANN, Christian Puhlmann. </w:t>
      </w:r>
      <w:r>
        <w:rPr>
          <w:rFonts w:ascii="Times New Roman" w:hAnsi="Times New Roman"/>
          <w:b/>
          <w:sz w:val="24"/>
        </w:rPr>
        <w:t>Desenvolvimento do pensamento computacional através de atividades desplugadas na educação básica</w:t>
      </w:r>
      <w:r>
        <w:rPr>
          <w:rFonts w:ascii="Times New Roman" w:hAnsi="Times New Roman"/>
          <w:sz w:val="24"/>
        </w:rPr>
        <w:t>. 2017. Tese (Doutorado em Informática na Educação) – Faculdade de Educação, Universidade Federal do Rio Grande do Sul, Porto Alegre, 2017.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BRASIL. Conselho Nacional de Educação. Câmara de Educação Básica. </w:t>
      </w:r>
      <w:r>
        <w:rPr>
          <w:rFonts w:ascii="Times New Roman" w:hAnsi="Times New Roman"/>
          <w:b/>
          <w:sz w:val="24"/>
        </w:rPr>
        <w:t>Resolução CNE/CEB nº 1, de 4 de outubro de 2022</w:t>
      </w:r>
      <w:r>
        <w:rPr>
          <w:rFonts w:ascii="Times New Roman" w:hAnsi="Times New Roman"/>
          <w:sz w:val="24"/>
        </w:rPr>
        <w:t>. Institui Normas sobre Computação na Educação Básica – Complemento à Base Nacional Comum Curricular (BNCC). Brasília, DF: CNE, 2022.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BRENNAN, Karen; RESNICK, Mitchel. New frameworks for studying and assessing the development of computational thinking. In: ANNUAL MEETING OF THE AMERICAN EDUCATIONAL RESEARCH ASSOCIATION, 2012, Vancouver. </w:t>
      </w:r>
      <w:r>
        <w:rPr>
          <w:rFonts w:ascii="Times New Roman" w:hAnsi="Times New Roman"/>
          <w:b/>
          <w:sz w:val="24"/>
        </w:rPr>
        <w:t>Proceedings</w:t>
      </w:r>
      <w:r>
        <w:rPr>
          <w:rFonts w:ascii="Times New Roman" w:hAnsi="Times New Roman"/>
          <w:sz w:val="24"/>
        </w:rPr>
        <w:t xml:space="preserve"> [...]. Vancouver: AERA, 2012. p. 1-25.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DAGIENĖ, Valentina; STUPURIENĖ, Gabrielė. Bebras – a sustainable community building model for the concept based learning of informatics and computational thinking. </w:t>
      </w:r>
      <w:r>
        <w:rPr>
          <w:rFonts w:ascii="Times New Roman" w:hAnsi="Times New Roman"/>
          <w:b/>
          <w:sz w:val="24"/>
        </w:rPr>
        <w:t>Informatics in Education</w:t>
      </w:r>
      <w:r>
        <w:rPr>
          <w:rFonts w:ascii="Times New Roman" w:hAnsi="Times New Roman"/>
          <w:sz w:val="24"/>
        </w:rPr>
        <w:t>, Vilnius, v. 15, n. 1, p. 25-44, 2016.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DENNY, Paul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Computing education in the era of generative AI. </w:t>
      </w:r>
      <w:r>
        <w:rPr>
          <w:rFonts w:ascii="Times New Roman" w:hAnsi="Times New Roman"/>
          <w:b/>
          <w:sz w:val="24"/>
        </w:rPr>
        <w:t>Communications of the ACM</w:t>
      </w:r>
      <w:r>
        <w:rPr>
          <w:rFonts w:ascii="Times New Roman" w:hAnsi="Times New Roman"/>
          <w:sz w:val="24"/>
        </w:rPr>
        <w:t>, New York, v. 67, n. 2, p. 56-67, 2024.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GROVER, Shuchi; PEA, Roy. Computational thinking in K–12: a review of the state of the field. </w:t>
      </w:r>
      <w:r>
        <w:rPr>
          <w:rFonts w:ascii="Times New Roman" w:hAnsi="Times New Roman"/>
          <w:b/>
          <w:sz w:val="24"/>
        </w:rPr>
        <w:t>Educational Researcher</w:t>
      </w:r>
      <w:r>
        <w:rPr>
          <w:rFonts w:ascii="Times New Roman" w:hAnsi="Times New Roman"/>
          <w:sz w:val="24"/>
        </w:rPr>
        <w:t>, Thousand Oaks, v. 42, n. 1, p. 38-43, 2013.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KAZEMITABAAR, Majeed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Studying the effect of AI code generators on supporting novice learners in introductory programming. In: CHI CONFERENCE ON HUMAN FACTORS IN COMPUTING SYSTEMS, 2023, Hamburg. </w:t>
      </w:r>
      <w:r>
        <w:rPr>
          <w:rFonts w:ascii="Times New Roman" w:hAnsi="Times New Roman"/>
          <w:b/>
          <w:sz w:val="24"/>
        </w:rPr>
        <w:t>Proceedings</w:t>
      </w:r>
      <w:r>
        <w:rPr>
          <w:rFonts w:ascii="Times New Roman" w:hAnsi="Times New Roman"/>
          <w:sz w:val="24"/>
        </w:rPr>
        <w:t xml:space="preserve"> [...]. New York: ACM, 2023. p. 1-23.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KIRSCHNER, Paul A.; SWELLER, John; CLARK, Richard E. Why minimal guidance during instruction does not work: an analysis of the failure of constructivist, discovery, problem-based, experiential, and inquiry-based teaching. </w:t>
      </w:r>
      <w:r>
        <w:rPr>
          <w:rFonts w:ascii="Times New Roman" w:hAnsi="Times New Roman"/>
          <w:b/>
          <w:sz w:val="24"/>
        </w:rPr>
        <w:t>Educational Psychologist</w:t>
      </w:r>
      <w:r>
        <w:rPr>
          <w:rFonts w:ascii="Times New Roman" w:hAnsi="Times New Roman"/>
          <w:sz w:val="24"/>
        </w:rPr>
        <w:t>, Abingdon, v. 41, n. 2, p. 75-86, 2006.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LISTER, Raymond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A multi-national study of reading and tracing skills in novice programmers. </w:t>
      </w:r>
      <w:r>
        <w:rPr>
          <w:rFonts w:ascii="Times New Roman" w:hAnsi="Times New Roman"/>
          <w:b/>
          <w:sz w:val="24"/>
        </w:rPr>
        <w:t>ACM SIGCSE Bulletin</w:t>
      </w:r>
      <w:r>
        <w:rPr>
          <w:rFonts w:ascii="Times New Roman" w:hAnsi="Times New Roman"/>
          <w:sz w:val="24"/>
        </w:rPr>
        <w:t>, New York, v. 36, n. 4, p. 119-150, 2004.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LONG, Duri; MAGERKO, Brian. What is AI literacy? Competencies and design considerations. In: CHI CONFERENCE ON HUMAN FACTORS IN COMPUTING SYSTEMS, 2020, Honolulu. </w:t>
      </w:r>
      <w:r>
        <w:rPr>
          <w:rFonts w:ascii="Times New Roman" w:hAnsi="Times New Roman"/>
          <w:b/>
          <w:sz w:val="24"/>
        </w:rPr>
        <w:t>Proceedings</w:t>
      </w:r>
      <w:r>
        <w:rPr>
          <w:rFonts w:ascii="Times New Roman" w:hAnsi="Times New Roman"/>
          <w:sz w:val="24"/>
        </w:rPr>
        <w:t xml:space="preserve"> [...]. New York: ACM, 2020. p. 1-16.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ORGANIZAÇÃO DAS NAÇÕES UNIDAS. </w:t>
      </w:r>
      <w:r>
        <w:rPr>
          <w:rFonts w:ascii="Times New Roman" w:hAnsi="Times New Roman"/>
          <w:b/>
          <w:sz w:val="24"/>
        </w:rPr>
        <w:t>Transformando nosso mundo</w:t>
      </w:r>
      <w:r>
        <w:rPr>
          <w:rFonts w:ascii="Times New Roman" w:hAnsi="Times New Roman"/>
          <w:sz w:val="24"/>
        </w:rPr>
        <w:t>: a Agenda 2030 para o Desenvolvimento Sustentável. Rio de Janeiro: ONU Brasil, 2015.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PAPERT, Seymour. </w:t>
      </w:r>
      <w:r>
        <w:rPr>
          <w:rFonts w:ascii="Times New Roman" w:hAnsi="Times New Roman"/>
          <w:b/>
          <w:sz w:val="24"/>
        </w:rPr>
        <w:t>Mindstorms</w:t>
      </w:r>
      <w:r>
        <w:rPr>
          <w:rFonts w:ascii="Times New Roman" w:hAnsi="Times New Roman"/>
          <w:sz w:val="24"/>
        </w:rPr>
        <w:t>: children, computers, and powerful ideas. New York: Basic Books, 1980.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PRATHER, James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The widening gap: the benefits and harms of generative AI for novice programmers. In: ACM CONFERENCE ON INTERNATIONAL COMPUTING EDUCATION RESEARCH, 2024, Melbourne. </w:t>
      </w:r>
      <w:r>
        <w:rPr>
          <w:rFonts w:ascii="Times New Roman" w:hAnsi="Times New Roman"/>
          <w:b/>
          <w:sz w:val="24"/>
        </w:rPr>
        <w:t>Proceedings</w:t>
      </w:r>
      <w:r>
        <w:rPr>
          <w:rFonts w:ascii="Times New Roman" w:hAnsi="Times New Roman"/>
          <w:sz w:val="24"/>
        </w:rPr>
        <w:t xml:space="preserve"> [...]. New York: ACM, 2024.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ROMÁN-GONZÁLEZ, Marcos; PÉREZ-GONZÁLEZ, Juan-Carlos; JIMÉNEZ-FERNÁNDEZ, Carmen. Which cognitive abilities underlie computational thinking? Criterion validity of the Computational Thinking Test. </w:t>
      </w:r>
      <w:r>
        <w:rPr>
          <w:rFonts w:ascii="Times New Roman" w:hAnsi="Times New Roman"/>
          <w:b/>
          <w:sz w:val="24"/>
        </w:rPr>
        <w:t>Computers in Human Behavior</w:t>
      </w:r>
      <w:r>
        <w:rPr>
          <w:rFonts w:ascii="Times New Roman" w:hAnsi="Times New Roman"/>
          <w:sz w:val="24"/>
        </w:rPr>
        <w:t>, Amsterdam, v. 72, p. 678-691, 2017.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SENTANCE, Sue; WAITE, Jane; KALLIA, Maria. Teaching computer programming with PRIMM: a sociocultural perspective. </w:t>
      </w:r>
      <w:r>
        <w:rPr>
          <w:rFonts w:ascii="Times New Roman" w:hAnsi="Times New Roman"/>
          <w:b/>
          <w:sz w:val="24"/>
        </w:rPr>
        <w:t>Computer Science Education</w:t>
      </w:r>
      <w:r>
        <w:rPr>
          <w:rFonts w:ascii="Times New Roman" w:hAnsi="Times New Roman"/>
          <w:sz w:val="24"/>
        </w:rPr>
        <w:t>, Abingdon, v. 29, n. 2-3, p. 136-176, 2019.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TSAI, Meng-Jung; WANG, Chin-Yeh; HSU, Po-Fen. Developing the computer programming self-efficacy scale for computer literacy education. </w:t>
      </w:r>
      <w:r>
        <w:rPr>
          <w:rFonts w:ascii="Times New Roman" w:hAnsi="Times New Roman"/>
          <w:b/>
          <w:sz w:val="24"/>
        </w:rPr>
        <w:t>Journal of Educational Computing Research</w:t>
      </w:r>
      <w:r>
        <w:rPr>
          <w:rFonts w:ascii="Times New Roman" w:hAnsi="Times New Roman"/>
          <w:sz w:val="24"/>
        </w:rPr>
        <w:t>, Thousand Oaks, v. 56, n. 8, p. 1345-1360, 2019.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VYGOTSKY, Lev Semenovich. </w:t>
      </w:r>
      <w:r>
        <w:rPr>
          <w:rFonts w:ascii="Times New Roman" w:hAnsi="Times New Roman"/>
          <w:b/>
          <w:sz w:val="24"/>
        </w:rPr>
        <w:t>A formação social da mente</w:t>
      </w:r>
      <w:r>
        <w:rPr>
          <w:rFonts w:ascii="Times New Roman" w:hAnsi="Times New Roman"/>
          <w:sz w:val="24"/>
        </w:rPr>
        <w:t>: o desenvolvimento dos processos psicológicos superiores. 4. ed. São Paulo: Martins Fontes, 1991.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WHITE, Jules </w:t>
      </w:r>
      <w:r>
        <w:rPr>
          <w:rFonts w:ascii="Times New Roman" w:hAnsi="Times New Roman"/>
          <w:i/>
          <w:sz w:val="24"/>
        </w:rPr>
        <w:t>et al.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 prompt pattern catalog to enhance prompt engineering with ChatGPT</w:t>
      </w:r>
      <w:r>
        <w:rPr>
          <w:rFonts w:ascii="Times New Roman" w:hAnsi="Times New Roman"/>
          <w:sz w:val="24"/>
        </w:rPr>
        <w:t>. [S. l.]: arXiv, 2023. Disponível em: https://arxiv.org/abs/2302.11382. Acesso em: 13 out. 2026.</w:t>
      </w:r>
    </w:p>
    <w:p>
      <w:pPr>
        <w:keepNext w:val="0"/>
        <w:spacing w:line="240" w:lineRule="auto" w:before="0" w:after="240"/>
        <w:jc w:val="left"/>
      </w:pPr>
      <w:r>
        <w:rPr>
          <w:rFonts w:ascii="Times New Roman" w:hAnsi="Times New Roman"/>
          <w:sz w:val="24"/>
        </w:rPr>
        <w:t xml:space="preserve">WING, Jeannette M. Computational thinking. </w:t>
      </w:r>
      <w:r>
        <w:rPr>
          <w:rFonts w:ascii="Times New Roman" w:hAnsi="Times New Roman"/>
          <w:b/>
          <w:sz w:val="24"/>
        </w:rPr>
        <w:t>Communications of the ACM</w:t>
      </w:r>
      <w:r>
        <w:rPr>
          <w:rFonts w:ascii="Times New Roman" w:hAnsi="Times New Roman"/>
          <w:sz w:val="24"/>
        </w:rPr>
        <w:t>, New York, v. 49, n. 3, p. 33-35, 2006.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