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4"/>
        </w:rPr>
        <w:t>DESK IMPERIAL: SISTEMA GRATUITO E DE CÓDIGO ABERTO DE GESTÃO COMERCIAL PARA PEQUENOS E MÉDIOS COMERCIANTES BRASILEIROS</w:t>
      </w:r>
    </w:p>
    <w:p>
      <w:pPr>
        <w:spacing w:line="360" w:lineRule="auto" w:after="120"/>
        <w:jc w:val="center"/>
      </w:pPr>
      <w:r>
        <w:rPr>
          <w:rFonts w:ascii="Times New Roman" w:hAnsi="Times New Roman"/>
          <w:b w:val="0"/>
          <w:sz w:val="24"/>
        </w:rPr>
        <w:t>Categoria: Resumo Expandido — Graduação em Engenharia de Software</w:t>
      </w:r>
    </w:p>
    <w:p>
      <w:pPr>
        <w:spacing w:line="360" w:lineRule="auto" w:after="120"/>
        <w:jc w:val="center"/>
      </w:pPr>
      <w:r>
        <w:rPr>
          <w:rFonts w:ascii="Times New Roman" w:hAnsi="Times New Roman"/>
          <w:b w:val="0"/>
          <w:sz w:val="24"/>
        </w:rPr>
        <w:t>João Victor de Moraes da Cruz</w:t>
      </w:r>
    </w:p>
    <w:p>
      <w:pPr>
        <w:spacing w:line="360" w:lineRule="auto" w:after="120"/>
        <w:jc w:val="center"/>
      </w:pPr>
      <w:r>
        <w:rPr>
          <w:rFonts w:ascii="Times New Roman" w:hAnsi="Times New Roman"/>
          <w:b w:val="0"/>
          <w:sz w:val="24"/>
        </w:rPr>
        <w:t>Professor: Lucas Hermenegildo do Nascimento</w:t>
      </w:r>
    </w:p>
    <w:p>
      <w:pPr>
        <w:spacing w:line="360" w:lineRule="auto" w:after="120"/>
        <w:jc w:val="center"/>
      </w:pPr>
      <w:r>
        <w:rPr>
          <w:rFonts w:ascii="Times New Roman" w:hAnsi="Times New Roman"/>
          <w:b w:val="0"/>
          <w:sz w:val="24"/>
        </w:rPr>
        <w:t>Universidade de Vassouras — Curso de Engenharia de Software</w:t>
      </w:r>
    </w:p>
    <w:p>
      <w:pPr>
        <w:spacing w:line="360" w:lineRule="auto" w:after="120"/>
        <w:jc w:val="center"/>
      </w:pPr>
      <w:r>
        <w:rPr>
          <w:rFonts w:ascii="Times New Roman" w:hAnsi="Times New Roman"/>
          <w:b w:val="0"/>
          <w:sz w:val="24"/>
        </w:rPr>
        <w:t>E-mail do autor principal: jvictodacruz13@gmail.com</w:t>
      </w:r>
    </w:p>
    <w:p/>
    <w:p>
      <w:pPr>
        <w:spacing w:line="360" w:lineRule="auto" w:after="120"/>
        <w:jc w:val="both"/>
      </w:pPr>
      <w:r>
        <w:rPr>
          <w:rFonts w:ascii="Times New Roman" w:hAnsi="Times New Roman"/>
          <w:b/>
          <w:sz w:val="24"/>
        </w:rPr>
        <w:t>Resumo:</w:t>
      </w:r>
      <w:r>
        <w:rPr>
          <w:rFonts w:ascii="Times New Roman" w:hAnsi="Times New Roman"/>
          <w:b w:val="0"/>
          <w:sz w:val="24"/>
        </w:rPr>
        <w:t xml:space="preserve"> O pequeno e médio comércio brasileiro responde por parcela significativa dos empregos formais no país, mas convive com baixa adoção de tecnologia de gestão, recorrendo a planilhas ou controles manuais em razão do custo de sistemas comerciais proprietários. Este trabalho apresenta o Desk Imperial, sistema gratuito e de código aberto, licenciado em MIT, desenvolvido para integrar operação em tempo real — ponto de venda, comandas e acompanhamento de salão — e gestão do negócio, incluindo financeiro por período, folha de pagamento automática, mapa de vendas geocodificado e painel executivo móvel. O objetivo geral é oferecer a pequenos e médios comerciantes uma ferramenta completa, segura e acessível, sem mensalidade. Adota-se pesquisa aplicada de natureza mista, combinando levantamento qualitativo de requisitos junto a um comércio familiar real com avaliação quantitativa da solução por meio de testes automatizados, métricas de latência e auditoria estática de qualidade. O desenvolvimento emprega arquitetura em monorepo com NestJS, Next.js, PostgreSQL, Redis e Socket.IO, sustentada por pipeline de integração contínua de seis estágios, cobertura por cinquenta e três suítes de teste no backend, testes ponta a ponta com Playwright e testes de carga com K6 definindo metas de latência p95 e p99. Os resultados confirmam quatorze módulos em produção, Quality Gate aprovado em auditoria SonarQube, isolamento por workspace e mecanismos de segurança baseados em cookies HttpOnly, CSRF duplo, rate limit e PIN administrativo. Conclui-se que o sistema demonstra viabilidade técnica e social, contribuindo como base educacional e produtiva reproduzível para estudos em engenharia de software aplicada.</w:t>
      </w:r>
    </w:p>
    <w:p>
      <w:pPr>
        <w:spacing w:line="360" w:lineRule="auto" w:after="120"/>
        <w:jc w:val="both"/>
      </w:pPr>
      <w:r>
        <w:rPr>
          <w:rFonts w:ascii="Times New Roman" w:hAnsi="Times New Roman"/>
          <w:b/>
          <w:sz w:val="24"/>
        </w:rPr>
        <w:t>Palavras-chave:</w:t>
      </w:r>
      <w:r>
        <w:rPr>
          <w:rFonts w:ascii="Times New Roman" w:hAnsi="Times New Roman"/>
          <w:b w:val="0"/>
          <w:sz w:val="24"/>
        </w:rPr>
        <w:t xml:space="preserve"> Sistema de gestão comercial; Software livre; Ponto de venda em tempo real; Engenharia de software; Pequenas e médias empresas.</w:t>
      </w:r>
    </w:p>
    <w:p>
      <w:pPr>
        <w:spacing w:line="360" w:lineRule="auto" w:after="120"/>
        <w:jc w:val="left"/>
      </w:pPr>
      <w:r>
        <w:rPr>
          <w:rFonts w:ascii="Times New Roman" w:hAnsi="Times New Roman"/>
          <w:b/>
          <w:sz w:val="24"/>
        </w:rPr>
        <w:t>1. INTRODUÇÃO</w:t>
      </w:r>
    </w:p>
    <w:p>
      <w:pPr>
        <w:spacing w:line="360" w:lineRule="auto" w:after="120"/>
        <w:ind w:firstLine="709"/>
        <w:jc w:val="both"/>
      </w:pPr>
      <w:r>
        <w:rPr>
          <w:rFonts w:ascii="Times New Roman" w:hAnsi="Times New Roman"/>
          <w:b w:val="0"/>
          <w:sz w:val="24"/>
        </w:rPr>
        <w:t>A estrutura econômica brasileira depende fortemente das micro e pequenas empresas, que representam parcela dominante dos estabelecimentos ativos no país (SEBRAE, 2022). Apesar desse peso, o segmento apresenta baixa maturidade tecnológica em gestão comercial. Estudos setoriais indicam que parcela relevante dos comerciantes ainda controla vendas, despesas e folha de pagamento por meio de anotações manuais ou planilhas eletrônicas, o que favorece erros, atrasos e decisões pouco informadas (IBGE, 2022). O custo mensal de sistemas proprietários de ponto de venda e de gestão financeira é apontado como barreira central à profissionalização da operação, em especial para restaurantes, lanchonetes, bares e pequenos varejistas de atendimento presencial.</w:t>
      </w:r>
    </w:p>
    <w:p>
      <w:pPr>
        <w:spacing w:line="360" w:lineRule="auto" w:after="120"/>
        <w:ind w:firstLine="709"/>
        <w:jc w:val="both"/>
      </w:pPr>
      <w:r>
        <w:rPr>
          <w:rFonts w:ascii="Times New Roman" w:hAnsi="Times New Roman"/>
          <w:b w:val="0"/>
          <w:sz w:val="24"/>
        </w:rPr>
        <w:t>Paralelamente, a literatura de engenharia de software consolida práticas que tornam a construção de sistemas corporativos acessível a equipes enxutas. Sommerville (2019) descreve a evolução dos processos incrementais e iterativos e sua adequação a projetos com requisitos voláteis. Pressman e Maxim (2021) reforçam o papel da automação de testes e da integração contínua para garantir qualidade com ciclos curtos de entrega. Fowler (2002) organiza padrões de arquitetura aplicáveis a aplicações web empresariais, recorrentes em sistemas de gestão. No plano filosófico e licenciatário, Stallman (2002) sistematiza os argumentos que justificam o modelo de software livre como alternativa ética e econômica à dependência de fornecedores proprietários. Essas referências sustentam a tese de que é viável construir sistemas de gestão comercial robustos sob licenças permissivas.</w:t>
      </w:r>
    </w:p>
    <w:p>
      <w:pPr>
        <w:spacing w:line="360" w:lineRule="auto" w:after="120"/>
        <w:ind w:firstLine="709"/>
        <w:jc w:val="both"/>
      </w:pPr>
      <w:r>
        <w:rPr>
          <w:rFonts w:ascii="Times New Roman" w:hAnsi="Times New Roman"/>
          <w:b w:val="0"/>
          <w:sz w:val="24"/>
        </w:rPr>
        <w:t>Ainda assim, observa-se lacuna clara no ecossistema nacional. As soluções gratuitas disponíveis normalmente oferecem apenas ponto de venda básico, sem operação em tempo real entre múltiplos dispositivos; ou concentram-se em módulos financeiros isolados, sem integração com o atendimento no salão; ou exigem instalação local e manutenção técnica incompatíveis com o perfil do pequeno comerciante. O resultado prático é que o dono de estabelecimento, em geral, opera sem visão consolidada do próprio negócio: desconhece a margem real por produto, a produtividade por vendedor, a distribuição geográfica dos pedidos e o custo exato da folha de pagamento, informações essenciais para crescer de forma sustentável.</w:t>
      </w:r>
    </w:p>
    <w:p>
      <w:pPr>
        <w:spacing w:line="360" w:lineRule="auto" w:after="120"/>
        <w:ind w:firstLine="709"/>
        <w:jc w:val="both"/>
      </w:pPr>
      <w:r>
        <w:rPr>
          <w:rFonts w:ascii="Times New Roman" w:hAnsi="Times New Roman"/>
          <w:b w:val="0"/>
          <w:sz w:val="24"/>
        </w:rPr>
        <w:t>O presente trabalho apresenta o Desk Imperial, um sistema gratuito e de código aberto, licenciado sob MIT, que busca preencher essa lacuna ao unir, em uma única plataforma web, operação ao vivo e gestão do negócio. A operação ao vivo compreende ponto de venda, comandas em kanban, sincronização entre todos os dispositivos da equipe via Socket.IO e interfaces móveis específicas para dono e funcionário. A gestão do negócio compreende painel financeiro com receita, custo e margem por período, folha de pagamento calculada automaticamente a partir de salário fixo somado a comissão sobre vendas, ranking de vendedores, calendário comercial e mapa de vendas geocodificado por bairro. Camadas transversais atendem exigências contemporâneas: conformidade com a Lei Geral de Proteção de Dados Pessoais (BRASIL, 2018), isolamento completo por workspace, autenticação baseada em cookies HttpOnly com proteção CSRF em camada dupla, limitação de taxa em Redis e bloqueio anti-força-bruta com PIN administrativo de uso restrito.</w:t>
      </w:r>
    </w:p>
    <w:p>
      <w:pPr>
        <w:spacing w:line="360" w:lineRule="auto" w:after="120"/>
        <w:ind w:firstLine="709"/>
        <w:jc w:val="both"/>
      </w:pPr>
      <w:r>
        <w:rPr>
          <w:rFonts w:ascii="Times New Roman" w:hAnsi="Times New Roman"/>
          <w:b w:val="0"/>
          <w:sz w:val="24"/>
        </w:rPr>
        <w:t>A relevância científica e técnica do projeto está na composição desses elementos em um produto real, publicamente acessível e reproduzível. O repositório é aberto sob licença MIT, possui pipeline de integração contínua de seis estágios e documentação técnica extensa. O sistema encontra-se em produção no endereço público app.deskimperial.online e é utilizado de forma contínua por um comércio familiar brasileiro. Dessa maneira, o projeto atende à necessidade prática do público-alvo e à formação acadêmica de estudantes de engenharia de software e ciência da computação, que podem estudar, estender ou utilizar o código como referência.</w:t>
      </w:r>
    </w:p>
    <w:p>
      <w:pPr>
        <w:spacing w:line="360" w:lineRule="auto" w:after="120"/>
        <w:ind w:firstLine="709"/>
        <w:jc w:val="both"/>
      </w:pPr>
      <w:r>
        <w:rPr>
          <w:rFonts w:ascii="Times New Roman" w:hAnsi="Times New Roman"/>
          <w:b w:val="0"/>
          <w:sz w:val="24"/>
        </w:rPr>
        <w:t>O objetivo geral deste trabalho é descrever o Desk Imperial enquanto artefato de engenharia de software voltado ao pequeno e médio comércio brasileiro, apresentando seu problema de pesquisa, sua arquitetura, sua metodologia de desenvolvimento e os resultados já obtidos. Constituem objetivos específicos: (i) caracterizar o problema da ausência de sistemas gratuitos de gestão comercial para o público-alvo; (ii) descrever a arquitetura técnica adotada e as justificativas de cada escolha; (iii) apresentar a metodologia mista empregada na construção e na avaliação do sistema; e (iv) discutir os resultados atuais, incluindo módulos entregues, cobertura de testes, métricas de latência e limitações reconhecidas.</w:t>
      </w:r>
    </w:p>
    <w:p>
      <w:pPr>
        <w:spacing w:line="360" w:lineRule="auto" w:after="120"/>
        <w:jc w:val="left"/>
      </w:pPr>
      <w:r>
        <w:rPr>
          <w:rFonts w:ascii="Times New Roman" w:hAnsi="Times New Roman"/>
          <w:b/>
          <w:sz w:val="24"/>
        </w:rPr>
        <w:t>2. MÉTODO</w:t>
      </w:r>
    </w:p>
    <w:p>
      <w:pPr>
        <w:spacing w:line="360" w:lineRule="auto" w:after="120"/>
        <w:ind w:firstLine="709"/>
        <w:jc w:val="both"/>
      </w:pPr>
      <w:r>
        <w:rPr>
          <w:rFonts w:ascii="Times New Roman" w:hAnsi="Times New Roman"/>
          <w:b w:val="0"/>
          <w:sz w:val="24"/>
        </w:rPr>
        <w:t>O desenvolvimento adota pesquisa aplicada de natureza mista, alinhada à Design Science Research descrita por Dresch, Lacerda e Antunes Júnior (2015), cujo objetivo é produzir artefatos que resolvam problemas concretos e que, simultaneamente, gerem conhecimento validável. A pesquisa combina vertentes qualitativa e quantitativa, conforme abordagem recomendada por Wazlawick (2014) para trabalhos em computação que envolvem a construção de sistemas.</w:t>
      </w:r>
    </w:p>
    <w:p>
      <w:pPr>
        <w:spacing w:line="360" w:lineRule="auto" w:after="120"/>
        <w:ind w:firstLine="709"/>
        <w:jc w:val="both"/>
      </w:pPr>
      <w:r>
        <w:rPr>
          <w:rFonts w:ascii="Times New Roman" w:hAnsi="Times New Roman"/>
          <w:b w:val="0"/>
          <w:sz w:val="24"/>
        </w:rPr>
        <w:t>A etapa qualitativa consistiu no levantamento de requisitos junto a um comércio familiar brasileiro, caracterizado como caso instrumental. O procedimento incluiu observação direta da operação diária, entrevistas semiestruturadas com dono e funcionários, análise documental de controles manuais preexistentes e identificação de pontos de fricção recorrentes na rotina. Desse levantamento emergiram os módulos prioritários: ponto de venda com comandas, folha de pagamento automática, painel financeiro por período e sincronização em tempo real entre dispositivos.</w:t>
      </w:r>
    </w:p>
    <w:p>
      <w:pPr>
        <w:spacing w:line="360" w:lineRule="auto" w:after="120"/>
        <w:ind w:firstLine="709"/>
        <w:jc w:val="both"/>
      </w:pPr>
      <w:r>
        <w:rPr>
          <w:rFonts w:ascii="Times New Roman" w:hAnsi="Times New Roman"/>
          <w:b w:val="0"/>
          <w:sz w:val="24"/>
        </w:rPr>
        <w:t>A etapa quantitativa concentra-se na avaliação da solução. Foram definidas métricas objetivas de qualidade em três eixos: (i) latência de resposta, medida por testes de carga com K6 em cenários críticos, com metas de p95 e p99 estabelecidas previamente; (ii) cobertura funcional, aferida por cinquenta e três suítes de testes automatizados com Jest no backend e por testes ponta a ponta com Playwright no frontend; e (iii) qualidade estática de código, verificada por análise contínua com SonarQube, cujo Quality Gate precisa permanecer aprovado para publicação.</w:t>
      </w:r>
    </w:p>
    <w:p>
      <w:pPr>
        <w:spacing w:line="360" w:lineRule="auto" w:after="120"/>
        <w:ind w:firstLine="709"/>
        <w:jc w:val="both"/>
      </w:pPr>
      <w:r>
        <w:rPr>
          <w:rFonts w:ascii="Times New Roman" w:hAnsi="Times New Roman"/>
          <w:b w:val="0"/>
          <w:sz w:val="24"/>
        </w:rPr>
        <w:t>O desenvolvimento segue método incremental e iterativo, coerente com Sommerville (2019) e Pressman e Maxim (2021). O artefato é construído em monorepo gerenciado por Turborepo e npm workspaces, contendo aplicação de back-end em NestJS 11 com TypeScript, aplicação de front-end em Next.js 16 com React 19 e pacotes compartilhados de tipos e de configuração. A persistência utiliza PostgreSQL 16 acessado por Prisma ORM; o cache e o controle de taxa de requisição utilizam Redis; a sincronização em tempo real utiliza Socket.IO. A autenticação é baseada em cookies HttpOnly, com proteção CSRF em padrão duplo, conforme recomendações do OWASP (2021). A arquitetura segue padrões de aplicação corporativa descritos por Fowler (2002), organizada em dezesseis módulos de domínio na API.</w:t>
      </w:r>
    </w:p>
    <w:p>
      <w:pPr>
        <w:spacing w:line="360" w:lineRule="auto" w:after="120"/>
        <w:ind w:firstLine="709"/>
        <w:jc w:val="both"/>
      </w:pPr>
      <w:r>
        <w:rPr>
          <w:rFonts w:ascii="Times New Roman" w:hAnsi="Times New Roman"/>
          <w:b w:val="0"/>
          <w:sz w:val="24"/>
        </w:rPr>
        <w:t>A esteira de integração contínua executa seis estágios em sequência: qualidade, testes de backend, testes unitários de frontend, testes ponta a ponta, verificação de segurança e construção final. A promoção de uma versão para produção apenas ocorre com todos os estágios aprovados. O produto é entregue continuamente em ambiente público, com URL aberta para demonstração, e está em processo de migração do provedor atual para infraestrutura em Oracle Cloud combinada ao serviço gerenciado de PostgreSQL Neon, conforme plano técnico documentado no repositório.</w:t>
      </w:r>
    </w:p>
    <w:p>
      <w:pPr>
        <w:spacing w:line="360" w:lineRule="auto" w:after="120"/>
        <w:ind w:firstLine="709"/>
        <w:jc w:val="both"/>
      </w:pPr>
      <w:r>
        <w:rPr>
          <w:rFonts w:ascii="Times New Roman" w:hAnsi="Times New Roman"/>
          <w:b w:val="0"/>
          <w:sz w:val="24"/>
        </w:rPr>
        <w:t>A avaliação final considera ainda fatores qualitativos reconhecidos pela literatura: usabilidade percebida por usuários reais em produção, facilidade de contribuição externa medida pela abertura do repositório sob licença MIT e pela documentação publicada e alinhamento a princípios de software livre conforme Stallman (2002). Esses critérios, combinados às métricas quantitativas, constituem o método misto adotado para avaliar o artefato.</w:t>
      </w:r>
    </w:p>
    <w:p>
      <w:pPr>
        <w:spacing w:line="360" w:lineRule="auto" w:after="120"/>
        <w:jc w:val="left"/>
      </w:pPr>
      <w:r>
        <w:rPr>
          <w:rFonts w:ascii="Times New Roman" w:hAnsi="Times New Roman"/>
          <w:b/>
          <w:sz w:val="24"/>
        </w:rPr>
        <w:t>3. RESULTADOS E DISCUSSÃO</w:t>
      </w:r>
    </w:p>
    <w:p>
      <w:pPr>
        <w:spacing w:line="360" w:lineRule="auto" w:after="120"/>
        <w:ind w:firstLine="709"/>
        <w:jc w:val="both"/>
      </w:pPr>
      <w:r>
        <w:rPr>
          <w:rFonts w:ascii="Times New Roman" w:hAnsi="Times New Roman"/>
          <w:b w:val="0"/>
          <w:sz w:val="24"/>
        </w:rPr>
        <w:t>Os resultados obtidos até o momento confirmam a viabilidade da proposta e permitem discussão à luz da literatura. Quatorze módulos encontram-se em produção e operam continuamente no endereço público app.deskimperial.online: ponto de venda com comandas em kanban de quatro colunas, operação em tempo real via Socket.IO, painel financeiro por período, folha de pagamento automática, gestão de equipe com ranking, calendário comercial, mapa de vendas geocodificado, exportação em CSV, PIN administrativo com limite de tentativas, painel móvel para dono, aplicação móvel para funcionário, autenticação com cookies HttpOnly e CSRF duplo, insight executivo gerado por modelo Gemini e atendimento às exigências da Lei Geral de Proteção de Dados.</w:t>
      </w:r>
    </w:p>
    <w:p>
      <w:pPr>
        <w:spacing w:line="360" w:lineRule="auto" w:after="120"/>
        <w:ind w:firstLine="709"/>
        <w:jc w:val="both"/>
      </w:pPr>
      <w:r>
        <w:rPr>
          <w:rFonts w:ascii="Times New Roman" w:hAnsi="Times New Roman"/>
          <w:b w:val="0"/>
          <w:sz w:val="24"/>
        </w:rPr>
        <w:t>A avaliação quantitativa reporta cinquenta e três arquivos de testes automatizados cobrindo os módulos críticos do back-end, além de testes ponta a ponta com Playwright no front-end e testes de carga com K6 aferindo latência p95 e p99 em cenários representativos de uso simultâneo. A análise estática contínua em SonarQube obteve Quality Gate aprovado, com backlog de débitos técnicos organizado em sprints documentadas no repositório. Esses indicadores alinham-se às recomendações de Pressman e Maxim (2021) sobre automação de garantia de qualidade e de Sommerville (2019) sobre integração contínua como sustentação de entregas frequentes.</w:t>
      </w:r>
    </w:p>
    <w:p>
      <w:pPr>
        <w:spacing w:line="360" w:lineRule="auto" w:after="120"/>
        <w:ind w:firstLine="709"/>
        <w:jc w:val="both"/>
      </w:pPr>
      <w:r>
        <w:rPr>
          <w:rFonts w:ascii="Times New Roman" w:hAnsi="Times New Roman"/>
          <w:b w:val="0"/>
          <w:sz w:val="24"/>
        </w:rPr>
        <w:t>No eixo de segurança, o sistema implementa medidas convergentes com o OWASP Top 10 (OWASP, 2021). A autenticação baseia-se em cookies HttpOnly, o que mitiga ataques que dependem de acesso a tokens via JavaScript malicioso. Toda mutação de estado exige validação de token CSRF em padrão duplo. O isolamento por workspace garante que dados de diferentes negócios não se cruzem. O PIN administrativo com bloqueio automático por tentativas reduz a superfície de ataques de força bruta em ações sensíveis. Eventos sensíveis de autenticação e operação geram registros em log de auditoria.</w:t>
      </w:r>
    </w:p>
    <w:p>
      <w:pPr>
        <w:spacing w:line="360" w:lineRule="auto" w:after="120"/>
        <w:ind w:firstLine="709"/>
        <w:jc w:val="both"/>
      </w:pPr>
      <w:r>
        <w:rPr>
          <w:rFonts w:ascii="Times New Roman" w:hAnsi="Times New Roman"/>
          <w:b w:val="0"/>
          <w:sz w:val="24"/>
        </w:rPr>
        <w:t>Sob a ótica da Design Science Research (DRESCH; LACERDA; ANTUNES JÚNIOR, 2015), o artefato atende aos critérios esperados: resolve problema prático reconhecido, está publicamente disponível, é reproduzível por meio do repositório e da documentação e contribui com um guia de arquitetura realista para pequenos sistemas de gestão. A licença MIT materializa o princípio de liberdade de software defendido por Stallman (2002), tornando a solução apropriável por qualquer comerciante ou desenvolvedor, sem barreira econômica ou legal.</w:t>
      </w:r>
    </w:p>
    <w:p>
      <w:pPr>
        <w:spacing w:line="360" w:lineRule="auto" w:after="120"/>
        <w:ind w:firstLine="709"/>
        <w:jc w:val="both"/>
      </w:pPr>
      <w:r>
        <w:rPr>
          <w:rFonts w:ascii="Times New Roman" w:hAnsi="Times New Roman"/>
          <w:b w:val="0"/>
          <w:sz w:val="24"/>
        </w:rPr>
        <w:t>As limitações atuais são reconhecidas de forma explícita. A cobertura de testes do front-end é parcial em relação à superfície total da aplicação. A pilha de observabilidade de código aberto baseada em OpenTelemetry e Grafana Faro está em implantação progressiva, com a fase de back-end habilitável por variáveis de ambiente e a fase de front-end em migração. A importação de produtos por arquivo CSV permanece desativada por bloqueio explícito em HTTP 410 até que a auditoria do fluxo seja concluída. Essas limitações não invalidam os resultados obtidos, mas delimitam o escopo atual de aplicação e apontam linhas imediatas de continuidade.</w:t>
      </w:r>
    </w:p>
    <w:p>
      <w:pPr>
        <w:spacing w:line="360" w:lineRule="auto" w:after="120"/>
        <w:jc w:val="left"/>
      </w:pPr>
      <w:r>
        <w:rPr>
          <w:rFonts w:ascii="Times New Roman" w:hAnsi="Times New Roman"/>
          <w:b/>
          <w:sz w:val="24"/>
        </w:rPr>
        <w:t>4. CONSIDERAÇÕES FINAIS</w:t>
      </w:r>
    </w:p>
    <w:p>
      <w:pPr>
        <w:spacing w:line="360" w:lineRule="auto" w:after="120"/>
        <w:ind w:firstLine="709"/>
        <w:jc w:val="both"/>
      </w:pPr>
      <w:r>
        <w:rPr>
          <w:rFonts w:ascii="Times New Roman" w:hAnsi="Times New Roman"/>
          <w:b w:val="0"/>
          <w:sz w:val="24"/>
        </w:rPr>
        <w:t>O Desk Imperial demonstra que é viável construir, manter e operar, com equipe reduzida, um sistema de gestão comercial completo, gratuito e de código aberto para o pequeno e médio comércio brasileiro. O trabalho atinge o objetivo de descrever o artefato, seu problema de pesquisa, sua arquitetura e seus resultados. A solução integra operação em tempo real, gestão financeira, folha automática e inteligência geográfica em uma mesma plataforma, sob licença MIT. A metodologia mista combina levantamento qualitativo com usuário real e avaliação quantitativa por testes automatizados, métricas de latência e auditoria estática. Os resultados confirmam quatorze módulos em produção, Quality Gate aprovado e mecanismos de segurança alinhados às boas práticas do setor. O projeto contribui como ferramenta aplicada ao público-alvo e como recurso educacional aberto para estudantes de engenharia de software. A continuidade compreende a migração completa para infraestrutura em Oracle Cloud com serviço gerenciado Neon, a finalização da pilha de observabilidade de código aberto, a expansão da cobertura de testes de front-end e a reativação segura da importação de produtos por CSV após nova auditoria.</w:t>
      </w:r>
    </w:p>
    <w:p>
      <w:pPr>
        <w:spacing w:line="360" w:lineRule="auto" w:after="120"/>
        <w:jc w:val="left"/>
      </w:pPr>
      <w:r>
        <w:rPr>
          <w:rFonts w:ascii="Times New Roman" w:hAnsi="Times New Roman"/>
          <w:b/>
          <w:sz w:val="24"/>
        </w:rPr>
        <w:t>REFERÊNCIAS</w:t>
      </w:r>
    </w:p>
    <w:p>
      <w:pPr>
        <w:spacing w:line="360" w:lineRule="auto" w:after="120"/>
        <w:jc w:val="both"/>
      </w:pPr>
      <w:r>
        <w:rPr>
          <w:rFonts w:ascii="Times New Roman" w:hAnsi="Times New Roman"/>
          <w:b w:val="0"/>
          <w:sz w:val="24"/>
        </w:rPr>
        <w:t xml:space="preserve">BRASIL. </w:t>
      </w:r>
      <w:r>
        <w:rPr>
          <w:rFonts w:ascii="Times New Roman" w:hAnsi="Times New Roman"/>
          <w:b/>
          <w:sz w:val="24"/>
        </w:rPr>
        <w:t>Lei nº 13.709, de 14 de agosto de 2018</w:t>
      </w:r>
      <w:r>
        <w:rPr>
          <w:rFonts w:ascii="Times New Roman" w:hAnsi="Times New Roman"/>
          <w:b w:val="0"/>
          <w:sz w:val="24"/>
        </w:rPr>
        <w:t>. Lei Geral de Proteção de Dados Pessoais (LGPD). Diário Oficial da União, Brasília, DF, 15 ago. 2018.</w:t>
      </w:r>
    </w:p>
    <w:p>
      <w:pPr>
        <w:spacing w:line="360" w:lineRule="auto" w:after="120"/>
        <w:jc w:val="both"/>
      </w:pPr>
      <w:r>
        <w:rPr>
          <w:rFonts w:ascii="Times New Roman" w:hAnsi="Times New Roman"/>
          <w:b w:val="0"/>
          <w:sz w:val="24"/>
        </w:rPr>
        <w:t xml:space="preserve">DRESCH, A.; LACERDA, D. P.; ANTUNES JÚNIOR, J. A. V. </w:t>
      </w:r>
      <w:r>
        <w:rPr>
          <w:rFonts w:ascii="Times New Roman" w:hAnsi="Times New Roman"/>
          <w:b/>
          <w:sz w:val="24"/>
        </w:rPr>
        <w:t>Design science research</w:t>
      </w:r>
      <w:r>
        <w:rPr>
          <w:rFonts w:ascii="Times New Roman" w:hAnsi="Times New Roman"/>
          <w:b w:val="0"/>
          <w:sz w:val="24"/>
        </w:rPr>
        <w:t>: método de pesquisa para avanço da ciência e tecnologia. Porto Alegre: Bookman, 2015.</w:t>
      </w:r>
    </w:p>
    <w:p>
      <w:pPr>
        <w:spacing w:line="360" w:lineRule="auto" w:after="120"/>
        <w:jc w:val="both"/>
      </w:pPr>
      <w:r>
        <w:rPr>
          <w:rFonts w:ascii="Times New Roman" w:hAnsi="Times New Roman"/>
          <w:b w:val="0"/>
          <w:sz w:val="24"/>
        </w:rPr>
        <w:t xml:space="preserve">FOWLER, M. </w:t>
      </w:r>
      <w:r>
        <w:rPr>
          <w:rFonts w:ascii="Times New Roman" w:hAnsi="Times New Roman"/>
          <w:b/>
          <w:sz w:val="24"/>
        </w:rPr>
        <w:t>Patterns of enterprise application architecture</w:t>
      </w:r>
      <w:r>
        <w:rPr>
          <w:rFonts w:ascii="Times New Roman" w:hAnsi="Times New Roman"/>
          <w:b w:val="0"/>
          <w:sz w:val="24"/>
        </w:rPr>
        <w:t>. Boston: Addison-Wesley, 2002.</w:t>
      </w:r>
    </w:p>
    <w:p>
      <w:pPr>
        <w:spacing w:line="360" w:lineRule="auto" w:after="120"/>
        <w:jc w:val="both"/>
      </w:pPr>
      <w:r>
        <w:rPr>
          <w:rFonts w:ascii="Times New Roman" w:hAnsi="Times New Roman"/>
          <w:b w:val="0"/>
          <w:sz w:val="24"/>
        </w:rPr>
        <w:t xml:space="preserve">IBGE. </w:t>
      </w:r>
      <w:r>
        <w:rPr>
          <w:rFonts w:ascii="Times New Roman" w:hAnsi="Times New Roman"/>
          <w:b/>
          <w:sz w:val="24"/>
        </w:rPr>
        <w:t>Demografia das empresas e estatísticas de empreendedorismo 2020</w:t>
      </w:r>
      <w:r>
        <w:rPr>
          <w:rFonts w:ascii="Times New Roman" w:hAnsi="Times New Roman"/>
          <w:b w:val="0"/>
          <w:sz w:val="24"/>
        </w:rPr>
        <w:t>. Rio de Janeiro: Instituto Brasileiro de Geografia e Estatística, 2022.</w:t>
      </w:r>
    </w:p>
    <w:p>
      <w:pPr>
        <w:spacing w:line="360" w:lineRule="auto" w:after="120"/>
        <w:jc w:val="both"/>
      </w:pPr>
      <w:r>
        <w:rPr>
          <w:rFonts w:ascii="Times New Roman" w:hAnsi="Times New Roman"/>
          <w:b w:val="0"/>
          <w:sz w:val="24"/>
        </w:rPr>
        <w:t xml:space="preserve">OWASP. </w:t>
      </w:r>
      <w:r>
        <w:rPr>
          <w:rFonts w:ascii="Times New Roman" w:hAnsi="Times New Roman"/>
          <w:b/>
          <w:sz w:val="24"/>
        </w:rPr>
        <w:t>OWASP Top 10: 2021</w:t>
      </w:r>
      <w:r>
        <w:rPr>
          <w:rFonts w:ascii="Times New Roman" w:hAnsi="Times New Roman"/>
          <w:b w:val="0"/>
          <w:sz w:val="24"/>
        </w:rPr>
        <w:t>. The Open Web Application Security Project, 2021. Disponível em: https://owasp.org/Top10/. Acesso em: 14 abr. 2026.</w:t>
      </w:r>
    </w:p>
    <w:p>
      <w:pPr>
        <w:spacing w:line="360" w:lineRule="auto" w:after="120"/>
        <w:jc w:val="both"/>
      </w:pPr>
      <w:r>
        <w:rPr>
          <w:rFonts w:ascii="Times New Roman" w:hAnsi="Times New Roman"/>
          <w:b w:val="0"/>
          <w:sz w:val="24"/>
        </w:rPr>
        <w:t xml:space="preserve">PRESSMAN, R. S.; MAXIM, B. R. </w:t>
      </w:r>
      <w:r>
        <w:rPr>
          <w:rFonts w:ascii="Times New Roman" w:hAnsi="Times New Roman"/>
          <w:b/>
          <w:sz w:val="24"/>
        </w:rPr>
        <w:t>Engenharia de software</w:t>
      </w:r>
      <w:r>
        <w:rPr>
          <w:rFonts w:ascii="Times New Roman" w:hAnsi="Times New Roman"/>
          <w:b w:val="0"/>
          <w:sz w:val="24"/>
        </w:rPr>
        <w:t>: uma abordagem profissional. 9. ed. Porto Alegre: AMGH, 2021.</w:t>
      </w:r>
    </w:p>
    <w:p>
      <w:pPr>
        <w:spacing w:line="360" w:lineRule="auto" w:after="120"/>
        <w:jc w:val="both"/>
      </w:pPr>
      <w:r>
        <w:rPr>
          <w:rFonts w:ascii="Times New Roman" w:hAnsi="Times New Roman"/>
          <w:b w:val="0"/>
          <w:sz w:val="24"/>
        </w:rPr>
        <w:t xml:space="preserve">SEBRAE. </w:t>
      </w:r>
      <w:r>
        <w:rPr>
          <w:rFonts w:ascii="Times New Roman" w:hAnsi="Times New Roman"/>
          <w:b/>
          <w:sz w:val="24"/>
        </w:rPr>
        <w:t>Anuário do trabalho nos pequenos negócios 2021</w:t>
      </w:r>
      <w:r>
        <w:rPr>
          <w:rFonts w:ascii="Times New Roman" w:hAnsi="Times New Roman"/>
          <w:b w:val="0"/>
          <w:sz w:val="24"/>
        </w:rPr>
        <w:t>. Brasília: Serviço Brasileiro de Apoio às Micro e Pequenas Empresas, 2022.</w:t>
      </w:r>
    </w:p>
    <w:p>
      <w:pPr>
        <w:spacing w:line="360" w:lineRule="auto" w:after="120"/>
        <w:jc w:val="both"/>
      </w:pPr>
      <w:r>
        <w:rPr>
          <w:rFonts w:ascii="Times New Roman" w:hAnsi="Times New Roman"/>
          <w:b w:val="0"/>
          <w:sz w:val="24"/>
        </w:rPr>
        <w:t xml:space="preserve">SOMMERVILLE, I. </w:t>
      </w:r>
      <w:r>
        <w:rPr>
          <w:rFonts w:ascii="Times New Roman" w:hAnsi="Times New Roman"/>
          <w:b/>
          <w:sz w:val="24"/>
        </w:rPr>
        <w:t>Engenharia de software</w:t>
      </w:r>
      <w:r>
        <w:rPr>
          <w:rFonts w:ascii="Times New Roman" w:hAnsi="Times New Roman"/>
          <w:b w:val="0"/>
          <w:sz w:val="24"/>
        </w:rPr>
        <w:t>. 10. ed. São Paulo: Pearson, 2019.</w:t>
      </w:r>
    </w:p>
    <w:p>
      <w:pPr>
        <w:spacing w:line="360" w:lineRule="auto" w:after="120"/>
        <w:jc w:val="both"/>
      </w:pPr>
      <w:r>
        <w:rPr>
          <w:rFonts w:ascii="Times New Roman" w:hAnsi="Times New Roman"/>
          <w:b w:val="0"/>
          <w:sz w:val="24"/>
        </w:rPr>
        <w:t xml:space="preserve">STALLMAN, R. M. </w:t>
      </w:r>
      <w:r>
        <w:rPr>
          <w:rFonts w:ascii="Times New Roman" w:hAnsi="Times New Roman"/>
          <w:b/>
          <w:sz w:val="24"/>
        </w:rPr>
        <w:t>Free software, free society</w:t>
      </w:r>
      <w:r>
        <w:rPr>
          <w:rFonts w:ascii="Times New Roman" w:hAnsi="Times New Roman"/>
          <w:b w:val="0"/>
          <w:sz w:val="24"/>
        </w:rPr>
        <w:t>: selected essays of Richard M. Stallman. Boston: GNU Press, 2002.</w:t>
      </w:r>
    </w:p>
    <w:p>
      <w:pPr>
        <w:spacing w:line="360" w:lineRule="auto" w:after="120"/>
        <w:jc w:val="both"/>
      </w:pPr>
      <w:r>
        <w:rPr>
          <w:rFonts w:ascii="Times New Roman" w:hAnsi="Times New Roman"/>
          <w:b w:val="0"/>
          <w:sz w:val="24"/>
        </w:rPr>
        <w:t xml:space="preserve">WAZLAWICK, R. S. </w:t>
      </w:r>
      <w:r>
        <w:rPr>
          <w:rFonts w:ascii="Times New Roman" w:hAnsi="Times New Roman"/>
          <w:b/>
          <w:sz w:val="24"/>
        </w:rPr>
        <w:t>Metodologia de pesquisa para ciência da computação</w:t>
      </w:r>
      <w:r>
        <w:rPr>
          <w:rFonts w:ascii="Times New Roman" w:hAnsi="Times New Roman"/>
          <w:b w:val="0"/>
          <w:sz w:val="24"/>
        </w:rPr>
        <w:t>. 2. ed. Rio de Janeiro: Elsevier,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