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sz w:val="48"/>
          <w:szCs w:val="48"/>
        </w:rPr>
        <w:t xml:space="preserve">Offline Signature Forgery Detection with EfficientNet-B0 and Batch-Hard Triplet Loss Fine-Tuning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Pr>
          <w:p>
            <w:pPr>
              <w:spacing w:after="0" w:line="240"/>
              <w:jc w:val="center"/>
            </w:pPr>
            <w:r>
              <w:rPr>
                <w:rFonts w:ascii="Times New Roman" w:cs="Times New Roman" w:eastAsia="Times New Roman" w:hAnsi="Times New Roman"/>
                <w:sz w:val="20"/>
                <w:szCs w:val="20"/>
              </w:rPr>
              <w:t xml:space="preserve">1st David Nehemia Sunoto</w:t>
            </w:r>
          </w:p>
          <w:p>
            <w:pPr>
              <w:spacing w:after="0" w:line="240"/>
              <w:jc w:val="center"/>
            </w:pPr>
            <w:r>
              <w:rPr>
                <w:rFonts w:ascii="Times New Roman" w:cs="Times New Roman" w:eastAsia="Times New Roman" w:hAnsi="Times New Roman"/>
                <w:sz w:val="20"/>
                <w:szCs w:val="20"/>
              </w:rPr>
              <w:t xml:space="preserve">Department / Faculty</w:t>
            </w:r>
          </w:p>
          <w:p>
            <w:pPr>
              <w:spacing w:after="0" w:line="240"/>
              <w:jc w:val="center"/>
            </w:pPr>
            <w:r>
              <w:rPr>
                <w:rFonts w:ascii="Times New Roman" w:cs="Times New Roman" w:eastAsia="Times New Roman" w:hAnsi="Times New Roman"/>
                <w:sz w:val="20"/>
                <w:szCs w:val="20"/>
              </w:rPr>
              <w:t xml:space="preserve">University Name</w:t>
            </w:r>
          </w:p>
          <w:p>
            <w:pPr>
              <w:spacing w:after="0" w:line="240"/>
              <w:jc w:val="center"/>
            </w:pPr>
            <w:r>
              <w:rPr>
                <w:rFonts w:ascii="Times New Roman" w:cs="Times New Roman" w:eastAsia="Times New Roman" w:hAnsi="Times New Roman"/>
                <w:sz w:val="20"/>
                <w:szCs w:val="20"/>
              </w:rPr>
              <w:t xml:space="preserve">City, Country</w:t>
            </w:r>
          </w:p>
          <w:p>
            <w:pPr>
              <w:spacing w:after="120" w:line="240"/>
              <w:jc w:val="center"/>
            </w:pPr>
            <w:r>
              <w:rPr>
                <w:rFonts w:ascii="Times New Roman" w:cs="Times New Roman" w:eastAsia="Times New Roman" w:hAnsi="Times New Roman"/>
                <w:sz w:val="20"/>
                <w:szCs w:val="20"/>
              </w:rPr>
              <w:t xml:space="preserve">NIM: 2902726965</w:t>
            </w:r>
          </w:p>
        </w:tc>
        <w:tc>
          <w:tcPr>
            <w:tcW w:type="dxa" w:w="3120"/>
            <w:tcBorders>
              <w:top w:val="none" w:color="FFFFFF" w:sz="0"/>
              <w:left w:val="none" w:color="FFFFFF" w:sz="0"/>
              <w:bottom w:val="none" w:color="FFFFFF" w:sz="0"/>
              <w:right w:val="none" w:color="FFFFFF" w:sz="0"/>
            </w:tcBorders>
          </w:tcPr>
          <w:p>
            <w:pPr>
              <w:spacing w:after="0" w:line="240"/>
              <w:jc w:val="center"/>
            </w:pPr>
            <w:r>
              <w:rPr>
                <w:rFonts w:ascii="Times New Roman" w:cs="Times New Roman" w:eastAsia="Times New Roman" w:hAnsi="Times New Roman"/>
                <w:sz w:val="20"/>
                <w:szCs w:val="20"/>
              </w:rPr>
              <w:t xml:space="preserve">2nd Febrianto</w:t>
            </w:r>
          </w:p>
          <w:p>
            <w:pPr>
              <w:spacing w:after="0" w:line="240"/>
              <w:jc w:val="center"/>
            </w:pPr>
            <w:r>
              <w:rPr>
                <w:rFonts w:ascii="Times New Roman" w:cs="Times New Roman" w:eastAsia="Times New Roman" w:hAnsi="Times New Roman"/>
                <w:sz w:val="20"/>
                <w:szCs w:val="20"/>
              </w:rPr>
              <w:t xml:space="preserve">Department / Faculty</w:t>
            </w:r>
          </w:p>
          <w:p>
            <w:pPr>
              <w:spacing w:after="0" w:line="240"/>
              <w:jc w:val="center"/>
            </w:pPr>
            <w:r>
              <w:rPr>
                <w:rFonts w:ascii="Times New Roman" w:cs="Times New Roman" w:eastAsia="Times New Roman" w:hAnsi="Times New Roman"/>
                <w:sz w:val="20"/>
                <w:szCs w:val="20"/>
              </w:rPr>
              <w:t xml:space="preserve">University Name</w:t>
            </w:r>
          </w:p>
          <w:p>
            <w:pPr>
              <w:spacing w:after="0" w:line="240"/>
              <w:jc w:val="center"/>
            </w:pPr>
            <w:r>
              <w:rPr>
                <w:rFonts w:ascii="Times New Roman" w:cs="Times New Roman" w:eastAsia="Times New Roman" w:hAnsi="Times New Roman"/>
                <w:sz w:val="20"/>
                <w:szCs w:val="20"/>
              </w:rPr>
              <w:t xml:space="preserve">City, Country</w:t>
            </w:r>
          </w:p>
          <w:p>
            <w:pPr>
              <w:spacing w:after="120" w:line="240"/>
              <w:jc w:val="center"/>
            </w:pPr>
            <w:r>
              <w:rPr>
                <w:rFonts w:ascii="Times New Roman" w:cs="Times New Roman" w:eastAsia="Times New Roman" w:hAnsi="Times New Roman"/>
                <w:sz w:val="20"/>
                <w:szCs w:val="20"/>
              </w:rPr>
              <w:t xml:space="preserve">NIM: 2902727015</w:t>
            </w:r>
          </w:p>
        </w:tc>
        <w:tc>
          <w:tcPr>
            <w:tcW w:type="dxa" w:w="3120"/>
            <w:tcBorders>
              <w:top w:val="none" w:color="FFFFFF" w:sz="0"/>
              <w:left w:val="none" w:color="FFFFFF" w:sz="0"/>
              <w:bottom w:val="none" w:color="FFFFFF" w:sz="0"/>
              <w:right w:val="none" w:color="FFFFFF" w:sz="0"/>
            </w:tcBorders>
          </w:tcPr>
          <w:p>
            <w:pPr>
              <w:spacing w:after="0" w:line="240"/>
              <w:jc w:val="center"/>
            </w:pPr>
            <w:r>
              <w:rPr>
                <w:rFonts w:ascii="Times New Roman" w:cs="Times New Roman" w:eastAsia="Times New Roman" w:hAnsi="Times New Roman"/>
                <w:sz w:val="20"/>
                <w:szCs w:val="20"/>
              </w:rPr>
              <w:t xml:space="preserve">3rd Frolentika</w:t>
            </w:r>
          </w:p>
          <w:p>
            <w:pPr>
              <w:spacing w:after="0" w:line="240"/>
              <w:jc w:val="center"/>
            </w:pPr>
            <w:r>
              <w:rPr>
                <w:rFonts w:ascii="Times New Roman" w:cs="Times New Roman" w:eastAsia="Times New Roman" w:hAnsi="Times New Roman"/>
                <w:sz w:val="20"/>
                <w:szCs w:val="20"/>
              </w:rPr>
              <w:t xml:space="preserve">Department / Faculty</w:t>
            </w:r>
          </w:p>
          <w:p>
            <w:pPr>
              <w:spacing w:after="0" w:line="240"/>
              <w:jc w:val="center"/>
            </w:pPr>
            <w:r>
              <w:rPr>
                <w:rFonts w:ascii="Times New Roman" w:cs="Times New Roman" w:eastAsia="Times New Roman" w:hAnsi="Times New Roman"/>
                <w:sz w:val="20"/>
                <w:szCs w:val="20"/>
              </w:rPr>
              <w:t xml:space="preserve">University Name</w:t>
            </w:r>
          </w:p>
          <w:p>
            <w:pPr>
              <w:spacing w:after="0" w:line="240"/>
              <w:jc w:val="center"/>
            </w:pPr>
            <w:r>
              <w:rPr>
                <w:rFonts w:ascii="Times New Roman" w:cs="Times New Roman" w:eastAsia="Times New Roman" w:hAnsi="Times New Roman"/>
                <w:sz w:val="20"/>
                <w:szCs w:val="20"/>
              </w:rPr>
              <w:t xml:space="preserve">City, Country</w:t>
            </w:r>
          </w:p>
          <w:p>
            <w:pPr>
              <w:spacing w:after="120" w:line="240"/>
              <w:jc w:val="center"/>
            </w:pPr>
            <w:r>
              <w:rPr>
                <w:rFonts w:ascii="Times New Roman" w:cs="Times New Roman" w:eastAsia="Times New Roman" w:hAnsi="Times New Roman"/>
                <w:sz w:val="20"/>
                <w:szCs w:val="20"/>
              </w:rPr>
              <w:t xml:space="preserve">NIM: 2902727053</w:t>
            </w:r>
          </w:p>
        </w:tc>
      </w:tr>
      <w:tr>
        <w:tc>
          <w:tcPr>
            <w:tcW w:type="dxa" w:w="3120"/>
            <w:tcBorders>
              <w:top w:val="none" w:color="FFFFFF" w:sz="0"/>
              <w:left w:val="none" w:color="FFFFFF" w:sz="0"/>
              <w:bottom w:val="none" w:color="FFFFFF" w:sz="0"/>
              <w:right w:val="none" w:color="FFFFFF" w:sz="0"/>
            </w:tcBorders>
          </w:tcPr>
          <w:p>
            <w:pPr>
              <w:spacing w:after="0" w:line="240"/>
              <w:jc w:val="center"/>
            </w:pPr>
            <w:r>
              <w:rPr>
                <w:rFonts w:ascii="Times New Roman" w:cs="Times New Roman" w:eastAsia="Times New Roman" w:hAnsi="Times New Roman"/>
                <w:sz w:val="20"/>
                <w:szCs w:val="20"/>
              </w:rPr>
              <w:t xml:space="preserve">4th Jessica Davalynda</w:t>
            </w:r>
          </w:p>
          <w:p>
            <w:pPr>
              <w:spacing w:after="0" w:line="240"/>
              <w:jc w:val="center"/>
            </w:pPr>
            <w:r>
              <w:rPr>
                <w:rFonts w:ascii="Times New Roman" w:cs="Times New Roman" w:eastAsia="Times New Roman" w:hAnsi="Times New Roman"/>
                <w:sz w:val="20"/>
                <w:szCs w:val="20"/>
              </w:rPr>
              <w:t xml:space="preserve">Department / Faculty</w:t>
            </w:r>
          </w:p>
          <w:p>
            <w:pPr>
              <w:spacing w:after="0" w:line="240"/>
              <w:jc w:val="center"/>
            </w:pPr>
            <w:r>
              <w:rPr>
                <w:rFonts w:ascii="Times New Roman" w:cs="Times New Roman" w:eastAsia="Times New Roman" w:hAnsi="Times New Roman"/>
                <w:sz w:val="20"/>
                <w:szCs w:val="20"/>
              </w:rPr>
              <w:t xml:space="preserve">University Name</w:t>
            </w:r>
          </w:p>
          <w:p>
            <w:pPr>
              <w:spacing w:after="0" w:line="240"/>
              <w:jc w:val="center"/>
            </w:pPr>
            <w:r>
              <w:rPr>
                <w:rFonts w:ascii="Times New Roman" w:cs="Times New Roman" w:eastAsia="Times New Roman" w:hAnsi="Times New Roman"/>
                <w:sz w:val="20"/>
                <w:szCs w:val="20"/>
              </w:rPr>
              <w:t xml:space="preserve">City, Country</w:t>
            </w:r>
          </w:p>
          <w:p>
            <w:pPr>
              <w:spacing w:after="120" w:line="240"/>
              <w:jc w:val="center"/>
            </w:pPr>
            <w:r>
              <w:rPr>
                <w:rFonts w:ascii="Times New Roman" w:cs="Times New Roman" w:eastAsia="Times New Roman" w:hAnsi="Times New Roman"/>
                <w:sz w:val="20"/>
                <w:szCs w:val="20"/>
              </w:rPr>
              <w:t xml:space="preserve">NIM: 2902727091</w:t>
            </w:r>
          </w:p>
        </w:tc>
        <w:tc>
          <w:tcPr>
            <w:tcW w:type="dxa" w:w="3120"/>
            <w:tcBorders>
              <w:top w:val="none" w:color="FFFFFF" w:sz="0"/>
              <w:left w:val="none" w:color="FFFFFF" w:sz="0"/>
              <w:bottom w:val="none" w:color="FFFFFF" w:sz="0"/>
              <w:right w:val="none" w:color="FFFFFF" w:sz="0"/>
            </w:tcBorders>
          </w:tcPr>
          <w:p>
            <w:pPr>
              <w:spacing w:after="0" w:line="240"/>
              <w:jc w:val="center"/>
            </w:pPr>
            <w:r>
              <w:rPr>
                <w:rFonts w:ascii="Times New Roman" w:cs="Times New Roman" w:eastAsia="Times New Roman" w:hAnsi="Times New Roman"/>
                <w:sz w:val="20"/>
                <w:szCs w:val="20"/>
              </w:rPr>
              <w:t xml:space="preserve">5th Windy Sulistiawati</w:t>
            </w:r>
          </w:p>
          <w:p>
            <w:pPr>
              <w:spacing w:after="0" w:line="240"/>
              <w:jc w:val="center"/>
            </w:pPr>
            <w:r>
              <w:rPr>
                <w:rFonts w:ascii="Times New Roman" w:cs="Times New Roman" w:eastAsia="Times New Roman" w:hAnsi="Times New Roman"/>
                <w:sz w:val="20"/>
                <w:szCs w:val="20"/>
              </w:rPr>
              <w:t xml:space="preserve">Department / Faculty</w:t>
            </w:r>
          </w:p>
          <w:p>
            <w:pPr>
              <w:spacing w:after="0" w:line="240"/>
              <w:jc w:val="center"/>
            </w:pPr>
            <w:r>
              <w:rPr>
                <w:rFonts w:ascii="Times New Roman" w:cs="Times New Roman" w:eastAsia="Times New Roman" w:hAnsi="Times New Roman"/>
                <w:sz w:val="20"/>
                <w:szCs w:val="20"/>
              </w:rPr>
              <w:t xml:space="preserve">University Name</w:t>
            </w:r>
          </w:p>
          <w:p>
            <w:pPr>
              <w:spacing w:after="0" w:line="240"/>
              <w:jc w:val="center"/>
            </w:pPr>
            <w:r>
              <w:rPr>
                <w:rFonts w:ascii="Times New Roman" w:cs="Times New Roman" w:eastAsia="Times New Roman" w:hAnsi="Times New Roman"/>
                <w:sz w:val="20"/>
                <w:szCs w:val="20"/>
              </w:rPr>
              <w:t xml:space="preserve">City, Country</w:t>
            </w:r>
          </w:p>
          <w:p>
            <w:pPr>
              <w:spacing w:after="120" w:line="240"/>
              <w:jc w:val="center"/>
            </w:pPr>
            <w:r>
              <w:rPr>
                <w:rFonts w:ascii="Times New Roman" w:cs="Times New Roman" w:eastAsia="Times New Roman" w:hAnsi="Times New Roman"/>
                <w:sz w:val="20"/>
                <w:szCs w:val="20"/>
              </w:rPr>
              <w:t xml:space="preserve">NIM: 2902727280</w:t>
            </w:r>
          </w:p>
        </w:tc>
        <w:tc>
          <w:tcPr>
            <w:tcW w:type="dxa" w:w="312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0"/>
                <w:szCs w:val="20"/>
              </w:rPr>
              <w:t xml:space="preserve"/>
            </w:r>
          </w:p>
        </w:tc>
      </w:tr>
    </w:tbl>
    <w:p>
      <w:pPr>
        <w:sectPr>
          <w:pgSz w:w="12240" w:h="15840" w:orient="portrait"/>
          <w:pgMar w:top="1080" w:right="900" w:bottom="1080" w:left="900" w:header="708" w:footer="708" w:gutter="0"/>
          <w:pgNumType/>
          <w:cols w:num="1"/>
          <w:docGrid w:linePitch="360"/>
        </w:sectPr>
      </w:pPr>
    </w:p>
    <w:p>
      <w:pPr>
        <w:spacing w:after="80" w:line="24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b/>
          <w:bCs/>
          <w:i/>
          <w:iCs/>
          <w:sz w:val="20"/>
          <w:szCs w:val="20"/>
        </w:rPr>
        <w:t xml:space="preserve">—</w:t>
      </w:r>
      <w:r>
        <w:rPr>
          <w:rFonts w:ascii="Times New Roman" w:cs="Times New Roman" w:eastAsia="Times New Roman" w:hAnsi="Times New Roman"/>
          <w:i/>
          <w:iCs/>
          <w:sz w:val="20"/>
          <w:szCs w:val="20"/>
        </w:rPr>
        <w:t xml:space="preserve">Handwritten signatures remain a widely accepted biometric trait for authenticating financial, legal, and administrative documents, yet manual forensic verification is slow, subjective, and unreliable against skilled forgeries. This study aims to develop an automated, writer-independent offline signature verification system that generalizes across multiple datasets and that explicitly separates random-impostor from skilled-forgery performance, a distinction often omitted in prior work. Our primary contribution is a lightweight fine-tuning strategy for EfficientNet-B0 that freezes the pretrained convolutional backbone and retrains only its embedding head using batch-hard triplet loss over a combined pool of 221 writers drawn from the CEDAR, GPDS, and a locally collected dataset. For the methodology, signatures were preprocessed, embedded into a 512-dimensional L2-normalized space, and compared by cosine similarity; validation-selected checkpoints were then evaluated on 33 strictly held-out writers. Evaluated on 33 strictly held-out writers, fine-tuning improved random-impostor detection from an Area Under the Curve (AUC) of 0.953 to 0.979 (Equal Error Rate reduced from 10.71% to 7.07%) and skilled-forgery detection from an AUC of 0.817 to 0.871 (Equal Error Rate reduced from 25.25% to 20.20%), raising verification accuracy to 90.20% against random impostors and 79.49% against skilled forgeries. This study demonstrates that targeted, backbone-frozen metric-learning fine-tuning substantially narrows the gap between random-impostor and skilled-forgery detection, establishing a transparent and reproducible benchmark for future cross-dataset offline signature verification.</w:t>
      </w:r>
    </w:p>
    <w:p>
      <w:pPr>
        <w:spacing w:after="120" w:line="240"/>
        <w:jc w:val="both"/>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b/>
          <w:bCs/>
          <w:i/>
          <w:iCs/>
          <w:sz w:val="20"/>
          <w:szCs w:val="20"/>
        </w:rPr>
        <w:t xml:space="preserve">—</w:t>
      </w:r>
      <w:r>
        <w:rPr>
          <w:rFonts w:ascii="Times New Roman" w:cs="Times New Roman" w:eastAsia="Times New Roman" w:hAnsi="Times New Roman"/>
          <w:i/>
          <w:iCs/>
          <w:sz w:val="20"/>
          <w:szCs w:val="20"/>
        </w:rPr>
        <w:t xml:space="preserve">EfficientNet, Metric Learning, Offline Signature Verification, Skilled Forgery Detection, Triplet Loss</w:t>
      </w:r>
    </w:p>
    <w:p>
      <w:pPr>
        <w:spacing w:after="80" w:before="160"/>
        <w:jc w:val="center"/>
      </w:pPr>
      <w:r>
        <w:rPr>
          <w:rFonts w:ascii="Times New Roman" w:cs="Times New Roman" w:eastAsia="Times New Roman" w:hAnsi="Times New Roman"/>
          <w:caps/>
          <w:sz w:val="20"/>
          <w:szCs w:val="20"/>
        </w:rPr>
        <w:t xml:space="preserve">I. Introduction</w:t>
      </w:r>
    </w:p>
    <w:p>
      <w:pPr>
        <w:spacing w:after="80" w:line="240"/>
        <w:ind w:firstLine="240"/>
        <w:jc w:val="both"/>
      </w:pPr>
      <w:r>
        <w:rPr>
          <w:rFonts w:ascii="Times New Roman" w:cs="Times New Roman" w:eastAsia="Times New Roman" w:hAnsi="Times New Roman"/>
          <w:sz w:val="20"/>
          <w:szCs w:val="20"/>
        </w:rPr>
        <w:t xml:space="preserve">Handwritten signatures continue to serve as a legally recognized and socially trusted means of authenticating banking transactions, contracts, and official documents, despite the availability of digital authentication alternatives. In practice, the authenticity of a signature is still frequently judged by a human examiner who compares a questioned specimen against known reference samples. This manual process is inherently subjective, difficult to scale, and vulnerable to examiner fatigue and inter-rater disagreement, particularly when the questioned signature is a </w:t>
      </w:r>
      <w:r>
        <w:rPr>
          <w:rFonts w:ascii="Times New Roman" w:cs="Times New Roman" w:eastAsia="Times New Roman" w:hAnsi="Times New Roman"/>
          <w:i/>
          <w:iCs/>
          <w:sz w:val="20"/>
          <w:szCs w:val="20"/>
        </w:rPr>
        <w:t xml:space="preserve">skilled forgery</w:t>
      </w:r>
      <w:r>
        <w:rPr>
          <w:rFonts w:ascii="Times New Roman" w:cs="Times New Roman" w:eastAsia="Times New Roman" w:hAnsi="Times New Roman"/>
          <w:sz w:val="20"/>
          <w:szCs w:val="20"/>
        </w:rPr>
        <w:t xml:space="preserve"> deliberately practiced to imitate the shape, slant, and stroke rhythm of a genuine writer [1]. These limitations have motivated decades of research into automated offline signature verification (OSV), in which a system must decide, from a static scanned image alone, whether a signature was produced by the claimed writer [1].</w:t>
      </w:r>
    </w:p>
    <w:p>
      <w:pPr>
        <w:spacing w:after="80" w:line="240"/>
        <w:ind w:firstLine="240"/>
        <w:jc w:val="both"/>
      </w:pPr>
      <w:r>
        <w:rPr>
          <w:rFonts w:ascii="Times New Roman" w:cs="Times New Roman" w:eastAsia="Times New Roman" w:hAnsi="Times New Roman"/>
          <w:sz w:val="20"/>
          <w:szCs w:val="20"/>
        </w:rPr>
        <w:t xml:space="preserve">The state of the art in OSV has evolved rapidly. Early systems relied on handcrafted image descriptors, such as the Scale-Invariant Feature Transform (SIFT) and the Histogram of Oriented Gradients (HOG), combined with Support Vector Machine (SVM) classifiers; these pipelines were interpretable but generalized poorly across writers because they encoded human-designed notions of similarity rather than learning them from data. The field was subsequently transformed by deep Convolutional Neural Networks (CNNs), with compound-scaled architectures such as EfficientNet demonstrating strong performance while remaining parameter-efficient [2]. The standard practice became transfer learning, in which models pre-trained on large datasets such as ImageNet are fine-tuned for signature verification [3], [4]. More recently, metric-learning formulations based on Siamese and triplet-loss networks have become the de facto standard for writer-independent verification [5], [6], [7], while self-supervised Vision Transformers such as DINOv2 [8] represent the current representation-learning frontier, although their application to signature verification remains largely unexplored.</w:t>
      </w:r>
    </w:p>
    <w:p>
      <w:pPr>
        <w:spacing w:after="80" w:line="240"/>
        <w:ind w:firstLine="240"/>
        <w:jc w:val="both"/>
      </w:pPr>
      <w:r>
        <w:rPr>
          <w:rFonts w:ascii="Times New Roman" w:cs="Times New Roman" w:eastAsia="Times New Roman" w:hAnsi="Times New Roman"/>
          <w:sz w:val="20"/>
          <w:szCs w:val="20"/>
        </w:rPr>
        <w:t xml:space="preserve">Despite this progress, a clear research gap remains. Public OSV benchmarks such as CEDAR (55 writers) and GPDS are small relative to other biometric domains, and near-perfect results reported on a single easy-to-saturate dataset, for example an Equal Error Rate (EER) below 0.06% on CEDAR alone [9], do not necessarily transfer to writer-independent, cross-dataset deployment. More critically, skilled forgeries remain substantially harder to reject than random-impostor signatures, yet many studies report only an aggregate accuracy figure without separating these two attack types, obscuring a system's true robustness against a deliberate forger. In addition, existing CNN transfer-learning approaches typically fine-tune the entire network on a single dataset, which is computationally expensive and offers no evidence of how much of the gain stems from the learned embedding rather than the pretrained backbone.</w:t>
      </w:r>
    </w:p>
    <w:p>
      <w:pPr>
        <w:spacing w:after="80" w:line="240"/>
        <w:ind w:firstLine="240"/>
        <w:jc w:val="both"/>
      </w:pPr>
      <w:r>
        <w:rPr>
          <w:rFonts w:ascii="Times New Roman" w:cs="Times New Roman" w:eastAsia="Times New Roman" w:hAnsi="Times New Roman"/>
          <w:sz w:val="20"/>
          <w:szCs w:val="20"/>
        </w:rPr>
        <w:t xml:space="preserve">This study aims to address these gaps through a three-part objective. First, it seeks to build a writer-independent EfficientNet-B0 embedding model evaluated jointly across the CEDAR, GPDS, and a locally collected signature dataset. Second, it aims to design and rigorously evaluate a lightweight, backbone-frozen, batch-hard triplet-loss fine-tuning strategy for the embedding head, isolating its contribution from the pretrained backbone. Third, it aims to separately and transparently quantify performance against random-impostor and skilled-forgery attacks on a strictly writer-disjoint held-out set. This research is justified by the need for accurate, reproducible, and honestly benchmarked signature verification tools, and by the observation that the skilled-forgery scenario, which is the most consequential in practice, is frequently under-reported in the existing literature.</w:t>
      </w:r>
    </w:p>
    <w:p>
      <w:pPr>
        <w:spacing w:after="80" w:before="160"/>
        <w:jc w:val="center"/>
      </w:pPr>
      <w:r>
        <w:rPr>
          <w:rFonts w:ascii="Times New Roman" w:cs="Times New Roman" w:eastAsia="Times New Roman" w:hAnsi="Times New Roman"/>
          <w:caps/>
          <w:sz w:val="20"/>
          <w:szCs w:val="20"/>
        </w:rPr>
        <w:t xml:space="preserve">II. Literature Review</w:t>
      </w:r>
    </w:p>
    <w:p>
      <w:pPr>
        <w:spacing w:after="40" w:before="100"/>
        <w:jc w:val="left"/>
      </w:pPr>
      <w:r>
        <w:rPr>
          <w:rFonts w:ascii="Times New Roman" w:cs="Times New Roman" w:eastAsia="Times New Roman" w:hAnsi="Times New Roman"/>
          <w:i/>
          <w:iCs/>
          <w:sz w:val="20"/>
          <w:szCs w:val="20"/>
        </w:rPr>
        <w:t xml:space="preserve">A. EfficientNet</w:t>
      </w:r>
    </w:p>
    <w:p>
      <w:pPr>
        <w:spacing w:after="80" w:line="240"/>
        <w:ind w:firstLine="240"/>
        <w:jc w:val="both"/>
      </w:pPr>
      <w:r>
        <w:rPr>
          <w:rFonts w:ascii="Times New Roman" w:cs="Times New Roman" w:eastAsia="Times New Roman" w:hAnsi="Times New Roman"/>
          <w:sz w:val="20"/>
          <w:szCs w:val="20"/>
        </w:rPr>
        <w:t xml:space="preserve">EfficientNet is a family of convolutional neural networks introduced by Tan and Le [2], built around a compound scaling method that jointly scales network depth, width, and input resolution using a single coefficient, in contrast to earlier CNNs that scaled these dimensions independently and heuristically. The baseline model, EfficientNet-B0, was obtained through neural architecture search and achieves accuracy competitive with substantially larger networks, such as ResNet-50 and Inception-v3, while using an order of magnitude fewer parameters and floating-point operations. This parameter efficiency makes EfficientNet-B0 particularly attractive for biometric verification, where labeled training data is comparatively scarce and a compact backbone reduces the risk of overfitting when fine-tuned on a few thousand images. EfficientNet-B0 and its variants have consequently been adopted, via transfer learning, in signature verification pipelines that repurpose ImageNet-pretrained features for genuine-versus-forged discrimination [3], [4], typically by replacing the final classification layer with a task-specific head, as is done in this study.</w:t>
      </w:r>
    </w:p>
    <w:p>
      <w:pPr>
        <w:spacing w:after="40" w:before="100"/>
        <w:jc w:val="left"/>
      </w:pPr>
      <w:r>
        <w:rPr>
          <w:rFonts w:ascii="Times New Roman" w:cs="Times New Roman" w:eastAsia="Times New Roman" w:hAnsi="Times New Roman"/>
          <w:i/>
          <w:iCs/>
          <w:sz w:val="20"/>
          <w:szCs w:val="20"/>
        </w:rPr>
        <w:t xml:space="preserve">B. Triplet Loss and Metric Learning</w:t>
      </w:r>
    </w:p>
    <w:p>
      <w:pPr>
        <w:spacing w:after="80" w:line="240"/>
        <w:ind w:firstLine="240"/>
        <w:jc w:val="both"/>
      </w:pPr>
      <w:r>
        <w:rPr>
          <w:rFonts w:ascii="Times New Roman" w:cs="Times New Roman" w:eastAsia="Times New Roman" w:hAnsi="Times New Roman"/>
          <w:sz w:val="20"/>
          <w:szCs w:val="20"/>
        </w:rPr>
        <w:t xml:space="preserve">Whereas a conventional classifier learns to assign an image to a fixed set of classes, metric learning instead learns an embedding function such that a distance computed between two embeddings reflects semantic identity, a formulation naturally suited to writer-independent verification, where the set of writers at deployment time is unknown during training. The triplet loss, popularized for face verification by Schroff et al. [5], optimizes an embedding by sampling an anchor, a positive example of the same identity, and a negative example of a different identity, penalizing configurations in which the anchor-negative distance is not larger than the anchor-positive distance by at least a margin. Naive triplet sampling, however, produces mostly easy triplets that contribute negligible gradient once basic separation is achieved. Hermans et al. [6] addressed this with batch-hard mining, which, for every anchor in a batch, selects the hardest positive and the hardest negative actually present in that batch, a strategy adopted directly in this work. In the signature domain, Dey et al. introduced SigNet, a Siamese convolutional network trained with a contrastive objective for writer-independent verification, demonstrating that learned embeddings outperform handcrafted descriptors [7].</w:t>
      </w:r>
    </w:p>
    <w:p>
      <w:pPr>
        <w:spacing w:after="40" w:before="100"/>
        <w:jc w:val="left"/>
      </w:pPr>
      <w:r>
        <w:rPr>
          <w:rFonts w:ascii="Times New Roman" w:cs="Times New Roman" w:eastAsia="Times New Roman" w:hAnsi="Times New Roman"/>
          <w:i/>
          <w:iCs/>
          <w:sz w:val="20"/>
          <w:szCs w:val="20"/>
        </w:rPr>
        <w:t xml:space="preserve">C. Related Works</w:t>
      </w:r>
    </w:p>
    <w:p>
      <w:pPr>
        <w:spacing w:after="80" w:line="240"/>
        <w:ind w:firstLine="240"/>
        <w:jc w:val="both"/>
      </w:pPr>
      <w:r>
        <w:rPr>
          <w:rFonts w:ascii="Times New Roman" w:cs="Times New Roman" w:eastAsia="Times New Roman" w:hAnsi="Times New Roman"/>
          <w:sz w:val="20"/>
          <w:szCs w:val="20"/>
        </w:rPr>
        <w:t xml:space="preserve">Al-Azzani and Musleh (2024) [3] proposed a Particle Swarm Optimization (PSO)-driven hyperparameter search for a CNN-based offline signature verifier, tuning convolutional filter counts, dense-layer width, dropout rate, and learning rate. The method was evaluated across four datasets, namely GPDS, CEDAR, BHSig260-Bengali, and BHSig260-Hindi, and reported a testing accuracy of 98.3%. The study demonstrates that systematic hyperparameter optimization alone can yield accuracy competitive with more elaborate architectural changes; however, it reports a single aggregate accuracy figure without decomposing performance into random-impostor versus skilled-forgery subsets, limiting direct comparability with forgery-specific robustness claims.</w:t>
      </w:r>
    </w:p>
    <w:p>
      <w:pPr>
        <w:spacing w:after="80" w:line="240"/>
        <w:ind w:firstLine="240"/>
        <w:jc w:val="both"/>
      </w:pPr>
      <w:r>
        <w:rPr>
          <w:rFonts w:ascii="Times New Roman" w:cs="Times New Roman" w:eastAsia="Times New Roman" w:hAnsi="Times New Roman"/>
          <w:sz w:val="20"/>
          <w:szCs w:val="20"/>
        </w:rPr>
        <w:t xml:space="preserve">Chokshi et al. (2023) [9] introduced SigScatNet, which couples a Siamese deep network with Scattering wavelet transforms to obtain a computationally lightweight signature embedding suitable for low-resource hardware. Evaluated on the CEDAR dataset and the ICDAR SigComp Dutch dataset, the method achieved an EER of 0.0578% on CEDAR and 3.689% on the SigComp Dutch dataset. While the CEDAR result represents near-perfect separation, the large gap between the two datasets' EER values suggests that CEDAR, with only 55 writers and a fixed forgery set, may be prone to saturation and does not, on its own, stress-test writer-independent generalization, motivating the multi-dataset protocol adopted in this study.</w:t>
      </w:r>
    </w:p>
    <w:p>
      <w:pPr>
        <w:spacing w:after="80" w:line="240"/>
        <w:ind w:firstLine="240"/>
        <w:jc w:val="both"/>
      </w:pPr>
      <w:r>
        <w:rPr>
          <w:rFonts w:ascii="Times New Roman" w:cs="Times New Roman" w:eastAsia="Times New Roman" w:hAnsi="Times New Roman"/>
          <w:sz w:val="20"/>
          <w:szCs w:val="20"/>
        </w:rPr>
        <w:t xml:space="preserve">Ozyurt et al. (2024) [4] applied MobileNetV2 as a transfer-learning feature extractor over a dataset of 12,600 signature images from 420 individuals, with 30 genuine signatures per writer, followed by feature selection using Neighborhood Component Analysis (NCA), Chi-squared, and mutual-information criteria before classification with SVM and k-nearest-neighbor classifiers. Feature selection improved accuracy from 91.3% using all extracted features to 97.7% using 300 NCA-selected features, underscoring the value of refining transfer-learned CNN features rather than using them unmodified. Because the described dataset consists exclusively of genuine signatures, however, the reported task is closer to writer identification than to skilled-forgery detection, leaving the harder skilled-forgery scenario, which is the focus of the present work, unaddressed.</w:t>
      </w:r>
    </w:p>
    <w:p>
      <w:pPr>
        <w:spacing w:after="80" w:before="160"/>
        <w:jc w:val="center"/>
      </w:pPr>
      <w:r>
        <w:rPr>
          <w:rFonts w:ascii="Times New Roman" w:cs="Times New Roman" w:eastAsia="Times New Roman" w:hAnsi="Times New Roman"/>
          <w:caps/>
          <w:sz w:val="20"/>
          <w:szCs w:val="20"/>
        </w:rPr>
        <w:t xml:space="preserve">III. Methodology</w:t>
      </w:r>
    </w:p>
    <w:p>
      <w:pPr>
        <w:spacing w:after="80" w:line="240"/>
        <w:ind w:firstLine="240"/>
        <w:jc w:val="both"/>
      </w:pPr>
      <w:r>
        <w:rPr>
          <w:rFonts w:ascii="Times New Roman" w:cs="Times New Roman" w:eastAsia="Times New Roman" w:hAnsi="Times New Roman"/>
          <w:sz w:val="20"/>
          <w:szCs w:val="20"/>
        </w:rPr>
        <w:t xml:space="preserve">This section describes the methodology adopted to develop a writer-independent offline signature verification system. The proposed framework follows a structured pipeline, beginning with dataset preparation and preprocessing, proceeding through frozen-backbone feature extraction and embedding-head fine-tuning, and culminating in checkpoint selection and held-out evaluation under two distinct attack scenarios. Each component is designed to ensure fair, writer-disjoint evaluation and reproducibility. All experiments were implemented in Python using the PyTorch framework and executed on a CPU environment, with pre-computed backbone features cached to disk to keep training tractable.</w:t>
      </w:r>
    </w:p>
    <w:p>
      <w:pPr>
        <w:spacing w:after="40" w:before="100"/>
        <w:jc w:val="left"/>
      </w:pPr>
      <w:r>
        <w:rPr>
          <w:rFonts w:ascii="Times New Roman" w:cs="Times New Roman" w:eastAsia="Times New Roman" w:hAnsi="Times New Roman"/>
          <w:i/>
          <w:iCs/>
          <w:sz w:val="20"/>
          <w:szCs w:val="20"/>
        </w:rPr>
        <w:t xml:space="preserve">A. Dataset</w:t>
      </w:r>
    </w:p>
    <w:p>
      <w:pPr>
        <w:spacing w:after="80" w:line="240"/>
        <w:ind w:firstLine="240"/>
        <w:jc w:val="both"/>
      </w:pPr>
      <w:r>
        <w:rPr>
          <w:rFonts w:ascii="Times New Roman" w:cs="Times New Roman" w:eastAsia="Times New Roman" w:hAnsi="Times New Roman"/>
          <w:sz w:val="20"/>
          <w:szCs w:val="20"/>
        </w:rPr>
        <w:t xml:space="preserve">For this study, three signature sources were combined: the CEDAR signature database (55 writers, with 24 genuine and 24 skilled-forged signatures per writer), a locally available subset of the GPDS signature database (150 writers, with an average of 8 genuine and 14 skilled-forged signatures per writer), and a locally collected dataset of 16 writers contributing 257 genuine signatures with no forged counterparts. Only genuine signatures were used for embedding fine-tuning, consistent with the standard verification protocol in which a system is enrolled solely on genuine references and encounters forgeries only at test time. The composition of each source is summarized in Table I.</w:t>
      </w:r>
    </w:p>
    <w:p>
      <w:pPr>
        <w:spacing w:after="20" w:before="20"/>
        <w:jc w:val="center"/>
      </w:pPr>
      <w:r>
        <w:rPr>
          <w:rFonts w:ascii="Times New Roman" w:cs="Times New Roman" w:eastAsia="Times New Roman" w:hAnsi="Times New Roman"/>
          <w:caps/>
          <w:sz w:val="16"/>
          <w:szCs w:val="16"/>
        </w:rPr>
        <w:t xml:space="preserve">TABLE I. Dataset Composition</w:t>
      </w:r>
    </w:p>
    <w:p>
      <w:pPr>
        <w:spacing w:after="40"/>
        <w:jc w:val="center"/>
      </w:pPr>
      <w:r>
        <w:rPr>
          <w:rFonts w:ascii="Times New Roman" w:cs="Times New Roman" w:eastAsia="Times New Roman" w:hAnsi="Times New Roman"/>
          <w:sz w:val="20"/>
          <w:szCs w:val="20"/>
        </w:rPr>
        <w:t xml:space="preserve"/>
      </w:r>
    </w:p>
    <w:tbl>
      <w:tblPr>
        <w:tblW w:type="dxa" w:w="5170"/>
        <w:tblBorders>
          <w:top w:val="single" w:color="auto" w:sz="4"/>
          <w:left w:val="single" w:color="auto" w:sz="4"/>
          <w:bottom w:val="single" w:color="auto" w:sz="4"/>
          <w:right w:val="single" w:color="auto" w:sz="4"/>
          <w:insideH w:val="single" w:color="auto" w:sz="4"/>
          <w:insideV w:val="single" w:color="auto" w:sz="4"/>
        </w:tblBorders>
      </w:tblPr>
      <w:tblGrid>
        <w:gridCol w:w="1150"/>
        <w:gridCol w:w="720"/>
        <w:gridCol w:w="950"/>
        <w:gridCol w:w="950"/>
        <w:gridCol w:w="1400"/>
      </w:tblGrid>
      <w:tr>
        <w:trPr>
          <w:tblHeader/>
        </w:trPr>
        <w:tc>
          <w:tcPr>
            <w:tcW w:type="dxa" w:w="1150"/>
            <w:tcMar>
              <w:top w:type="dxa" w:w="20"/>
              <w:left w:type="dxa" w:w="60"/>
              <w:bottom w:type="dxa" w:w="20"/>
              <w:right w:type="dxa" w:w="60"/>
            </w:tcMar>
          </w:tcPr>
          <w:p>
            <w:pPr>
              <w:spacing w:after="0" w:line="220"/>
              <w:jc w:val="center"/>
            </w:pPr>
            <w:r>
              <w:rPr>
                <w:rFonts w:ascii="Times New Roman" w:cs="Times New Roman" w:eastAsia="Times New Roman" w:hAnsi="Times New Roman"/>
                <w:b/>
                <w:bCs/>
                <w:sz w:val="16"/>
                <w:szCs w:val="16"/>
              </w:rPr>
              <w:t xml:space="preserve">Dataset</w:t>
            </w:r>
          </w:p>
        </w:tc>
        <w:tc>
          <w:tcPr>
            <w:tcW w:type="dxa" w:w="720"/>
            <w:tcMar>
              <w:top w:type="dxa" w:w="20"/>
              <w:left w:type="dxa" w:w="60"/>
              <w:bottom w:type="dxa" w:w="20"/>
              <w:right w:type="dxa" w:w="60"/>
            </w:tcMar>
          </w:tcPr>
          <w:p>
            <w:pPr>
              <w:spacing w:after="0" w:line="220"/>
              <w:jc w:val="center"/>
            </w:pPr>
            <w:r>
              <w:rPr>
                <w:rFonts w:ascii="Times New Roman" w:cs="Times New Roman" w:eastAsia="Times New Roman" w:hAnsi="Times New Roman"/>
                <w:b/>
                <w:bCs/>
                <w:sz w:val="16"/>
                <w:szCs w:val="16"/>
              </w:rPr>
              <w:t xml:space="preserve">Writers</w:t>
            </w:r>
          </w:p>
        </w:tc>
        <w:tc>
          <w:tcPr>
            <w:tcW w:type="dxa" w:w="950"/>
            <w:tcMar>
              <w:top w:type="dxa" w:w="20"/>
              <w:left w:type="dxa" w:w="60"/>
              <w:bottom w:type="dxa" w:w="20"/>
              <w:right w:type="dxa" w:w="60"/>
            </w:tcMar>
          </w:tcPr>
          <w:p>
            <w:pPr>
              <w:spacing w:after="0" w:line="220"/>
              <w:jc w:val="center"/>
            </w:pPr>
            <w:r>
              <w:rPr>
                <w:rFonts w:ascii="Times New Roman" w:cs="Times New Roman" w:eastAsia="Times New Roman" w:hAnsi="Times New Roman"/>
                <w:b/>
                <w:bCs/>
                <w:sz w:val="16"/>
                <w:szCs w:val="16"/>
              </w:rPr>
              <w:t xml:space="preserve">Genuine</w:t>
            </w:r>
          </w:p>
        </w:tc>
        <w:tc>
          <w:tcPr>
            <w:tcW w:type="dxa" w:w="950"/>
            <w:tcMar>
              <w:top w:type="dxa" w:w="20"/>
              <w:left w:type="dxa" w:w="60"/>
              <w:bottom w:type="dxa" w:w="20"/>
              <w:right w:type="dxa" w:w="60"/>
            </w:tcMar>
          </w:tcPr>
          <w:p>
            <w:pPr>
              <w:spacing w:after="0" w:line="220"/>
              <w:jc w:val="center"/>
            </w:pPr>
            <w:r>
              <w:rPr>
                <w:rFonts w:ascii="Times New Roman" w:cs="Times New Roman" w:eastAsia="Times New Roman" w:hAnsi="Times New Roman"/>
                <w:b/>
                <w:bCs/>
                <w:sz w:val="16"/>
                <w:szCs w:val="16"/>
              </w:rPr>
              <w:t xml:space="preserve">Forged</w:t>
            </w:r>
          </w:p>
        </w:tc>
        <w:tc>
          <w:tcPr>
            <w:tcW w:type="dxa" w:w="1400"/>
            <w:tcMar>
              <w:top w:type="dxa" w:w="20"/>
              <w:left w:type="dxa" w:w="60"/>
              <w:bottom w:type="dxa" w:w="20"/>
              <w:right w:type="dxa" w:w="60"/>
            </w:tcMar>
          </w:tcPr>
          <w:p>
            <w:pPr>
              <w:spacing w:after="0" w:line="220"/>
              <w:jc w:val="center"/>
            </w:pPr>
            <w:r>
              <w:rPr>
                <w:rFonts w:ascii="Times New Roman" w:cs="Times New Roman" w:eastAsia="Times New Roman" w:hAnsi="Times New Roman"/>
                <w:b/>
                <w:bCs/>
                <w:sz w:val="16"/>
                <w:szCs w:val="16"/>
              </w:rPr>
              <w:t xml:space="preserve">Role in this study</w:t>
            </w:r>
          </w:p>
        </w:tc>
      </w:tr>
      <w:tr>
        <w:tc>
          <w:tcPr>
            <w:tcW w:type="dxa" w:w="1150"/>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6"/>
                <w:szCs w:val="16"/>
              </w:rPr>
              <w:t xml:space="preserve">CEDAR</w:t>
            </w:r>
          </w:p>
        </w:tc>
        <w:tc>
          <w:tcPr>
            <w:tcW w:type="dxa" w:w="720"/>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6"/>
                <w:szCs w:val="16"/>
              </w:rPr>
              <w:t xml:space="preserve">55</w:t>
            </w:r>
          </w:p>
        </w:tc>
        <w:tc>
          <w:tcPr>
            <w:tcW w:type="dxa" w:w="950"/>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6"/>
                <w:szCs w:val="16"/>
              </w:rPr>
              <w:t xml:space="preserve">1,320</w:t>
            </w:r>
          </w:p>
        </w:tc>
        <w:tc>
          <w:tcPr>
            <w:tcW w:type="dxa" w:w="950"/>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6"/>
                <w:szCs w:val="16"/>
              </w:rPr>
              <w:t xml:space="preserve">1,320</w:t>
            </w:r>
          </w:p>
        </w:tc>
        <w:tc>
          <w:tcPr>
            <w:tcW w:type="dxa" w:w="1400"/>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6"/>
                <w:szCs w:val="16"/>
              </w:rPr>
              <w:t xml:space="preserve">Fine-tuning (genuine) + forgery test</w:t>
            </w:r>
          </w:p>
        </w:tc>
      </w:tr>
      <w:tr>
        <w:tc>
          <w:tcPr>
            <w:tcW w:type="dxa" w:w="1150"/>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6"/>
                <w:szCs w:val="16"/>
              </w:rPr>
              <w:t xml:space="preserve">GPDS (subset)</w:t>
            </w:r>
          </w:p>
        </w:tc>
        <w:tc>
          <w:tcPr>
            <w:tcW w:type="dxa" w:w="720"/>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6"/>
                <w:szCs w:val="16"/>
              </w:rPr>
              <w:t xml:space="preserve">150</w:t>
            </w:r>
          </w:p>
        </w:tc>
        <w:tc>
          <w:tcPr>
            <w:tcW w:type="dxa" w:w="950"/>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6"/>
                <w:szCs w:val="16"/>
              </w:rPr>
              <w:t xml:space="preserve">1,200</w:t>
            </w:r>
          </w:p>
        </w:tc>
        <w:tc>
          <w:tcPr>
            <w:tcW w:type="dxa" w:w="950"/>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6"/>
                <w:szCs w:val="16"/>
              </w:rPr>
              <w:t xml:space="preserve">2,100</w:t>
            </w:r>
          </w:p>
        </w:tc>
        <w:tc>
          <w:tcPr>
            <w:tcW w:type="dxa" w:w="1400"/>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6"/>
                <w:szCs w:val="16"/>
              </w:rPr>
              <w:t xml:space="preserve">Fine-tuning (genuine) + forgery test</w:t>
            </w:r>
          </w:p>
        </w:tc>
      </w:tr>
      <w:tr>
        <w:tc>
          <w:tcPr>
            <w:tcW w:type="dxa" w:w="1150"/>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6"/>
                <w:szCs w:val="16"/>
              </w:rPr>
              <w:t xml:space="preserve">Locally collected</w:t>
            </w:r>
          </w:p>
        </w:tc>
        <w:tc>
          <w:tcPr>
            <w:tcW w:type="dxa" w:w="720"/>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6"/>
                <w:szCs w:val="16"/>
              </w:rPr>
              <w:t xml:space="preserve">16</w:t>
            </w:r>
          </w:p>
        </w:tc>
        <w:tc>
          <w:tcPr>
            <w:tcW w:type="dxa" w:w="950"/>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6"/>
                <w:szCs w:val="16"/>
              </w:rPr>
              <w:t xml:space="preserve">257</w:t>
            </w:r>
          </w:p>
        </w:tc>
        <w:tc>
          <w:tcPr>
            <w:tcW w:type="dxa" w:w="950"/>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6"/>
                <w:szCs w:val="16"/>
              </w:rPr>
              <w:t xml:space="preserve">0</w:t>
            </w:r>
          </w:p>
        </w:tc>
        <w:tc>
          <w:tcPr>
            <w:tcW w:type="dxa" w:w="1400"/>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6"/>
                <w:szCs w:val="16"/>
              </w:rPr>
              <w:t xml:space="preserve">Fine-tuning (genuine) only</w:t>
            </w:r>
          </w:p>
        </w:tc>
      </w:tr>
      <w:tr>
        <w:tc>
          <w:tcPr>
            <w:tcW w:type="dxa" w:w="1150"/>
            <w:tcMar>
              <w:top w:type="dxa" w:w="20"/>
              <w:left w:type="dxa" w:w="60"/>
              <w:bottom w:type="dxa" w:w="20"/>
              <w:right w:type="dxa" w:w="60"/>
            </w:tcMar>
          </w:tcPr>
          <w:p>
            <w:pPr>
              <w:spacing w:after="0" w:line="220"/>
              <w:jc w:val="center"/>
            </w:pPr>
            <w:r>
              <w:rPr>
                <w:rFonts w:ascii="Times New Roman" w:cs="Times New Roman" w:eastAsia="Times New Roman" w:hAnsi="Times New Roman"/>
                <w:b/>
                <w:bCs/>
                <w:sz w:val="16"/>
                <w:szCs w:val="16"/>
              </w:rPr>
              <w:t xml:space="preserve">Combined pool</w:t>
            </w:r>
          </w:p>
        </w:tc>
        <w:tc>
          <w:tcPr>
            <w:tcW w:type="dxa" w:w="720"/>
            <w:tcMar>
              <w:top w:type="dxa" w:w="20"/>
              <w:left w:type="dxa" w:w="60"/>
              <w:bottom w:type="dxa" w:w="20"/>
              <w:right w:type="dxa" w:w="60"/>
            </w:tcMar>
          </w:tcPr>
          <w:p>
            <w:pPr>
              <w:spacing w:after="0" w:line="220"/>
              <w:jc w:val="center"/>
            </w:pPr>
            <w:r>
              <w:rPr>
                <w:rFonts w:ascii="Times New Roman" w:cs="Times New Roman" w:eastAsia="Times New Roman" w:hAnsi="Times New Roman"/>
                <w:b/>
                <w:bCs/>
                <w:sz w:val="16"/>
                <w:szCs w:val="16"/>
              </w:rPr>
              <w:t xml:space="preserve">221</w:t>
            </w:r>
          </w:p>
        </w:tc>
        <w:tc>
          <w:tcPr>
            <w:tcW w:type="dxa" w:w="950"/>
            <w:tcMar>
              <w:top w:type="dxa" w:w="20"/>
              <w:left w:type="dxa" w:w="60"/>
              <w:bottom w:type="dxa" w:w="20"/>
              <w:right w:type="dxa" w:w="60"/>
            </w:tcMar>
          </w:tcPr>
          <w:p>
            <w:pPr>
              <w:spacing w:after="0" w:line="220"/>
              <w:jc w:val="center"/>
            </w:pPr>
            <w:r>
              <w:rPr>
                <w:rFonts w:ascii="Times New Roman" w:cs="Times New Roman" w:eastAsia="Times New Roman" w:hAnsi="Times New Roman"/>
                <w:b/>
                <w:bCs/>
                <w:sz w:val="16"/>
                <w:szCs w:val="16"/>
              </w:rPr>
              <w:t xml:space="preserve">2,052</w:t>
            </w:r>
          </w:p>
        </w:tc>
        <w:tc>
          <w:tcPr>
            <w:tcW w:type="dxa" w:w="950"/>
            <w:tcMar>
              <w:top w:type="dxa" w:w="20"/>
              <w:left w:type="dxa" w:w="60"/>
              <w:bottom w:type="dxa" w:w="20"/>
              <w:right w:type="dxa" w:w="60"/>
            </w:tcMar>
          </w:tcPr>
          <w:p>
            <w:pPr>
              <w:spacing w:after="0" w:line="220"/>
              <w:jc w:val="center"/>
            </w:pPr>
            <w:r>
              <w:rPr>
                <w:rFonts w:ascii="Times New Roman" w:cs="Times New Roman" w:eastAsia="Times New Roman" w:hAnsi="Times New Roman"/>
                <w:b/>
                <w:bCs/>
                <w:sz w:val="16"/>
                <w:szCs w:val="16"/>
              </w:rPr>
              <w:t xml:space="preserve">3,420*</w:t>
            </w:r>
          </w:p>
        </w:tc>
        <w:tc>
          <w:tcPr>
            <w:tcW w:type="dxa" w:w="1400"/>
            <w:tcMar>
              <w:top w:type="dxa" w:w="20"/>
              <w:left w:type="dxa" w:w="60"/>
              <w:bottom w:type="dxa" w:w="20"/>
              <w:right w:type="dxa" w:w="60"/>
            </w:tcMar>
          </w:tcPr>
          <w:p>
            <w:pPr>
              <w:spacing w:after="0" w:line="220"/>
              <w:jc w:val="left"/>
            </w:pPr>
            <w:r>
              <w:rPr>
                <w:rFonts w:ascii="Times New Roman" w:cs="Times New Roman" w:eastAsia="Times New Roman" w:hAnsi="Times New Roman"/>
                <w:b/>
                <w:bCs/>
                <w:sz w:val="16"/>
                <w:szCs w:val="16"/>
              </w:rPr>
              <w:t xml:space="preserve">188 train / 33 held-out</w:t>
            </w:r>
          </w:p>
        </w:tc>
      </w:tr>
    </w:tbl>
    <w:p>
      <w:pPr>
        <w:spacing w:after="80" w:before="20" w:line="220"/>
        <w:jc w:val="left"/>
      </w:pPr>
      <w:r>
        <w:rPr>
          <w:rFonts w:ascii="Times New Roman" w:cs="Times New Roman" w:eastAsia="Times New Roman" w:hAnsi="Times New Roman"/>
          <w:i/>
          <w:iCs/>
          <w:sz w:val="16"/>
          <w:szCs w:val="16"/>
        </w:rPr>
        <w:t xml:space="preserve">*Forged images were never used for training; they were reserved exclusively for the skilled-forgery test in Section III-B and the evaluation in Section IV.</w:t>
      </w:r>
    </w:p>
    <w:p>
      <w:pPr>
        <w:spacing w:after="80" w:line="240"/>
        <w:ind w:firstLine="240"/>
        <w:jc w:val="both"/>
      </w:pPr>
      <w:r>
        <w:rPr>
          <w:rFonts w:ascii="Times New Roman" w:cs="Times New Roman" w:eastAsia="Times New Roman" w:hAnsi="Times New Roman"/>
          <w:sz w:val="20"/>
          <w:szCs w:val="20"/>
        </w:rPr>
        <w:t xml:space="preserve">The combined pool of 221 writers was split at the writer level, rather than the image level, into 188 writers for fine-tuning and 33 writers held out entirely for validation and testing, using a fixed random seed to ensure reproducibility and to guarantee that no writer appears in both partitions, a requirement for a valid writer-independent generalization claim. The held-out set comprised 18 GPDS writers, 12 CEDAR writers, and 3 locally collected writers.</w:t>
      </w:r>
    </w:p>
    <w:p>
      <w:pPr>
        <w:spacing w:after="40" w:before="100"/>
        <w:jc w:val="left"/>
      </w:pPr>
      <w:r>
        <w:rPr>
          <w:rFonts w:ascii="Times New Roman" w:cs="Times New Roman" w:eastAsia="Times New Roman" w:hAnsi="Times New Roman"/>
          <w:i/>
          <w:iCs/>
          <w:sz w:val="20"/>
          <w:szCs w:val="20"/>
        </w:rPr>
        <w:t xml:space="preserve">B. Proposed Method</w:t>
      </w:r>
    </w:p>
    <w:p>
      <w:pPr>
        <w:spacing w:after="80" w:line="240"/>
        <w:ind w:firstLine="240"/>
        <w:jc w:val="both"/>
      </w:pPr>
      <w:r>
        <w:rPr>
          <w:rFonts w:ascii="Times New Roman" w:cs="Times New Roman" w:eastAsia="Times New Roman" w:hAnsi="Times New Roman"/>
          <w:sz w:val="20"/>
          <w:szCs w:val="20"/>
        </w:rPr>
        <w:t xml:space="preserve">The proposed method follows the multi-stage pipeline illustrated in Fig. 1. The workflow begins with preprocessing and feature extraction, proceeds to embedding-head fine-tuning with batch-hard triplet loss, and concludes with checkpoint selection and held-out evaluation.</w:t>
      </w:r>
    </w:p>
    <w:p>
      <w:pPr>
        <w:spacing w:after="20" w:before="40"/>
        <w:jc w:val="center"/>
      </w:pPr>
      <w:r>
        <w:drawing>
          <wp:inline distT="0" distB="0" distL="0" distR="0">
            <wp:extent cx="28575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3876675"/>
                    </a:xfrm>
                    <a:prstGeom prst="rect">
                      <a:avLst/>
                    </a:prstGeom>
                  </pic:spPr>
                </pic:pic>
              </a:graphicData>
            </a:graphic>
          </wp:inline>
        </w:drawing>
      </w:r>
    </w:p>
    <w:p>
      <w:pPr>
        <w:spacing w:after="100"/>
        <w:jc w:val="center"/>
      </w:pPr>
      <w:r>
        <w:rPr>
          <w:rFonts w:ascii="Times New Roman" w:cs="Times New Roman" w:eastAsia="Times New Roman" w:hAnsi="Times New Roman"/>
          <w:sz w:val="16"/>
          <w:szCs w:val="16"/>
        </w:rPr>
        <w:t xml:space="preserve">Fig. 1. System flowchart of the proposed pipeline.</w:t>
      </w:r>
    </w:p>
    <w:p>
      <w:pPr>
        <w:spacing w:after="80" w:line="240"/>
        <w:ind w:firstLine="240"/>
        <w:jc w:val="both"/>
      </w:pPr>
      <w:r>
        <w:rPr>
          <w:rFonts w:ascii="Times New Roman" w:cs="Times New Roman" w:eastAsia="Times New Roman" w:hAnsi="Times New Roman"/>
          <w:sz w:val="20"/>
          <w:szCs w:val="20"/>
        </w:rPr>
        <w:t xml:space="preserve">During preprocessing, each input image is first converted to a consistent RGB representation: images carrying genuine alpha-channel transparency are composited onto a white background, while fully opaque images are passed through unmodified, avoiding a background-flattening artifact that arises when opaque images are incorrectly treated as transparent. The signature is then auto-cropped to its ink bounding box with a small padding margin, centered on a square canvas, resized to 224×224 pixels, and normalized using the ImageNet channel statistics.</w:t>
      </w:r>
    </w:p>
    <w:p>
      <w:pPr>
        <w:spacing w:after="80" w:line="240"/>
        <w:ind w:firstLine="240"/>
        <w:jc w:val="both"/>
      </w:pPr>
      <w:r>
        <w:rPr>
          <w:rFonts w:ascii="Times New Roman" w:cs="Times New Roman" w:eastAsia="Times New Roman" w:hAnsi="Times New Roman"/>
          <w:sz w:val="20"/>
          <w:szCs w:val="20"/>
        </w:rPr>
        <w:t xml:space="preserve">The embedding network consists of an EfficientNet-B0 convolutional backbone, initialized from a checkpoint previously trained end-to-end with triplet loss on GPDS, followed by a projection head composed of a linear layer (1280 to 512), batch normalization, a rectified linear unit, dropout with probability 0.3, a second linear layer (512 to 512), and a final batch-normalization layer, with the output L2-normalized to the unit hypersphere. This pretrained model, used without further modification, constitutes the baseline against which the contribution of this study is measured.</w:t>
      </w:r>
    </w:p>
    <w:p>
      <w:pPr>
        <w:spacing w:after="80" w:line="240"/>
        <w:ind w:firstLine="240"/>
        <w:jc w:val="both"/>
      </w:pPr>
      <w:r>
        <w:rPr>
          <w:rFonts w:ascii="Times New Roman" w:cs="Times New Roman" w:eastAsia="Times New Roman" w:hAnsi="Times New Roman"/>
          <w:sz w:val="20"/>
          <w:szCs w:val="20"/>
        </w:rPr>
        <w:t xml:space="preserve">Because the backbone was already trained on a related distribution, it was hypothesized that most of the achievable gain from additional data lay in re-adapting the embedding head rather than the low-level convolutional features. The backbone was therefore frozen entirely, and only the projection head was fine-tuned on the combined 221-writer genuine-only pool. Backbone features of 1,280 dimensions were pre-computed once and cached, enabling efficient training on CPU hardware. Training used batch-hard triplet loss with a margin of 0.3 over cosine distance, with each batch constructed from twelve randomly sampled writers and four images per writer. The Adam optimizer was used with a learning rate of 1×10⁻³ and a weight decay of 1×10⁻⁴ for 1,500 steps. Validation AUC on the 33 held-out writers was computed every 150 steps, and the checkpoint with the highest validation AUC was retained as the final proposed model.</w:t>
      </w:r>
    </w:p>
    <w:p>
      <w:pPr>
        <w:spacing w:after="80" w:before="160"/>
        <w:jc w:val="center"/>
      </w:pPr>
      <w:r>
        <w:rPr>
          <w:rFonts w:ascii="Times New Roman" w:cs="Times New Roman" w:eastAsia="Times New Roman" w:hAnsi="Times New Roman"/>
          <w:caps/>
          <w:sz w:val="20"/>
          <w:szCs w:val="20"/>
        </w:rPr>
        <w:t xml:space="preserve">IV. Results and Discussion</w:t>
      </w:r>
    </w:p>
    <w:p>
      <w:pPr>
        <w:spacing w:after="80" w:line="240"/>
        <w:ind w:firstLine="240"/>
        <w:jc w:val="both"/>
      </w:pPr>
      <w:r>
        <w:rPr>
          <w:rFonts w:ascii="Times New Roman" w:cs="Times New Roman" w:eastAsia="Times New Roman" w:hAnsi="Times New Roman"/>
          <w:sz w:val="20"/>
          <w:szCs w:val="20"/>
        </w:rPr>
        <w:t xml:space="preserve">This section evaluates the two stages of the EfficientNet-B0 embedding model—the pretrained baseline and the proposed head-fine-tuned model—on the 33 strictly held-out writers, under two attack scenarios. Verification was performed by embedding each signature into the 512-dimensional space and comparing signature pairs by cosine similarity. Genuine–genuine pairs of the same writer formed the positive class, yielding 495 genuine pairs. The negative class comprised either genuine signatures of different writers, defining the random-impostor scenario, or same-writer skilled forgeries, defining the skilled-forgery scenario; forgeries were available for 30 of the 33 held-out writers.</w:t>
      </w:r>
    </w:p>
    <w:p>
      <w:pPr>
        <w:spacing w:after="40" w:before="100"/>
        <w:jc w:val="left"/>
      </w:pPr>
      <w:r>
        <w:rPr>
          <w:rFonts w:ascii="Times New Roman" w:cs="Times New Roman" w:eastAsia="Times New Roman" w:hAnsi="Times New Roman"/>
          <w:i/>
          <w:iCs/>
          <w:sz w:val="20"/>
          <w:szCs w:val="20"/>
        </w:rPr>
        <w:t xml:space="preserve">A. Model Evaluation</w:t>
      </w:r>
    </w:p>
    <w:p>
      <w:pPr>
        <w:spacing w:after="60" w:line="240"/>
        <w:ind w:firstLine="240"/>
        <w:jc w:val="both"/>
      </w:pPr>
      <w:r>
        <w:rPr>
          <w:rFonts w:ascii="Times New Roman" w:cs="Times New Roman" w:eastAsia="Times New Roman" w:hAnsi="Times New Roman"/>
          <w:sz w:val="20"/>
          <w:szCs w:val="20"/>
        </w:rPr>
        <w:t xml:space="preserve">Six metrics were used to quantify performance. The Area Under the ROC Curve (AUC) and the Equal Error Rate (EER)—the operating point at which the false-acceptance and false-rejection rates are equal—were reported per scenario as threshold-independent measures of separability. Accuracy, precision, recall, and F1-score were then computed at a single decision threshold per model, selected as the equal-error point over the combined pool of random and skilled negatives so as to emulate a realistic deployment in which the attack type is unknown a priori. To prevent class-ratio distortion of the threshold-dependent metrics, the negative pool of each scenario was balanced to the number of genuine pairs. The overall evaluation results are shown in Table II.</w:t>
      </w:r>
    </w:p>
    <w:p>
      <w:pPr>
        <w:spacing w:after="20" w:before="20"/>
        <w:jc w:val="center"/>
      </w:pPr>
      <w:r>
        <w:rPr>
          <w:rFonts w:ascii="Times New Roman" w:cs="Times New Roman" w:eastAsia="Times New Roman" w:hAnsi="Times New Roman"/>
          <w:caps/>
          <w:sz w:val="16"/>
          <w:szCs w:val="16"/>
        </w:rPr>
        <w:t xml:space="preserve">TABLE II. Evaluation Results on the 33 Held-Out Writers</w:t>
      </w:r>
    </w:p>
    <w:tbl>
      <w:tblPr>
        <w:tblW w:type="dxa" w:w="4740"/>
        <w:tblBorders>
          <w:top w:val="single" w:color="auto" w:sz="4"/>
          <w:left w:val="single" w:color="auto" w:sz="4"/>
          <w:bottom w:val="single" w:color="auto" w:sz="4"/>
          <w:right w:val="single" w:color="auto" w:sz="4"/>
          <w:insideH w:val="single" w:color="auto" w:sz="4"/>
          <w:insideV w:val="single" w:color="auto" w:sz="4"/>
        </w:tblBorders>
      </w:tblPr>
      <w:tblGrid>
        <w:gridCol w:w="740"/>
        <w:gridCol w:w="760"/>
        <w:gridCol w:w="540"/>
        <w:gridCol w:w="560"/>
        <w:gridCol w:w="560"/>
        <w:gridCol w:w="540"/>
        <w:gridCol w:w="520"/>
        <w:gridCol w:w="520"/>
      </w:tblGrid>
      <w:tr>
        <w:trPr>
          <w:tblHeader/>
        </w:trPr>
        <w:tc>
          <w:tcPr>
            <w:tcW w:type="dxa" w:w="74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Model</w:t>
            </w:r>
          </w:p>
        </w:tc>
        <w:tc>
          <w:tcPr>
            <w:tcW w:type="dxa" w:w="76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Scenario</w:t>
            </w:r>
          </w:p>
        </w:tc>
        <w:tc>
          <w:tcPr>
            <w:tcW w:type="dxa" w:w="54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AUC</w:t>
            </w:r>
          </w:p>
        </w:tc>
        <w:tc>
          <w:tcPr>
            <w:tcW w:type="dxa" w:w="56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EER</w:t>
            </w:r>
          </w:p>
        </w:tc>
        <w:tc>
          <w:tcPr>
            <w:tcW w:type="dxa" w:w="56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Acc.</w:t>
            </w:r>
          </w:p>
        </w:tc>
        <w:tc>
          <w:tcPr>
            <w:tcW w:type="dxa" w:w="54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Prec.</w:t>
            </w:r>
          </w:p>
        </w:tc>
        <w:tc>
          <w:tcPr>
            <w:tcW w:type="dxa" w:w="52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Rec.</w:t>
            </w:r>
          </w:p>
        </w:tc>
        <w:tc>
          <w:tcPr>
            <w:tcW w:type="dxa" w:w="52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F1</w:t>
            </w:r>
          </w:p>
        </w:tc>
      </w:tr>
      <w:tr>
        <w:tc>
          <w:tcPr>
            <w:tcW w:type="dxa" w:w="74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Baseline</w:t>
            </w:r>
          </w:p>
        </w:tc>
        <w:tc>
          <w:tcPr>
            <w:tcW w:type="dxa" w:w="76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Random</w:t>
            </w:r>
          </w:p>
        </w:tc>
        <w:tc>
          <w:tcPr>
            <w:tcW w:type="dxa" w:w="54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0.953</w:t>
            </w:r>
          </w:p>
        </w:tc>
        <w:tc>
          <w:tcPr>
            <w:tcW w:type="dxa" w:w="56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10.71</w:t>
            </w:r>
          </w:p>
        </w:tc>
        <w:tc>
          <w:tcPr>
            <w:tcW w:type="dxa" w:w="56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87.07</w:t>
            </w:r>
          </w:p>
        </w:tc>
        <w:tc>
          <w:tcPr>
            <w:tcW w:type="dxa" w:w="54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92.38</w:t>
            </w:r>
          </w:p>
        </w:tc>
        <w:tc>
          <w:tcPr>
            <w:tcW w:type="dxa" w:w="52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80.81</w:t>
            </w:r>
          </w:p>
        </w:tc>
        <w:tc>
          <w:tcPr>
            <w:tcW w:type="dxa" w:w="52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86.21</w:t>
            </w:r>
          </w:p>
        </w:tc>
      </w:tr>
      <w:tr>
        <w:tc>
          <w:tcPr>
            <w:tcW w:type="dxa" w:w="74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Baseline</w:t>
            </w:r>
          </w:p>
        </w:tc>
        <w:tc>
          <w:tcPr>
            <w:tcW w:type="dxa" w:w="76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Skilled</w:t>
            </w:r>
          </w:p>
        </w:tc>
        <w:tc>
          <w:tcPr>
            <w:tcW w:type="dxa" w:w="54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0.817</w:t>
            </w:r>
          </w:p>
        </w:tc>
        <w:tc>
          <w:tcPr>
            <w:tcW w:type="dxa" w:w="56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25.25</w:t>
            </w:r>
          </w:p>
        </w:tc>
        <w:tc>
          <w:tcPr>
            <w:tcW w:type="dxa" w:w="56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74.55</w:t>
            </w:r>
          </w:p>
        </w:tc>
        <w:tc>
          <w:tcPr>
            <w:tcW w:type="dxa" w:w="54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71.81</w:t>
            </w:r>
          </w:p>
        </w:tc>
        <w:tc>
          <w:tcPr>
            <w:tcW w:type="dxa" w:w="52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80.81</w:t>
            </w:r>
          </w:p>
        </w:tc>
        <w:tc>
          <w:tcPr>
            <w:tcW w:type="dxa" w:w="520"/>
            <w:tcMar>
              <w:top w:type="dxa" w:w="20"/>
              <w:left w:type="dxa" w:w="40"/>
              <w:bottom w:type="dxa" w:w="20"/>
              <w:right w:type="dxa" w:w="40"/>
            </w:tcMar>
          </w:tcPr>
          <w:p>
            <w:pPr>
              <w:spacing w:after="0" w:line="210"/>
              <w:jc w:val="center"/>
            </w:pPr>
            <w:r>
              <w:rPr>
                <w:rFonts w:ascii="Times New Roman" w:cs="Times New Roman" w:eastAsia="Times New Roman" w:hAnsi="Times New Roman"/>
                <w:b w:val="false"/>
                <w:bCs w:val="false"/>
                <w:sz w:val="15"/>
                <w:szCs w:val="15"/>
              </w:rPr>
              <w:t xml:space="preserve">76.05</w:t>
            </w:r>
          </w:p>
        </w:tc>
      </w:tr>
      <w:tr>
        <w:tc>
          <w:tcPr>
            <w:tcW w:type="dxa" w:w="74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Proposed</w:t>
            </w:r>
          </w:p>
        </w:tc>
        <w:tc>
          <w:tcPr>
            <w:tcW w:type="dxa" w:w="76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Random</w:t>
            </w:r>
          </w:p>
        </w:tc>
        <w:tc>
          <w:tcPr>
            <w:tcW w:type="dxa" w:w="54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0.979</w:t>
            </w:r>
          </w:p>
        </w:tc>
        <w:tc>
          <w:tcPr>
            <w:tcW w:type="dxa" w:w="56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7.07</w:t>
            </w:r>
          </w:p>
        </w:tc>
        <w:tc>
          <w:tcPr>
            <w:tcW w:type="dxa" w:w="56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90.20</w:t>
            </w:r>
          </w:p>
        </w:tc>
        <w:tc>
          <w:tcPr>
            <w:tcW w:type="dxa" w:w="54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95.02</w:t>
            </w:r>
          </w:p>
        </w:tc>
        <w:tc>
          <w:tcPr>
            <w:tcW w:type="dxa" w:w="52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84.85</w:t>
            </w:r>
          </w:p>
        </w:tc>
        <w:tc>
          <w:tcPr>
            <w:tcW w:type="dxa" w:w="52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89.65</w:t>
            </w:r>
          </w:p>
        </w:tc>
      </w:tr>
      <w:tr>
        <w:tc>
          <w:tcPr>
            <w:tcW w:type="dxa" w:w="74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Proposed</w:t>
            </w:r>
          </w:p>
        </w:tc>
        <w:tc>
          <w:tcPr>
            <w:tcW w:type="dxa" w:w="76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Skilled</w:t>
            </w:r>
          </w:p>
        </w:tc>
        <w:tc>
          <w:tcPr>
            <w:tcW w:type="dxa" w:w="54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0.871</w:t>
            </w:r>
          </w:p>
        </w:tc>
        <w:tc>
          <w:tcPr>
            <w:tcW w:type="dxa" w:w="56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20.20</w:t>
            </w:r>
          </w:p>
        </w:tc>
        <w:tc>
          <w:tcPr>
            <w:tcW w:type="dxa" w:w="56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79.49</w:t>
            </w:r>
          </w:p>
        </w:tc>
        <w:tc>
          <w:tcPr>
            <w:tcW w:type="dxa" w:w="54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76.64</w:t>
            </w:r>
          </w:p>
        </w:tc>
        <w:tc>
          <w:tcPr>
            <w:tcW w:type="dxa" w:w="52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84.85</w:t>
            </w:r>
          </w:p>
        </w:tc>
        <w:tc>
          <w:tcPr>
            <w:tcW w:type="dxa" w:w="52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80.54</w:t>
            </w:r>
          </w:p>
        </w:tc>
      </w:tr>
    </w:tbl>
    <w:p>
      <w:pPr>
        <w:spacing w:after="80" w:before="20" w:line="210"/>
        <w:jc w:val="left"/>
      </w:pPr>
      <w:r>
        <w:rPr>
          <w:rFonts w:ascii="Times New Roman" w:cs="Times New Roman" w:eastAsia="Times New Roman" w:hAnsi="Times New Roman"/>
          <w:i/>
          <w:iCs/>
          <w:sz w:val="16"/>
          <w:szCs w:val="16"/>
        </w:rPr>
        <w:t xml:space="preserve">AUC is a ratio in [0,1]; EER, Acc., Prec., Rec., and F1 are percentages. Proposed = backbone-frozen head fine-tuning.</w:t>
      </w:r>
    </w:p>
    <w:p>
      <w:pPr>
        <w:spacing w:after="80" w:line="240"/>
        <w:ind w:firstLine="240"/>
        <w:jc w:val="both"/>
      </w:pPr>
      <w:r>
        <w:rPr>
          <w:rFonts w:ascii="Times New Roman" w:cs="Times New Roman" w:eastAsia="Times New Roman" w:hAnsi="Times New Roman"/>
          <w:sz w:val="20"/>
          <w:szCs w:val="20"/>
        </w:rPr>
        <w:t xml:space="preserve">As summarized in Table II, the proposed head fine-tuning improved every metric in both scenarios. For random impostors, AUC rose from 0.953 to 0.979 and EER fell from 10.71% to 7.07%, while verification accuracy increased from 87.07% to 90.20%. For the substantially harder skilled-forgery scenario, AUC improved from 0.817 to 0.871 and EER fell from 25.25% to 20.20%, with accuracy rising from 74.55% to 79.49% and F1-score from 76.05% to 80.54%. Because only the lightweight projection head—fewer than one million parameters—was updated while the convolutional backbone remained frozen, these gains were obtained within minutes on commodity CPU hardware, demonstrating that re-adapting the embedding geometry to a combined multi-dataset corpus is sufficient to yield consistent improvements without end-to-end retraining.</w:t>
      </w:r>
    </w:p>
    <w:p>
      <w:pPr>
        <w:spacing w:after="40" w:before="100"/>
        <w:jc w:val="left"/>
      </w:pPr>
      <w:r>
        <w:rPr>
          <w:rFonts w:ascii="Times New Roman" w:cs="Times New Roman" w:eastAsia="Times New Roman" w:hAnsi="Times New Roman"/>
          <w:i/>
          <w:iCs/>
          <w:sz w:val="20"/>
          <w:szCs w:val="20"/>
        </w:rPr>
        <w:t xml:space="preserve">B. Error Analysis</w:t>
      </w:r>
    </w:p>
    <w:p>
      <w:pPr>
        <w:spacing w:after="60" w:line="240"/>
        <w:ind w:firstLine="240"/>
        <w:jc w:val="both"/>
      </w:pPr>
      <w:r>
        <w:rPr>
          <w:rFonts w:ascii="Times New Roman" w:cs="Times New Roman" w:eastAsia="Times New Roman" w:hAnsi="Times New Roman"/>
          <w:sz w:val="20"/>
          <w:szCs w:val="20"/>
        </w:rPr>
        <w:t xml:space="preserve">To characterize the residual error modes, the confusion of the proposed model at its single operating threshold was examined separately for the two scenarios, as reported in Table III. Because the positive class and the threshold were identical across scenarios, the genuine-acceptance behavior was fixed: 420 of the 495 genuine pairs were correctly accepted, corresponding to a recall of 84.85%, and 75 were rejected. The scenarios diverged entirely in their false-acceptance behavior.</w:t>
      </w:r>
    </w:p>
    <w:p>
      <w:pPr>
        <w:spacing w:after="20" w:before="20"/>
        <w:jc w:val="center"/>
      </w:pPr>
      <w:r>
        <w:rPr>
          <w:rFonts w:ascii="Times New Roman" w:cs="Times New Roman" w:eastAsia="Times New Roman" w:hAnsi="Times New Roman"/>
          <w:caps/>
          <w:sz w:val="16"/>
          <w:szCs w:val="16"/>
        </w:rPr>
        <w:t xml:space="preserve">TABLE III. Confusion Breakdown of the Proposed Model</w:t>
      </w:r>
    </w:p>
    <w:tbl>
      <w:tblPr>
        <w:tblW w:type="dxa" w:w="4940"/>
        <w:tblBorders>
          <w:top w:val="single" w:color="auto" w:sz="4"/>
          <w:left w:val="single" w:color="auto" w:sz="4"/>
          <w:bottom w:val="single" w:color="auto" w:sz="4"/>
          <w:right w:val="single" w:color="auto" w:sz="4"/>
          <w:insideH w:val="single" w:color="auto" w:sz="4"/>
          <w:insideV w:val="single" w:color="auto" w:sz="4"/>
        </w:tblBorders>
      </w:tblPr>
      <w:tblGrid>
        <w:gridCol w:w="820"/>
        <w:gridCol w:w="1030"/>
        <w:gridCol w:w="1030"/>
        <w:gridCol w:w="1030"/>
        <w:gridCol w:w="1030"/>
      </w:tblGrid>
      <w:tr>
        <w:trPr>
          <w:tblHeader/>
        </w:trPr>
        <w:tc>
          <w:tcPr>
            <w:tcW w:type="dxa" w:w="82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Scenario</w:t>
            </w:r>
          </w:p>
        </w:tc>
        <w:tc>
          <w:tcPr>
            <w:tcW w:type="dxa" w:w="103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Genuine accepted (TP)</w:t>
            </w:r>
          </w:p>
        </w:tc>
        <w:tc>
          <w:tcPr>
            <w:tcW w:type="dxa" w:w="103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Genuine rejected (FN)</w:t>
            </w:r>
          </w:p>
        </w:tc>
        <w:tc>
          <w:tcPr>
            <w:tcW w:type="dxa" w:w="103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Forgery accepted (FP)</w:t>
            </w:r>
          </w:p>
        </w:tc>
        <w:tc>
          <w:tcPr>
            <w:tcW w:type="dxa" w:w="1030"/>
            <w:tcMar>
              <w:top w:type="dxa" w:w="20"/>
              <w:left w:type="dxa" w:w="40"/>
              <w:bottom w:type="dxa" w:w="20"/>
              <w:right w:type="dxa" w:w="40"/>
            </w:tcMar>
          </w:tcPr>
          <w:p>
            <w:pPr>
              <w:spacing w:after="0" w:line="210"/>
              <w:jc w:val="center"/>
            </w:pPr>
            <w:r>
              <w:rPr>
                <w:rFonts w:ascii="Times New Roman" w:cs="Times New Roman" w:eastAsia="Times New Roman" w:hAnsi="Times New Roman"/>
                <w:b/>
                <w:bCs/>
                <w:sz w:val="15"/>
                <w:szCs w:val="15"/>
              </w:rPr>
              <w:t xml:space="preserve">Forgery rejected (TN)</w:t>
            </w:r>
          </w:p>
        </w:tc>
      </w:tr>
      <w:tr>
        <w:tc>
          <w:tcPr>
            <w:tcW w:type="dxa" w:w="820"/>
            <w:tcMar>
              <w:top w:type="dxa" w:w="20"/>
              <w:left w:type="dxa" w:w="40"/>
              <w:bottom w:type="dxa" w:w="20"/>
              <w:right w:type="dxa" w:w="40"/>
            </w:tcMar>
          </w:tcPr>
          <w:p>
            <w:pPr>
              <w:spacing w:after="0" w:line="210"/>
              <w:jc w:val="center"/>
            </w:pPr>
            <w:r>
              <w:rPr>
                <w:rFonts w:ascii="Times New Roman" w:cs="Times New Roman" w:eastAsia="Times New Roman" w:hAnsi="Times New Roman"/>
                <w:sz w:val="15"/>
                <w:szCs w:val="15"/>
              </w:rPr>
              <w:t xml:space="preserve">Random</w:t>
            </w:r>
          </w:p>
        </w:tc>
        <w:tc>
          <w:tcPr>
            <w:tcW w:type="dxa" w:w="1030"/>
            <w:tcMar>
              <w:top w:type="dxa" w:w="20"/>
              <w:left w:type="dxa" w:w="40"/>
              <w:bottom w:type="dxa" w:w="20"/>
              <w:right w:type="dxa" w:w="40"/>
            </w:tcMar>
          </w:tcPr>
          <w:p>
            <w:pPr>
              <w:spacing w:after="0" w:line="210"/>
              <w:jc w:val="center"/>
            </w:pPr>
            <w:r>
              <w:rPr>
                <w:rFonts w:ascii="Times New Roman" w:cs="Times New Roman" w:eastAsia="Times New Roman" w:hAnsi="Times New Roman"/>
                <w:sz w:val="15"/>
                <w:szCs w:val="15"/>
              </w:rPr>
              <w:t xml:space="preserve">420</w:t>
            </w:r>
          </w:p>
        </w:tc>
        <w:tc>
          <w:tcPr>
            <w:tcW w:type="dxa" w:w="1030"/>
            <w:tcMar>
              <w:top w:type="dxa" w:w="20"/>
              <w:left w:type="dxa" w:w="40"/>
              <w:bottom w:type="dxa" w:w="20"/>
              <w:right w:type="dxa" w:w="40"/>
            </w:tcMar>
          </w:tcPr>
          <w:p>
            <w:pPr>
              <w:spacing w:after="0" w:line="210"/>
              <w:jc w:val="center"/>
            </w:pPr>
            <w:r>
              <w:rPr>
                <w:rFonts w:ascii="Times New Roman" w:cs="Times New Roman" w:eastAsia="Times New Roman" w:hAnsi="Times New Roman"/>
                <w:sz w:val="15"/>
                <w:szCs w:val="15"/>
              </w:rPr>
              <w:t xml:space="preserve">75</w:t>
            </w:r>
          </w:p>
        </w:tc>
        <w:tc>
          <w:tcPr>
            <w:tcW w:type="dxa" w:w="1030"/>
            <w:tcMar>
              <w:top w:type="dxa" w:w="20"/>
              <w:left w:type="dxa" w:w="40"/>
              <w:bottom w:type="dxa" w:w="20"/>
              <w:right w:type="dxa" w:w="40"/>
            </w:tcMar>
          </w:tcPr>
          <w:p>
            <w:pPr>
              <w:spacing w:after="0" w:line="210"/>
              <w:jc w:val="center"/>
            </w:pPr>
            <w:r>
              <w:rPr>
                <w:rFonts w:ascii="Times New Roman" w:cs="Times New Roman" w:eastAsia="Times New Roman" w:hAnsi="Times New Roman"/>
                <w:sz w:val="15"/>
                <w:szCs w:val="15"/>
              </w:rPr>
              <w:t xml:space="preserve">22</w:t>
            </w:r>
          </w:p>
        </w:tc>
        <w:tc>
          <w:tcPr>
            <w:tcW w:type="dxa" w:w="1030"/>
            <w:tcMar>
              <w:top w:type="dxa" w:w="20"/>
              <w:left w:type="dxa" w:w="40"/>
              <w:bottom w:type="dxa" w:w="20"/>
              <w:right w:type="dxa" w:w="40"/>
            </w:tcMar>
          </w:tcPr>
          <w:p>
            <w:pPr>
              <w:spacing w:after="0" w:line="210"/>
              <w:jc w:val="center"/>
            </w:pPr>
            <w:r>
              <w:rPr>
                <w:rFonts w:ascii="Times New Roman" w:cs="Times New Roman" w:eastAsia="Times New Roman" w:hAnsi="Times New Roman"/>
                <w:sz w:val="15"/>
                <w:szCs w:val="15"/>
              </w:rPr>
              <w:t xml:space="preserve">473</w:t>
            </w:r>
          </w:p>
        </w:tc>
      </w:tr>
      <w:tr>
        <w:tc>
          <w:tcPr>
            <w:tcW w:type="dxa" w:w="820"/>
            <w:tcMar>
              <w:top w:type="dxa" w:w="20"/>
              <w:left w:type="dxa" w:w="40"/>
              <w:bottom w:type="dxa" w:w="20"/>
              <w:right w:type="dxa" w:w="40"/>
            </w:tcMar>
          </w:tcPr>
          <w:p>
            <w:pPr>
              <w:spacing w:after="0" w:line="210"/>
              <w:jc w:val="center"/>
            </w:pPr>
            <w:r>
              <w:rPr>
                <w:rFonts w:ascii="Times New Roman" w:cs="Times New Roman" w:eastAsia="Times New Roman" w:hAnsi="Times New Roman"/>
                <w:sz w:val="15"/>
                <w:szCs w:val="15"/>
              </w:rPr>
              <w:t xml:space="preserve">Skilled</w:t>
            </w:r>
          </w:p>
        </w:tc>
        <w:tc>
          <w:tcPr>
            <w:tcW w:type="dxa" w:w="1030"/>
            <w:tcMar>
              <w:top w:type="dxa" w:w="20"/>
              <w:left w:type="dxa" w:w="40"/>
              <w:bottom w:type="dxa" w:w="20"/>
              <w:right w:type="dxa" w:w="40"/>
            </w:tcMar>
          </w:tcPr>
          <w:p>
            <w:pPr>
              <w:spacing w:after="0" w:line="210"/>
              <w:jc w:val="center"/>
            </w:pPr>
            <w:r>
              <w:rPr>
                <w:rFonts w:ascii="Times New Roman" w:cs="Times New Roman" w:eastAsia="Times New Roman" w:hAnsi="Times New Roman"/>
                <w:sz w:val="15"/>
                <w:szCs w:val="15"/>
              </w:rPr>
              <w:t xml:space="preserve">420</w:t>
            </w:r>
          </w:p>
        </w:tc>
        <w:tc>
          <w:tcPr>
            <w:tcW w:type="dxa" w:w="1030"/>
            <w:tcMar>
              <w:top w:type="dxa" w:w="20"/>
              <w:left w:type="dxa" w:w="40"/>
              <w:bottom w:type="dxa" w:w="20"/>
              <w:right w:type="dxa" w:w="40"/>
            </w:tcMar>
          </w:tcPr>
          <w:p>
            <w:pPr>
              <w:spacing w:after="0" w:line="210"/>
              <w:jc w:val="center"/>
            </w:pPr>
            <w:r>
              <w:rPr>
                <w:rFonts w:ascii="Times New Roman" w:cs="Times New Roman" w:eastAsia="Times New Roman" w:hAnsi="Times New Roman"/>
                <w:sz w:val="15"/>
                <w:szCs w:val="15"/>
              </w:rPr>
              <w:t xml:space="preserve">75</w:t>
            </w:r>
          </w:p>
        </w:tc>
        <w:tc>
          <w:tcPr>
            <w:tcW w:type="dxa" w:w="1030"/>
            <w:tcMar>
              <w:top w:type="dxa" w:w="20"/>
              <w:left w:type="dxa" w:w="40"/>
              <w:bottom w:type="dxa" w:w="20"/>
              <w:right w:type="dxa" w:w="40"/>
            </w:tcMar>
          </w:tcPr>
          <w:p>
            <w:pPr>
              <w:spacing w:after="0" w:line="210"/>
              <w:jc w:val="center"/>
            </w:pPr>
            <w:r>
              <w:rPr>
                <w:rFonts w:ascii="Times New Roman" w:cs="Times New Roman" w:eastAsia="Times New Roman" w:hAnsi="Times New Roman"/>
                <w:sz w:val="15"/>
                <w:szCs w:val="15"/>
              </w:rPr>
              <w:t xml:space="preserve">128</w:t>
            </w:r>
          </w:p>
        </w:tc>
        <w:tc>
          <w:tcPr>
            <w:tcW w:type="dxa" w:w="1030"/>
            <w:tcMar>
              <w:top w:type="dxa" w:w="20"/>
              <w:left w:type="dxa" w:w="40"/>
              <w:bottom w:type="dxa" w:w="20"/>
              <w:right w:type="dxa" w:w="40"/>
            </w:tcMar>
          </w:tcPr>
          <w:p>
            <w:pPr>
              <w:spacing w:after="0" w:line="210"/>
              <w:jc w:val="center"/>
            </w:pPr>
            <w:r>
              <w:rPr>
                <w:rFonts w:ascii="Times New Roman" w:cs="Times New Roman" w:eastAsia="Times New Roman" w:hAnsi="Times New Roman"/>
                <w:sz w:val="15"/>
                <w:szCs w:val="15"/>
              </w:rPr>
              <w:t xml:space="preserve">367</w:t>
            </w:r>
          </w:p>
        </w:tc>
      </w:tr>
    </w:tbl>
    <w:p>
      <w:pPr>
        <w:spacing w:after="80" w:before="20" w:line="210"/>
        <w:jc w:val="left"/>
      </w:pPr>
      <w:r>
        <w:rPr>
          <w:rFonts w:ascii="Times New Roman" w:cs="Times New Roman" w:eastAsia="Times New Roman" w:hAnsi="Times New Roman"/>
          <w:i/>
          <w:iCs/>
          <w:sz w:val="16"/>
          <w:szCs w:val="16"/>
        </w:rPr>
        <w:t xml:space="preserve">Counts are pair-level decisions at the single operating threshold; genuine acceptance is identical across scenarios by construction.</w:t>
      </w:r>
    </w:p>
    <w:p>
      <w:pPr>
        <w:spacing w:after="80" w:line="240"/>
        <w:ind w:firstLine="240"/>
        <w:jc w:val="both"/>
      </w:pPr>
      <w:r>
        <w:rPr>
          <w:rFonts w:ascii="Times New Roman" w:cs="Times New Roman" w:eastAsia="Times New Roman" w:hAnsi="Times New Roman"/>
          <w:sz w:val="20"/>
          <w:szCs w:val="20"/>
        </w:rPr>
        <w:t xml:space="preserve">Only 22 of the 495 random impostors were incorrectly accepted, whereas 128 of the 495 skilled forgeries were accepted—a nearly six-fold increase in false acceptances. Consequently, precision fell from 95.02% for random impostors to 76.64% for skilled forgeries. This disparity reflects the intrinsic nature of the two attacks and the representational bias of a frozen, ImageNet-derived backbone. Random impostors differ from the reference in global shape, slant, and stroke layout—cues that a convolutional embedding captures readily—making them straightforward to reject. Skilled forgeries, by contrast, are deliberately practiced to reproduce precisely these global characteristics, and the fine-grained pen dynamics that distinguish a genuine signing from a careful imitation are not fully encoded by a backbone optimized for natural-image classification. Skilled forgery therefore remained the dominant error mode even after fine-tuning, with an EER of 20.20% that is almost three times that of the random-impostor scenario (7.07%).</w:t>
      </w:r>
    </w:p>
    <w:p>
      <w:pPr>
        <w:spacing w:after="80" w:before="160"/>
        <w:jc w:val="center"/>
      </w:pPr>
      <w:r>
        <w:rPr>
          <w:rFonts w:ascii="Times New Roman" w:cs="Times New Roman" w:eastAsia="Times New Roman" w:hAnsi="Times New Roman"/>
          <w:caps/>
          <w:sz w:val="20"/>
          <w:szCs w:val="20"/>
        </w:rPr>
        <w:t xml:space="preserve">V. Conclusions</w:t>
      </w:r>
    </w:p>
    <w:p>
      <w:pPr>
        <w:spacing w:after="80" w:line="240"/>
        <w:ind w:firstLine="240"/>
        <w:jc w:val="both"/>
      </w:pPr>
      <w:r>
        <w:rPr>
          <w:rFonts w:ascii="Times New Roman" w:cs="Times New Roman" w:eastAsia="Times New Roman" w:hAnsi="Times New Roman"/>
          <w:sz w:val="20"/>
          <w:szCs w:val="20"/>
        </w:rPr>
        <w:t xml:space="preserve">This study presented a lightweight, backbone-frozen fine-tuning strategy for offline signature verification, in which only the projection head of a pretrained EfficientNet-B0 embedder was retrained with batch-hard triplet loss over a combined 221-writer corpus drawn from the CEDAR, GPDS, and a locally collected dataset. Evaluated on 33 strictly held-out writers under a writer-independent protocol, the proposed fine-tuning improved random-impostor detection from an AUC of 0.953 to 0.979 (EER reduced from 10.71% to 7.07%) and skilled-forgery detection from an AUC of 0.817 to 0.871 (EER reduced from 25.25% to 20.20%), raising verification accuracy to 90.20% and 79.49%, respectively. By explicitly separating random-impostor from skilled-forgery performance and evaluating across multiple datasets with strictly writer-disjoint partitions, this work establishes a transparent and reproducible benchmark for cross-dataset offline signature verification.</w:t>
      </w:r>
    </w:p>
    <w:p>
      <w:pPr>
        <w:spacing w:after="80" w:line="240"/>
        <w:ind w:firstLine="240"/>
        <w:jc w:val="both"/>
      </w:pPr>
      <w:r>
        <w:rPr>
          <w:rFonts w:ascii="Times New Roman" w:cs="Times New Roman" w:eastAsia="Times New Roman" w:hAnsi="Times New Roman"/>
          <w:sz w:val="20"/>
          <w:szCs w:val="20"/>
        </w:rPr>
        <w:t xml:space="preserve">Two limitations frame these results and motivate future work. First, only the embedding head was fine-tuned, owing to CPU-only training constraints; end-to-end fine-tuning of the backbone on GPU hardware, together with a larger and more diverse pool of skilled forgeries, is expected to further narrow the skilled-forgery gap that remained the dominant error mode. Second, although the evaluation writers were disjoint from the training writers, they were drawn from the same dataset families and served for both checkpoint selection and testing; a fully independent test partition and a larger held-out set would strengthen the generalization claims. Explicitly modeling fine-grained stroke dynamics—through attention mechanisms, graph-based stroke representations, or self-supervised Vision Transformers such as DINOv2 [8]—represents a promising direction for closing the remaining gap against skilled forgeries.</w:t>
      </w:r>
    </w:p>
    <w:p>
      <w:pPr>
        <w:spacing w:after="80" w:before="160"/>
        <w:jc w:val="center"/>
      </w:pPr>
      <w:r>
        <w:rPr>
          <w:rFonts w:ascii="Times New Roman" w:cs="Times New Roman" w:eastAsia="Times New Roman" w:hAnsi="Times New Roman"/>
          <w:caps/>
          <w:sz w:val="18"/>
          <w:szCs w:val="18"/>
        </w:rPr>
        <w:t xml:space="preserve">References</w:t>
      </w:r>
    </w:p>
    <w:p>
      <w:pPr>
        <w:spacing w:after="40" w:line="216"/>
        <w:ind w:left="240" w:hanging="24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L. G. Hafemann, R. Sabourin, and L. S. Oliveira, “Offline handwritten signature verification — Literature review,” in Proc. 7th Int. Conf. Image Process. Theory, Tools Appl. (IPTA), Montreal, QC, Canada, 2017, pp. 1–8.</w:t>
      </w:r>
    </w:p>
    <w:p>
      <w:pPr>
        <w:spacing w:after="40" w:line="216"/>
        <w:ind w:left="240" w:hanging="24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M. Tan and Q. V. Le, “EfficientNet: Rethinking model scaling for convolutional neural networks,” in Proc. 36th Int. Conf. Mach. Learn. (ICML), Long Beach, CA, USA, 2019, pp. 6105–6114.</w:t>
      </w:r>
    </w:p>
    <w:p>
      <w:pPr>
        <w:spacing w:after="40" w:line="216"/>
        <w:ind w:left="240" w:hanging="24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A. M. O. Al-Azzani and A. M. Q. Musleh, “Enhancing offline signature verification through CNN model optimization with PSO algorithm,” Int. J. Intell. Syst. Appl. Eng. (IJISAE), vol. 12, no. 3, 2024.</w:t>
      </w:r>
    </w:p>
    <w:p>
      <w:pPr>
        <w:spacing w:after="40" w:line="216"/>
        <w:ind w:left="240" w:hanging="24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F. Ozyurt, J. Majidpour, T. A. Rashid, and C. Koc, “Offline handwriting signature verification: A transfer learning and feature selection approach,” arXiv:2401.09467, 2024.</w:t>
      </w:r>
    </w:p>
    <w:p>
      <w:pPr>
        <w:spacing w:after="40" w:line="216"/>
        <w:ind w:left="240" w:hanging="24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F. Schroff, D. Kalenichenko, and J. Philbin, “FaceNet: A unified embedding for face recognition and clustering,” in Proc. IEEE Conf. Comput. Vis. Pattern Recognit. (CVPR), Boston, MA, USA, 2015, pp. 815–823.</w:t>
      </w:r>
    </w:p>
    <w:p>
      <w:pPr>
        <w:spacing w:after="40" w:line="216"/>
        <w:ind w:left="240" w:hanging="24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A. Hermans, L. Beyer, and B. Leibe, “In defense of the triplet loss for person re-identification,” arXiv:1703.07737, 2017.</w:t>
      </w:r>
    </w:p>
    <w:p>
      <w:pPr>
        <w:spacing w:after="40" w:line="216"/>
        <w:ind w:left="240" w:hanging="24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S. Dey, A. Dutta, J. I. Toledo, S. K. Ghosh, J. Lladós, and U. Pal, “SigNet: Convolutional Siamese network for writer independent offline signature verification,” arXiv:1707.02131, 2017.</w:t>
      </w:r>
    </w:p>
    <w:p>
      <w:pPr>
        <w:spacing w:after="40" w:line="216"/>
        <w:ind w:left="240" w:hanging="24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M. Oquab et al., “DINOv2: Learning robust visual features without supervision,” arXiv:2304.07193, 2023.</w:t>
      </w:r>
    </w:p>
    <w:p>
      <w:pPr>
        <w:spacing w:after="40" w:line="216"/>
        <w:ind w:left="240" w:hanging="24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A. Chokshi, V. Jain, R. Bhope, and S. Dhage, “SigScatNet: A Siamese + scattering based deep learning approach for signature forgery detection and similarity assessment,” arXiv:2311.05579, 2023.</w:t>
      </w:r>
    </w:p>
    <w:sectPr>
      <w:type w:val="continuous"/>
      <w:pgSz w:w="12240" w:h="15840" w:orient="portrait"/>
      <w:pgMar w:top="1080" w:right="900" w:bottom="1080" w:left="900" w:header="708" w:footer="708" w:gutter="0"/>
      <w:pgNumType/>
      <w:cols w:space="40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8288ad1138e5b00719a433bb22489e2be0ba16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2026-07-18T16:47:45.702Z</dcterms:created>
  <dcterms:modified xsi:type="dcterms:W3CDTF">2026-07-18T16:47:45.704Z</dcterms:modified>
</cp:coreProperties>
</file>

<file path=docProps/custom.xml><?xml version="1.0" encoding="utf-8"?>
<Properties xmlns="http://schemas.openxmlformats.org/officeDocument/2006/custom-properties" xmlns:vt="http://schemas.openxmlformats.org/officeDocument/2006/docPropsVTypes"/>
</file>