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House: That AI Built</w:t>
      </w:r>
    </w:p>
    <w:p>
      <w:pPr>
        <w:pStyle w:val="Subtitle"/>
      </w:pPr>
      <w:r>
        <w:t>Local AI workbench | Integration-first starter specification</w:t>
      </w:r>
    </w:p>
    <w:p>
      <w:r>
        <w:t>A Windows-first AI workspace where someone can download a model, discover what it can actually do, and put it to work without assembling the underlying technology themselves.</w:t>
      </w:r>
    </w:p>
    <w:p>
      <w:r>
        <w:t>One polished, coherent application makes powerful capabilities approachable. Guided setup and progressive disclosure simplify the interface, not the agents: supported reasoning, tools, memory, delegation and advanced settings remain accessible.</w:t>
      </w:r>
    </w:p>
    <w:p>
      <w:r>
        <w:t>You and your son own and shape the application. Stable integration boundaries accommodate evolving models, agents and tools without fragmenting the experience.</w:t>
      </w:r>
    </w:p>
    <w:p>
      <w:pPr>
        <w:pStyle w:val="Heading2"/>
      </w:pPr>
      <w:r>
        <w:t>“I want to download this model”</w:t>
      </w:r>
    </w:p>
    <w:p>
      <w:r>
        <w:t>Users browse models or paste a Hugging Face link. The application explains intended use, versions, hardware fit and required files, then downloads them with clear progress and storage information.</w:t>
      </w:r>
    </w:p>
    <w:p>
      <w:r>
        <w:t>Recommendations do not restrict the catalogue. Users can import unfamiliar models, reuse downloads or connect to an existing model service. Managed models load, switch and unload without manual server operation; advanced controls expose supported settings and their effects.</w:t>
      </w:r>
    </w:p>
    <w:p>
      <w:pPr>
        <w:pStyle w:val="Heading2"/>
      </w:pPr>
      <w:r>
        <w:t>“Before I use it, let me see what it can actually do”</w:t>
      </w:r>
    </w:p>
    <w:p>
      <w:r>
        <w:t>The Lab provides adjustable challenges for speed, long context, document retrieval, reasoning, image interpretation and tool use. Results expose answers, evidence, failures and resource use, not just scores. Testing guides choices; it is not a prerequisite for using a model.</w:t>
      </w:r>
    </w:p>
    <w:p>
      <w:r>
        <w:t>Save a real task as a test case, including its starting project state and success checks. Compare models, settings, prompts or skills against the same case. Profiles carry into Chat and Builder with unsupported or changed settings visible.</w:t>
      </w:r>
    </w:p>
    <w:p>
      <w:pPr>
        <w:pStyle w:val="Heading2"/>
      </w:pPr>
      <w:r>
        <w:t>“Now let me talk to it”</w:t>
      </w:r>
    </w:p>
    <w:p>
      <w:r>
        <w:t>Chat supports typing, files, images and follow-ups, with conversational voice added through the same integration model. Users switch models and agents, adjust supported reasoning settings and access commands through familiar / or @ interactions.</w:t>
      </w:r>
    </w:p>
    <w:p>
      <w:r>
        <w:t>Show what is running, what it can access and how context is managed. An expandable inspector reveals the instructions, loaded memory and skills, retrieved material, tools and summaries actually supplied for a response, separately from displayed conversation history.</w:t>
      </w:r>
    </w:p>
    <w:p>
      <w:pPr>
        <w:pStyle w:val="Heading2"/>
      </w:pPr>
      <w:r>
        <w:t>“Don’t just answer—help me finish a job”</w:t>
      </w:r>
    </w:p>
    <w:p>
      <w:r>
        <w:t>Research agents gather and compare sources; coding agents edit projects, run tests and inspect working results; creative agents call ComfyUI and connected media tools. Present source evidence, changed files, previews, test output and decisions needing attention together.</w:t>
      </w:r>
    </w:p>
    <w:p>
      <w:r>
        <w:t>“Build a small game prototype, generate its artwork and music, test it and show me a playable result.”</w:t>
      </w:r>
    </w:p>
    <w:p>
      <w:r>
        <w:t>Where a task has a definition of done, show each criterion and its evidence. Distinguish a passing executable test from a model’s judgement. Users can inspect failures, redirect work and try again; model success is never guaranteed.</w:t>
      </w:r>
    </w:p>
    <w:p>
      <w:pPr>
        <w:pStyle w:val="Heading2"/>
        <w:pageBreakBefore/>
        <w:spacing w:before="0"/>
      </w:pPr>
      <w:r>
        <w:t>“Let me choose how the agents work”</w:t>
      </w:r>
    </w:p>
    <w:p>
      <w:r>
        <w:t>Start with one agent or build a visual process such as Plan → Build → Test → Review. Support parallel tasks, child workflows, review-and-fix cycles and continuous improvement. Different agents can use different models, tools and working styles within Deep Agents.</w:t>
      </w:r>
    </w:p>
    <w:p>
      <w:r>
        <w:t>Connections show what each step receives, produces and passes onward. Subagent delegation remains visible within its owning step rather than silently duplicating the workflow. General-purpose setups make supported planning and delegation available; specialist steps can explicitly narrow their role.</w:t>
      </w:r>
    </w:p>
    <w:p>
      <w:r>
        <w:t>Users can run repeated fresh conversations against the same project for days. Fresh context does not erase project files, retained memory, progress notes or the execution environment.</w:t>
      </w:r>
    </w:p>
    <w:p>
      <w:pPr>
        <w:pStyle w:val="Heading2"/>
      </w:pPr>
      <w:r>
        <w:t>“Remember what works—and let me try another route”</w:t>
      </w:r>
    </w:p>
    <w:p>
      <w:r>
        <w:t>Each project has editable, versioned memory for decisions, constraints, working commands, failed approaches and unfinished work. Distinguish project, agent and user scopes. Successful procedures can become reusable skills; proposed changes remain inspectable and reversible.</w:t>
      </w:r>
    </w:p>
    <w:p>
      <w:r>
        <w:t>Branch from an earlier checkpoint with its matching project snapshot to try another model, prompt or approach without overwriting the first attempt. Compare resulting file changes, artifacts and tests. Conversation-only branching is clearly different from restoring a working project.</w:t>
      </w:r>
    </w:p>
    <w:p>
      <w:pPr>
        <w:pStyle w:val="Heading2"/>
      </w:pPr>
      <w:r>
        <w:t>“Let me decide how much freedom to give it”</w:t>
      </w:r>
    </w:p>
    <w:p>
      <w:r>
        <w:rPr>
          <w:b/>
        </w:rPr>
        <w:t>Execution budgets are optional and unset by default.</w:t>
      </w:r>
      <w:r>
        <w:t xml:space="preserve"> Do not impose arbitrary task-level caps on elapsed time, model calls, tool calls, reasoning effort or revision cycles. Tasks can finish naturally; continuous work follows the user’s selected completion conditions or remains active until stopped.</w:t>
      </w:r>
    </w:p>
    <w:p>
      <w:r>
        <w:t>Show usage and emerging problems without automatically cutting work short. Users may set budgets, pause, cancel or redirect a run. Real hardware capacity, runtime limits, service failures and access boundaries remain visible; open-ended execution does not mean unlimited resources.</w:t>
      </w:r>
    </w:p>
    <w:p>
      <w:r>
        <w:t>Autonomy and access are separate choices: an agent may work without repeated approval inside a disposable environment, or receive authorised access to a real project. Explain exposed files, installation rights, tool execution location and actions requiring approval. A working folder is not a security boundary.</w:t>
      </w:r>
    </w:p>
    <w:p>
      <w:r>
        <w:t>Windows, WSL, Linux, Docker and remote workers appear as understandable execution choices. Show which sessions are active, queued, resource-constrained or failing without requiring users to understand the deployment architecture.</w:t>
      </w:r>
    </w:p>
    <w:p>
      <w:pPr>
        <w:pStyle w:val="Heading2"/>
      </w:pPr>
      <w:r>
        <w:t>“A new tool came out—let me add it”</w:t>
      </w:r>
    </w:p>
    <w:p>
      <w:r>
        <w:t>A connections area adds supported models, tools and services through guided setup. Existing installations coexist with managed components. New capabilities appear in the appropriate controls, agent tools and workflow nodes without redesigning the application.</w:t>
      </w:r>
    </w:p>
    <w:p>
      <w:r>
        <w:t>Support code-based tool orchestration for bulk work and interactive tool panels through MCP Apps as integrations mature. Tool discovery can load relevant capabilities on demand without silently removing access to the enabled catalogue.</w:t>
      </w:r>
    </w:p>
    <w:p>
      <w:pPr>
        <w:pStyle w:val="Heading2"/>
      </w:pPr>
      <w:r>
        <w:t>A workspace for real work</w:t>
      </w:r>
    </w:p>
    <w:p>
      <w:r>
        <w:t>Describe the outcome → choose collaborators → let them act → inspect the result → refine, branch or reuse what worked.</w:t>
      </w:r>
    </w:p>
    <w:p>
      <w:r>
        <w:t>Coding, research, creative production, automation and model experimentation share one experience. Keep routine actions simple and advanced capabilities discoverable, with real execution, useful artifacts and clear user control behind every screen.</w:t>
      </w:r>
    </w:p>
    <w:p>
      <w:pPr>
        <w:pStyle w:val="Heading1"/>
        <w:pageBreakBefore/>
        <w:spacing w:before="0"/>
      </w:pPr>
      <w:r>
        <w:t>Technical components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70" w:type="dxa"/>
          <w:bottom w:w="70" w:type="dxa"/>
          <w:left w:w="85" w:type="dxa"/>
          <w:right w:w="85" w:type="dxa"/>
        </w:tblCellMar>
      </w:tblPr>
      <w:tblGrid>
        <w:gridCol w:w="2909"/>
        <w:gridCol w:w="7037"/>
      </w:tblGrid>
      <w:tr>
        <w:trPr>
          <w:cantSplit/>
          <w:tblHeader/>
        </w:trPr>
        <w:tc>
          <w:tcPr>
            <w:tcW w:type="dxa" w:w="2909"/>
            <w:vAlign w:val="top"/>
            <w:shd w:fill="243F50"/>
          </w:tcPr>
          <w:p>
            <w:pPr>
              <w:pStyle w:val="WBTable"/>
              <w:keepNext/>
            </w:pPr>
            <w:r>
              <w:rPr>
                <w:b/>
                <w:color w:val="FFFFFF"/>
              </w:rPr>
              <w:t>Technical component</w:t>
            </w:r>
          </w:p>
        </w:tc>
        <w:tc>
          <w:tcPr>
            <w:tcW w:type="dxa" w:w="7037"/>
            <w:vAlign w:val="top"/>
            <w:shd w:fill="243F50"/>
          </w:tcPr>
          <w:p>
            <w:pPr>
              <w:pStyle w:val="WBTable"/>
              <w:keepNext/>
            </w:pPr>
            <w:r>
              <w:rPr>
                <w:b/>
                <w:color w:val="FFFFFF"/>
              </w:rPr>
              <w:t>What it owns or provides</w:t>
            </w:r>
          </w:p>
        </w:tc>
      </w:tr>
      <w:tr>
        <w:trPr>
          <w:cantSplit/>
        </w:trPr>
        <w:tc>
          <w:tcPr>
            <w:tcW w:type="dxa" w:w="2909"/>
            <w:vAlign w:val="top"/>
            <w:shd w:fill="EFF3F5"/>
          </w:tcPr>
          <w:p>
            <w:pPr>
              <w:pStyle w:val="WBTable"/>
            </w:pPr>
            <w:r>
              <w:rPr>
                <w:b/>
              </w:rPr>
              <w:t>Model weights</w:t>
            </w:r>
          </w:p>
        </w:tc>
        <w:tc>
          <w:tcPr>
            <w:tcW w:type="dxa" w:w="7037"/>
            <w:vAlign w:val="top"/>
            <w:shd w:fill="EFF3F5"/>
          </w:tcPr>
          <w:p>
            <w:pPr>
              <w:pStyle w:val="WBTable"/>
            </w:pPr>
            <w:r>
              <w:t>Learned model data. llama.cpp executes supported GGUF weights; the model manager resolves their required companion files.</w:t>
            </w:r>
          </w:p>
        </w:tc>
      </w:tr>
      <w:tr>
        <w:trPr>
          <w:cantSplit/>
        </w:trPr>
        <w:tc>
          <w:tcPr>
            <w:tcW w:type="dxa" w:w="2909"/>
            <w:vAlign w:val="top"/>
            <w:shd w:fill="FFFFFF"/>
          </w:tcPr>
          <w:p>
            <w:pPr>
              <w:pStyle w:val="WBTable"/>
            </w:pPr>
            <w:r>
              <w:rPr>
                <w:b/>
              </w:rPr>
              <w:t>Tokenizer and chat template</w:t>
            </w:r>
          </w:p>
        </w:tc>
        <w:tc>
          <w:tcPr>
            <w:tcW w:type="dxa" w:w="7037"/>
            <w:vAlign w:val="top"/>
            <w:shd w:fill="FFFFFF"/>
          </w:tcPr>
          <w:p>
            <w:pPr>
              <w:pStyle w:val="WBTable"/>
            </w:pPr>
            <w:r>
              <w:t>llama.cpp converts conversations into model input using the model-matched tokenizer and template; they are not freely interchangeable.</w:t>
            </w:r>
          </w:p>
        </w:tc>
      </w:tr>
      <w:tr>
        <w:trPr>
          <w:cantSplit/>
        </w:trPr>
        <w:tc>
          <w:tcPr>
            <w:tcW w:type="dxa" w:w="2909"/>
            <w:vAlign w:val="top"/>
            <w:shd w:fill="EFF3F5"/>
          </w:tcPr>
          <w:p>
            <w:pPr>
              <w:pStyle w:val="WBTable"/>
            </w:pPr>
            <w:r>
              <w:rPr>
                <w:b/>
              </w:rPr>
              <w:t>Inference engine / runtime</w:t>
            </w:r>
          </w:p>
        </w:tc>
        <w:tc>
          <w:tcPr>
            <w:tcW w:type="dxa" w:w="7037"/>
            <w:vAlign w:val="top"/>
            <w:shd w:fill="EFF3F5"/>
          </w:tcPr>
          <w:p>
            <w:pPr>
              <w:pStyle w:val="WBTable"/>
            </w:pPr>
            <w:r>
              <w:t>llama.cpp performs inference, including supported multimodal processing and model-specific generation controls.</w:t>
            </w:r>
          </w:p>
        </w:tc>
      </w:tr>
      <w:tr>
        <w:trPr>
          <w:cantSplit/>
        </w:trPr>
        <w:tc>
          <w:tcPr>
            <w:tcW w:type="dxa" w:w="2909"/>
            <w:vAlign w:val="top"/>
            <w:shd w:fill="FFFFFF"/>
          </w:tcPr>
          <w:p>
            <w:pPr>
              <w:pStyle w:val="WBTable"/>
            </w:pPr>
            <w:r>
              <w:rPr>
                <w:b/>
              </w:rPr>
              <w:t>Inference server / model API</w:t>
            </w:r>
          </w:p>
        </w:tc>
        <w:tc>
          <w:tcPr>
            <w:tcW w:type="dxa" w:w="7037"/>
            <w:vAlign w:val="top"/>
            <w:shd w:fill="FFFFFF"/>
          </w:tcPr>
          <w:p>
            <w:pPr>
              <w:pStyle w:val="WBTable"/>
            </w:pPr>
            <w:r>
              <w:t>llama-server exposes inference to the backend. The application supervises managed deployments and connects to existing endpoints.</w:t>
            </w:r>
          </w:p>
        </w:tc>
      </w:tr>
      <w:tr>
        <w:trPr>
          <w:cantSplit/>
        </w:trPr>
        <w:tc>
          <w:tcPr>
            <w:tcW w:type="dxa" w:w="2909"/>
            <w:vAlign w:val="top"/>
            <w:shd w:fill="EFF3F5"/>
          </w:tcPr>
          <w:p>
            <w:pPr>
              <w:pStyle w:val="WBTable"/>
            </w:pPr>
            <w:r>
              <w:rPr>
                <w:b/>
              </w:rPr>
              <w:t>Model management</w:t>
            </w:r>
          </w:p>
        </w:tc>
        <w:tc>
          <w:tcPr>
            <w:tcW w:type="dxa" w:w="7037"/>
            <w:vAlign w:val="top"/>
            <w:shd w:fill="EFF3F5"/>
          </w:tcPr>
          <w:p>
            <w:pPr>
              <w:pStyle w:val="WBTable"/>
            </w:pPr>
            <w:r>
              <w:t>The application owns bundles, downloads, installation records, compatibility, profiles and deployment lifecycle.</w:t>
            </w:r>
          </w:p>
        </w:tc>
      </w:tr>
      <w:tr>
        <w:trPr>
          <w:cantSplit/>
        </w:trPr>
        <w:tc>
          <w:tcPr>
            <w:tcW w:type="dxa" w:w="2909"/>
            <w:vAlign w:val="top"/>
            <w:shd w:fill="FFFFFF"/>
          </w:tcPr>
          <w:p>
            <w:pPr>
              <w:pStyle w:val="WBTable"/>
            </w:pPr>
            <w:r>
              <w:rPr>
                <w:b/>
              </w:rPr>
              <w:t>Agent runtime / harness</w:t>
            </w:r>
          </w:p>
        </w:tc>
        <w:tc>
          <w:tcPr>
            <w:tcW w:type="dxa" w:w="7037"/>
            <w:vAlign w:val="top"/>
            <w:shd w:fill="FFFFFF"/>
          </w:tcPr>
          <w:p>
            <w:pPr>
              <w:pStyle w:val="WBTable"/>
            </w:pPr>
            <w:r>
              <w:t>Deep Agents owns the model-and-tool loop, planning and delegation, using LangChain components and the LangGraph runtime.</w:t>
            </w:r>
          </w:p>
        </w:tc>
      </w:tr>
      <w:tr>
        <w:trPr>
          <w:cantSplit/>
        </w:trPr>
        <w:tc>
          <w:tcPr>
            <w:tcW w:type="dxa" w:w="2909"/>
            <w:vAlign w:val="top"/>
            <w:shd w:fill="EFF3F5"/>
          </w:tcPr>
          <w:p>
            <w:pPr>
              <w:pStyle w:val="WBTable"/>
            </w:pPr>
            <w:r>
              <w:rPr>
                <w:b/>
              </w:rPr>
              <w:t>Context management</w:t>
            </w:r>
          </w:p>
        </w:tc>
        <w:tc>
          <w:tcPr>
            <w:tcW w:type="dxa" w:w="7037"/>
            <w:vAlign w:val="top"/>
            <w:shd w:fill="EFF3F5"/>
          </w:tcPr>
          <w:p>
            <w:pPr>
              <w:pStyle w:val="WBTable"/>
            </w:pPr>
            <w:r>
              <w:t>Deep Agents assembles and compacts active context. The application records request inputs and explains what was loaded, summarised or omitted.</w:t>
            </w:r>
          </w:p>
        </w:tc>
      </w:tr>
      <w:tr>
        <w:trPr>
          <w:cantSplit/>
        </w:trPr>
        <w:tc>
          <w:tcPr>
            <w:tcW w:type="dxa" w:w="2909"/>
            <w:vAlign w:val="top"/>
            <w:shd w:fill="FFFFFF"/>
          </w:tcPr>
          <w:p>
            <w:pPr>
              <w:pStyle w:val="WBTable"/>
            </w:pPr>
            <w:r>
              <w:rPr>
                <w:b/>
              </w:rPr>
              <w:t>Project memory and skills</w:t>
            </w:r>
          </w:p>
        </w:tc>
        <w:tc>
          <w:tcPr>
            <w:tcW w:type="dxa" w:w="7037"/>
            <w:vAlign w:val="top"/>
            <w:shd w:fill="FFFFFF"/>
          </w:tcPr>
          <w:p>
            <w:pPr>
              <w:pStyle w:val="WBTable"/>
            </w:pPr>
            <w:r>
              <w:t>Deep Agents consumes configured memory and skills. The application owns their scopes, versions, write policy, provenance and user-facing editing.</w:t>
            </w:r>
          </w:p>
        </w:tc>
      </w:tr>
      <w:tr>
        <w:trPr>
          <w:cantSplit/>
        </w:trPr>
        <w:tc>
          <w:tcPr>
            <w:tcW w:type="dxa" w:w="2909"/>
            <w:vAlign w:val="top"/>
            <w:shd w:fill="EFF3F5"/>
          </w:tcPr>
          <w:p>
            <w:pPr>
              <w:pStyle w:val="WBTable"/>
            </w:pPr>
            <w:r>
              <w:rPr>
                <w:b/>
              </w:rPr>
              <w:t>Tools and connectors</w:t>
            </w:r>
          </w:p>
        </w:tc>
        <w:tc>
          <w:tcPr>
            <w:tcW w:type="dxa" w:w="7037"/>
            <w:vAlign w:val="top"/>
            <w:shd w:fill="EFF3F5"/>
          </w:tcPr>
          <w:p>
            <w:pPr>
              <w:pStyle w:val="WBTable"/>
            </w:pPr>
            <w:r>
              <w:t>LangChain exposes tools to Deep Agents. Application adapters execute work and report progress, results and side effects.</w:t>
            </w:r>
          </w:p>
        </w:tc>
      </w:tr>
      <w:tr>
        <w:trPr>
          <w:cantSplit/>
        </w:trPr>
        <w:tc>
          <w:tcPr>
            <w:tcW w:type="dxa" w:w="2909"/>
            <w:vAlign w:val="top"/>
            <w:shd w:fill="FFFFFF"/>
          </w:tcPr>
          <w:p>
            <w:pPr>
              <w:pStyle w:val="WBTable"/>
            </w:pPr>
            <w:r>
              <w:rPr>
                <w:b/>
              </w:rPr>
              <w:t>Tool protocol / MCP</w:t>
            </w:r>
          </w:p>
        </w:tc>
        <w:tc>
          <w:tcPr>
            <w:tcW w:type="dxa" w:w="7037"/>
            <w:vAlign w:val="top"/>
            <w:shd w:fill="FFFFFF"/>
          </w:tcPr>
          <w:p>
            <w:pPr>
              <w:pStyle w:val="WBTable"/>
            </w:pPr>
            <w:r>
              <w:t>MCP standardises tool discovery and invocation. MCP Apps adds interactive tool interfaces; neither supplies execution isolation or workflow sequencing.</w:t>
            </w:r>
          </w:p>
        </w:tc>
      </w:tr>
      <w:tr>
        <w:trPr>
          <w:cantSplit/>
        </w:trPr>
        <w:tc>
          <w:tcPr>
            <w:tcW w:type="dxa" w:w="2909"/>
            <w:vAlign w:val="top"/>
            <w:shd w:fill="EFF3F5"/>
          </w:tcPr>
          <w:p>
            <w:pPr>
              <w:pStyle w:val="WBTable"/>
            </w:pPr>
            <w:r>
              <w:rPr>
                <w:b/>
              </w:rPr>
              <w:t>Execution environment</w:t>
            </w:r>
          </w:p>
        </w:tc>
        <w:tc>
          <w:tcPr>
            <w:tcW w:type="dxa" w:w="7037"/>
            <w:vAlign w:val="top"/>
            <w:shd w:fill="EFF3F5"/>
          </w:tcPr>
          <w:p>
            <w:pPr>
              <w:pStyle w:val="WBTable"/>
            </w:pPr>
            <w:r>
              <w:t>Application-managed workers provide real filesystem, shell, browser and graphical access. Location and isolation depend on the selected environment.</w:t>
            </w:r>
          </w:p>
        </w:tc>
      </w:tr>
      <w:tr>
        <w:trPr>
          <w:cantSplit/>
        </w:trPr>
        <w:tc>
          <w:tcPr>
            <w:tcW w:type="dxa" w:w="2909"/>
            <w:vAlign w:val="top"/>
            <w:shd w:fill="FFFFFF"/>
          </w:tcPr>
          <w:p>
            <w:pPr>
              <w:pStyle w:val="WBTable"/>
            </w:pPr>
            <w:r>
              <w:rPr>
                <w:b/>
              </w:rPr>
              <w:t>Workflow orchestration</w:t>
            </w:r>
          </w:p>
        </w:tc>
        <w:tc>
          <w:tcPr>
            <w:tcW w:type="dxa" w:w="7037"/>
            <w:vAlign w:val="top"/>
            <w:shd w:fill="FFFFFF"/>
          </w:tcPr>
          <w:p>
            <w:pPr>
              <w:pStyle w:val="WBTable"/>
            </w:pPr>
            <w:r>
              <w:t>LangGraph executes steps, branches, parallel agents and loops, and provides checkpoints and intervention. One agent task needs no outer workflow.</w:t>
            </w:r>
          </w:p>
        </w:tc>
      </w:tr>
      <w:tr>
        <w:trPr>
          <w:cantSplit/>
        </w:trPr>
        <w:tc>
          <w:tcPr>
            <w:tcW w:type="dxa" w:w="2909"/>
            <w:vAlign w:val="top"/>
            <w:shd w:fill="EFF3F5"/>
          </w:tcPr>
          <w:p>
            <w:pPr>
              <w:pStyle w:val="WBTable"/>
            </w:pPr>
            <w:r>
              <w:rPr>
                <w:b/>
              </w:rPr>
              <w:t>Retrieval and indexing / RAG</w:t>
            </w:r>
          </w:p>
        </w:tc>
        <w:tc>
          <w:tcPr>
            <w:tcW w:type="dxa" w:w="7037"/>
            <w:vAlign w:val="top"/>
            <w:shd w:fill="EFF3F5"/>
          </w:tcPr>
          <w:p>
            <w:pPr>
              <w:pStyle w:val="WBTable"/>
            </w:pPr>
            <w:r>
              <w:t>Finds relevant documents or code for model context. Retrieval is distinct from project memory and model training.</w:t>
            </w:r>
          </w:p>
        </w:tc>
      </w:tr>
      <w:tr>
        <w:trPr>
          <w:cantSplit/>
        </w:trPr>
        <w:tc>
          <w:tcPr>
            <w:tcW w:type="dxa" w:w="2909"/>
            <w:vAlign w:val="top"/>
            <w:shd w:fill="FFFFFF"/>
          </w:tcPr>
          <w:p>
            <w:pPr>
              <w:pStyle w:val="WBTable"/>
            </w:pPr>
            <w:r>
              <w:rPr>
                <w:b/>
              </w:rPr>
              <w:t>Persistence / storage</w:t>
            </w:r>
          </w:p>
        </w:tc>
        <w:tc>
          <w:tcPr>
            <w:tcW w:type="dxa" w:w="7037"/>
            <w:vAlign w:val="top"/>
            <w:shd w:fill="FFFFFF"/>
          </w:tcPr>
          <w:p>
            <w:pPr>
              <w:pStyle w:val="WBTable"/>
            </w:pPr>
            <w:r>
              <w:t>SQLite and files hold application data and artifacts; LangGraph checkpoints hold execution state. Snapshot records link restorable project files to checkpoints.</w:t>
            </w:r>
          </w:p>
        </w:tc>
      </w:tr>
      <w:tr>
        <w:trPr>
          <w:cantSplit/>
        </w:trPr>
        <w:tc>
          <w:tcPr>
            <w:tcW w:type="dxa" w:w="2909"/>
            <w:vAlign w:val="top"/>
            <w:shd w:fill="EFF3F5"/>
          </w:tcPr>
          <w:p>
            <w:pPr>
              <w:pStyle w:val="WBTable"/>
            </w:pPr>
            <w:r>
              <w:rPr>
                <w:b/>
              </w:rPr>
              <w:t>Evaluation / benchmarking</w:t>
            </w:r>
          </w:p>
        </w:tc>
        <w:tc>
          <w:tcPr>
            <w:tcW w:type="dxa" w:w="7037"/>
            <w:vAlign w:val="top"/>
            <w:shd w:fill="EFF3F5"/>
          </w:tcPr>
          <w:p>
            <w:pPr>
              <w:pStyle w:val="WBTable"/>
            </w:pPr>
            <w:r>
              <w:t>llama-bench measures engine performance; Inspect AI evaluates tasks. The Lab owns cases, restored starting states, evidence and comparisons.</w:t>
            </w:r>
          </w:p>
        </w:tc>
      </w:tr>
      <w:tr>
        <w:trPr>
          <w:cantSplit/>
        </w:trPr>
        <w:tc>
          <w:tcPr>
            <w:tcW w:type="dxa" w:w="2909"/>
            <w:vAlign w:val="top"/>
            <w:shd w:fill="FFFFFF"/>
          </w:tcPr>
          <w:p>
            <w:pPr>
              <w:pStyle w:val="WBTable"/>
            </w:pPr>
            <w:r>
              <w:rPr>
                <w:b/>
              </w:rPr>
              <w:t>Application backend</w:t>
            </w:r>
          </w:p>
        </w:tc>
        <w:tc>
          <w:tcPr>
            <w:tcW w:type="dxa" w:w="7037"/>
            <w:vAlign w:val="top"/>
            <w:shd w:fill="FFFFFF"/>
          </w:tcPr>
          <w:p>
            <w:pPr>
              <w:pStyle w:val="WBTable"/>
            </w:pPr>
            <w:r>
              <w:t>Python and FastAPI own APIs, jobs, resources, events, approvals and shared records. They host the agent and workflow integrations.</w:t>
            </w:r>
          </w:p>
        </w:tc>
      </w:tr>
      <w:tr>
        <w:trPr>
          <w:cantSplit/>
        </w:trPr>
        <w:tc>
          <w:tcPr>
            <w:tcW w:type="dxa" w:w="2909"/>
            <w:vAlign w:val="top"/>
            <w:shd w:fill="EFF3F5"/>
          </w:tcPr>
          <w:p>
            <w:pPr>
              <w:pStyle w:val="WBTable"/>
            </w:pPr>
            <w:r>
              <w:rPr>
                <w:b/>
              </w:rPr>
              <w:t>Desktop and visual interface</w:t>
            </w:r>
          </w:p>
        </w:tc>
        <w:tc>
          <w:tcPr>
            <w:tcW w:type="dxa" w:w="7037"/>
            <w:vAlign w:val="top"/>
            <w:shd w:fill="EFF3F5"/>
          </w:tcPr>
          <w:p>
            <w:pPr>
              <w:pStyle w:val="WBTable"/>
            </w:pPr>
            <w:r>
              <w:t>Electron and React present chat, previews, inspectors and controls. React Flow edits workflows; backend validation and LangGraph perform execution.</w:t>
            </w:r>
          </w:p>
        </w:tc>
      </w:tr>
      <w:tr>
        <w:trPr>
          <w:cantSplit/>
        </w:trPr>
        <w:tc>
          <w:tcPr>
            <w:tcW w:type="dxa" w:w="2909"/>
            <w:vAlign w:val="top"/>
            <w:shd w:fill="FFFFFF"/>
          </w:tcPr>
          <w:p>
            <w:pPr>
              <w:pStyle w:val="WBTable"/>
            </w:pPr>
            <w:r>
              <w:rPr>
                <w:b/>
              </w:rPr>
              <w:t>Plugins, skills and hooks</w:t>
            </w:r>
          </w:p>
        </w:tc>
        <w:tc>
          <w:tcPr>
            <w:tcW w:type="dxa" w:w="7037"/>
            <w:vAlign w:val="top"/>
            <w:shd w:fill="FFFFFF"/>
          </w:tcPr>
          <w:p>
            <w:pPr>
              <w:pStyle w:val="WBTable"/>
            </w:pPr>
            <w:r>
              <w:t>Plugins add functionality, skills package instructions and resources, and hooks trigger behaviour. They extend the stack rather than add competing execution owners.</w:t>
            </w:r>
          </w:p>
        </w:tc>
      </w:tr>
    </w:tbl>
    <w:p>
      <w:pPr>
        <w:spacing w:after="0" w:before="0" w:line="60" w:lineRule="exact"/>
      </w:pPr>
      <w:r>
        <w:rPr>
          <w:sz w:val="4"/>
        </w:rPr>
      </w:r>
    </w:p>
    <w:p>
      <w:r>
        <w:rPr>
          <w:b/>
        </w:rPr>
        <w:t>Shared ownership rule:</w:t>
      </w:r>
      <w:r>
        <w:t xml:space="preserve"> an upstream component supplies its execution capability; the application owns configuration, lifecycle, visibility and the contracts connecting it to the rest of the workbench.</w:t>
      </w:r>
    </w:p>
    <w:p>
      <w:pPr>
        <w:pStyle w:val="Heading1"/>
        <w:pageBreakBefore/>
        <w:spacing w:before="0"/>
      </w:pPr>
      <w:r>
        <w:t>Local AI workbench: implementation brief</w:t>
      </w:r>
    </w:p>
    <w:p>
      <w:r>
        <w:t>Models, Lab, Chat and Builder share configurations, runs and artifacts. Hugging Face supplies model files; llama.cpp performs inference; Deep Agents runs agents using LangChain and LangGraph. Builder’s outer workflows also execute in LangGraph.</w:t>
      </w:r>
    </w:p>
    <w:p>
      <w:pPr>
        <w:pStyle w:val="Heading2"/>
      </w:pPr>
      <w:r>
        <w:t>1. Models and inference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70" w:type="dxa"/>
          <w:bottom w:w="70" w:type="dxa"/>
          <w:left w:w="85" w:type="dxa"/>
          <w:right w:w="85" w:type="dxa"/>
        </w:tblCellMar>
      </w:tblPr>
      <w:tblGrid>
        <w:gridCol w:w="2318"/>
        <w:gridCol w:w="3686"/>
        <w:gridCol w:w="3941"/>
      </w:tblGrid>
      <w:tr>
        <w:trPr>
          <w:cantSplit/>
          <w:tblHeader/>
        </w:trPr>
        <w:tc>
          <w:tcPr>
            <w:tcW w:type="dxa" w:w="2318"/>
            <w:vAlign w:val="top"/>
            <w:shd w:fill="243F50"/>
          </w:tcPr>
          <w:p>
            <w:pPr>
              <w:pStyle w:val="WBTable"/>
              <w:keepNext/>
            </w:pPr>
            <w:r>
              <w:rPr>
                <w:b/>
                <w:color w:val="FFFFFF"/>
              </w:rPr>
              <w:t>Component</w:t>
            </w:r>
          </w:p>
        </w:tc>
        <w:tc>
          <w:tcPr>
            <w:tcW w:type="dxa" w:w="3686"/>
            <w:vAlign w:val="top"/>
            <w:shd w:fill="243F50"/>
          </w:tcPr>
          <w:p>
            <w:pPr>
              <w:pStyle w:val="WBTable"/>
              <w:keepNext/>
            </w:pPr>
            <w:r>
              <w:rPr>
                <w:b/>
                <w:color w:val="FFFFFF"/>
              </w:rPr>
              <w:t>What it provides</w:t>
            </w:r>
          </w:p>
        </w:tc>
        <w:tc>
          <w:tcPr>
            <w:tcW w:type="dxa" w:w="3941"/>
            <w:vAlign w:val="top"/>
            <w:shd w:fill="243F50"/>
          </w:tcPr>
          <w:p>
            <w:pPr>
              <w:pStyle w:val="WBTable"/>
              <w:keepNext/>
            </w:pPr>
            <w:r>
              <w:rPr>
                <w:b/>
                <w:color w:val="FFFFFF"/>
              </w:rPr>
              <w:t>Ownership and handoff</w:t>
            </w:r>
          </w:p>
        </w:tc>
      </w:tr>
      <w:tr>
        <w:trPr>
          <w:cantSplit/>
        </w:trPr>
        <w:tc>
          <w:tcPr>
            <w:tcW w:type="dxa" w:w="2318"/>
            <w:vAlign w:val="top"/>
            <w:shd w:fill="EFF3F5"/>
          </w:tcPr>
          <w:p>
            <w:pPr>
              <w:pStyle w:val="WBTable"/>
            </w:pPr>
            <w:hyperlink r:id="rId11">
              <w:r>
                <w:rPr>
                  <w:color w:val="285F6A"/>
                  <w:u w:val="single"/>
                </w:rPr>
                <w:t>Hugging Face + huggingface_hub</w:t>
              </w:r>
            </w:hyperlink>
          </w:p>
        </w:tc>
        <w:tc>
          <w:tcPr>
            <w:tcW w:type="dxa" w:w="3686"/>
            <w:vAlign w:val="top"/>
            <w:shd w:fill="EFF3F5"/>
          </w:tcPr>
          <w:p>
            <w:pPr>
              <w:pStyle w:val="WBTable"/>
            </w:pPr>
            <w:r>
              <w:t>Repository access, explicit file selection, revision-pinned downloads and caching.</w:t>
            </w:r>
          </w:p>
        </w:tc>
        <w:tc>
          <w:tcPr>
            <w:tcW w:type="dxa" w:w="3941"/>
            <w:vAlign w:val="top"/>
            <w:shd w:fill="EFF3F5"/>
          </w:tcPr>
          <w:p>
            <w:pPr>
              <w:pStyle w:val="WBTable"/>
            </w:pPr>
            <w:r>
              <w:t>Fetches the model manager’s selected files; the application records the complete bundle and installation.</w:t>
            </w:r>
          </w:p>
        </w:tc>
      </w:tr>
      <w:tr>
        <w:trPr>
          <w:cantSplit/>
        </w:trPr>
        <w:tc>
          <w:tcPr>
            <w:tcW w:type="dxa" w:w="2318"/>
            <w:vAlign w:val="top"/>
            <w:shd w:fill="FFFFFF"/>
          </w:tcPr>
          <w:p>
            <w:pPr>
              <w:pStyle w:val="WBTable"/>
            </w:pPr>
            <w:hyperlink r:id="rId12">
              <w:r>
                <w:rPr>
                  <w:color w:val="285F6A"/>
                  <w:u w:val="single"/>
                </w:rPr>
                <w:t>llama.cpp + llama-server</w:t>
              </w:r>
            </w:hyperlink>
          </w:p>
        </w:tc>
        <w:tc>
          <w:tcPr>
            <w:tcW w:type="dxa" w:w="3686"/>
            <w:vAlign w:val="top"/>
            <w:shd w:fill="FFFFFF"/>
          </w:tcPr>
          <w:p>
            <w:pPr>
              <w:pStyle w:val="WBTable"/>
            </w:pPr>
            <w:r>
              <w:t>GGUF inference, templates, tokenisation, supported multimodal inputs and runtime controls.</w:t>
            </w:r>
          </w:p>
        </w:tc>
        <w:tc>
          <w:tcPr>
            <w:tcW w:type="dxa" w:w="3941"/>
            <w:vAlign w:val="top"/>
            <w:shd w:fill="FFFFFF"/>
          </w:tcPr>
          <w:p>
            <w:pPr>
              <w:pStyle w:val="WBTable"/>
            </w:pPr>
            <w:r>
              <w:t>Generates responses and tool-call requests. The model manager supervises the process; Deep Agents executes tools.</w:t>
            </w:r>
          </w:p>
        </w:tc>
      </w:tr>
      <w:tr>
        <w:trPr>
          <w:cantSplit/>
        </w:trPr>
        <w:tc>
          <w:tcPr>
            <w:tcW w:type="dxa" w:w="2318"/>
            <w:vAlign w:val="top"/>
            <w:shd w:fill="EFF3F5"/>
          </w:tcPr>
          <w:p>
            <w:pPr>
              <w:pStyle w:val="WBTable"/>
            </w:pPr>
            <w:hyperlink r:id="rId28">
              <w:r>
                <w:rPr>
                  <w:color w:val="285F6A"/>
                  <w:u w:val="single"/>
                </w:rPr>
                <w:t>llama.cpp’s gguf-py</w:t>
              </w:r>
            </w:hyperlink>
          </w:p>
        </w:tc>
        <w:tc>
          <w:tcPr>
            <w:tcW w:type="dxa" w:w="3686"/>
            <w:vAlign w:val="top"/>
            <w:shd w:fill="EFF3F5"/>
          </w:tcPr>
          <w:p>
            <w:pPr>
              <w:pStyle w:val="WBTable"/>
            </w:pPr>
            <w:r>
              <w:t>Reads GGUF metadata and tensor properties.</w:t>
            </w:r>
          </w:p>
        </w:tc>
        <w:tc>
          <w:tcPr>
            <w:tcW w:type="dxa" w:w="3941"/>
            <w:vAlign w:val="top"/>
            <w:shd w:fill="EFF3F5"/>
          </w:tcPr>
          <w:p>
            <w:pPr>
              <w:pStyle w:val="WBTable"/>
            </w:pPr>
            <w:r>
              <w:t>Feeds the application’s inspector and compatibility registry. Metadata editing is outside initial scope.</w:t>
            </w:r>
          </w:p>
        </w:tc>
      </w:tr>
      <w:tr>
        <w:trPr>
          <w:cantSplit/>
        </w:trPr>
        <w:tc>
          <w:tcPr>
            <w:tcW w:type="dxa" w:w="2318"/>
            <w:vAlign w:val="top"/>
            <w:shd w:fill="FFFFFF"/>
          </w:tcPr>
          <w:p>
            <w:pPr>
              <w:pStyle w:val="WBTable"/>
            </w:pPr>
            <w:r>
              <w:rPr>
                <w:b/>
              </w:rPr>
              <w:t>Application model manager</w:t>
            </w:r>
          </w:p>
        </w:tc>
        <w:tc>
          <w:tcPr>
            <w:tcW w:type="dxa" w:w="3686"/>
            <w:vAlign w:val="top"/>
            <w:shd w:fill="FFFFFF"/>
          </w:tcPr>
          <w:p>
            <w:pPr>
              <w:pStyle w:val="WBTable"/>
            </w:pPr>
            <w:r>
              <w:t>Bundle resolution, compatibility checks, installation and process supervision.</w:t>
            </w:r>
          </w:p>
        </w:tc>
        <w:tc>
          <w:tcPr>
            <w:tcW w:type="dxa" w:w="3941"/>
            <w:vAlign w:val="top"/>
            <w:shd w:fill="FFFFFF"/>
          </w:tcPr>
          <w:p>
            <w:pPr>
              <w:pStyle w:val="WBTable"/>
            </w:pPr>
            <w:r>
              <w:t>Owns canonical records, runtime versions, applied settings, loading, unloading, health and exposed controls.</w:t>
            </w:r>
          </w:p>
        </w:tc>
      </w:tr>
    </w:tbl>
    <w:p>
      <w:pPr>
        <w:spacing w:after="0" w:before="0" w:line="60" w:lineRule="exact"/>
      </w:pPr>
      <w:r>
        <w:rPr>
          <w:sz w:val="4"/>
        </w:rPr>
      </w:r>
    </w:p>
    <w:p>
      <w:pPr>
        <w:pStyle w:val="Heading3"/>
      </w:pPr>
      <w:r>
        <w:t>Records the application owns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70" w:type="dxa"/>
          <w:bottom w:w="70" w:type="dxa"/>
          <w:left w:w="85" w:type="dxa"/>
          <w:right w:w="85" w:type="dxa"/>
        </w:tblCellMar>
      </w:tblPr>
      <w:tblGrid>
        <w:gridCol w:w="2146"/>
        <w:gridCol w:w="7800"/>
      </w:tblGrid>
      <w:tr>
        <w:trPr>
          <w:cantSplit/>
          <w:tblHeader/>
        </w:trPr>
        <w:tc>
          <w:tcPr>
            <w:tcW w:type="dxa" w:w="2146"/>
            <w:vAlign w:val="top"/>
            <w:shd w:fill="243F50"/>
          </w:tcPr>
          <w:p>
            <w:pPr>
              <w:pStyle w:val="WBTable"/>
              <w:keepNext/>
            </w:pPr>
            <w:r>
              <w:rPr>
                <w:b/>
                <w:color w:val="FFFFFF"/>
              </w:rPr>
              <w:t>Record</w:t>
            </w:r>
          </w:p>
        </w:tc>
        <w:tc>
          <w:tcPr>
            <w:tcW w:type="dxa" w:w="7800"/>
            <w:vAlign w:val="top"/>
            <w:shd w:fill="243F50"/>
          </w:tcPr>
          <w:p>
            <w:pPr>
              <w:pStyle w:val="WBTable"/>
              <w:keepNext/>
            </w:pPr>
            <w:r>
              <w:rPr>
                <w:b/>
                <w:color w:val="FFFFFF"/>
              </w:rPr>
              <w:t>What it contains</w:t>
            </w:r>
          </w:p>
        </w:tc>
      </w:tr>
      <w:tr>
        <w:trPr>
          <w:cantSplit/>
        </w:trPr>
        <w:tc>
          <w:tcPr>
            <w:tcW w:type="dxa" w:w="2146"/>
            <w:vAlign w:val="top"/>
            <w:shd w:fill="EFF3F5"/>
          </w:tcPr>
          <w:p>
            <w:pPr>
              <w:pStyle w:val="WBTable"/>
            </w:pPr>
            <w:r>
              <w:rPr>
                <w:b/>
              </w:rPr>
              <w:t>Model bundle</w:t>
            </w:r>
          </w:p>
        </w:tc>
        <w:tc>
          <w:tcPr>
            <w:tcW w:type="dxa" w:w="7800"/>
            <w:vAlign w:val="top"/>
            <w:shd w:fill="EFF3F5"/>
          </w:tcPr>
          <w:p>
            <w:pPr>
              <w:pStyle w:val="WBTable"/>
            </w:pPr>
            <w:r>
              <w:t>Quantisation, shards and companion files; repository revisions, hashes and local locations.</w:t>
            </w:r>
          </w:p>
        </w:tc>
      </w:tr>
      <w:tr>
        <w:trPr>
          <w:cantSplit/>
        </w:trPr>
        <w:tc>
          <w:tcPr>
            <w:tcW w:type="dxa" w:w="2146"/>
            <w:vAlign w:val="top"/>
            <w:shd w:fill="FFFFFF"/>
          </w:tcPr>
          <w:p>
            <w:pPr>
              <w:pStyle w:val="WBTable"/>
            </w:pPr>
            <w:r>
              <w:rPr>
                <w:b/>
              </w:rPr>
              <w:t>Run profile</w:t>
            </w:r>
          </w:p>
        </w:tc>
        <w:tc>
          <w:tcPr>
            <w:tcW w:type="dxa" w:w="7800"/>
            <w:vAlign w:val="top"/>
            <w:shd w:fill="FFFFFF"/>
          </w:tcPr>
          <w:p>
            <w:pPr>
              <w:pStyle w:val="WBTable"/>
            </w:pPr>
            <w:r>
              <w:t>Bundle and runtime version; chat template; requested startup, inference and agent settings; explicit overrides.</w:t>
            </w:r>
          </w:p>
        </w:tc>
      </w:tr>
      <w:tr>
        <w:trPr>
          <w:cantSplit/>
        </w:trPr>
        <w:tc>
          <w:tcPr>
            <w:tcW w:type="dxa" w:w="2146"/>
            <w:vAlign w:val="top"/>
            <w:shd w:fill="EFF3F5"/>
          </w:tcPr>
          <w:p>
            <w:pPr>
              <w:pStyle w:val="WBTable"/>
            </w:pPr>
            <w:r>
              <w:rPr>
                <w:b/>
              </w:rPr>
              <w:t>Running deployment</w:t>
            </w:r>
          </w:p>
        </w:tc>
        <w:tc>
          <w:tcPr>
            <w:tcW w:type="dxa" w:w="7800"/>
            <w:vAlign w:val="top"/>
            <w:shd w:fill="EFF3F5"/>
          </w:tcPr>
          <w:p>
            <w:pPr>
              <w:pStyle w:val="WBTable"/>
            </w:pPr>
            <w:r>
              <w:t>Live process or connected service, endpoint, applied startup configuration, health and resource usage.</w:t>
            </w:r>
          </w:p>
        </w:tc>
      </w:tr>
      <w:tr>
        <w:trPr>
          <w:cantSplit/>
        </w:trPr>
        <w:tc>
          <w:tcPr>
            <w:tcW w:type="dxa" w:w="2146"/>
            <w:vAlign w:val="top"/>
            <w:shd w:fill="FFFFFF"/>
          </w:tcPr>
          <w:p>
            <w:pPr>
              <w:pStyle w:val="WBTable"/>
            </w:pPr>
            <w:r>
              <w:rPr>
                <w:b/>
              </w:rPr>
              <w:t>Compatibility profile</w:t>
            </w:r>
          </w:p>
        </w:tc>
        <w:tc>
          <w:tcPr>
            <w:tcW w:type="dxa" w:w="7800"/>
            <w:vAlign w:val="top"/>
            <w:shd w:fill="FFFFFF"/>
          </w:tcPr>
          <w:p>
            <w:pPr>
              <w:pStyle w:val="WBTable"/>
            </w:pPr>
            <w:r>
              <w:t>Versioned requirements, supported capabilities and controls, recommendations, sources and validation evidence.</w:t>
            </w:r>
          </w:p>
        </w:tc>
      </w:tr>
      <w:tr>
        <w:trPr>
          <w:cantSplit/>
        </w:trPr>
        <w:tc>
          <w:tcPr>
            <w:tcW w:type="dxa" w:w="2146"/>
            <w:vAlign w:val="top"/>
            <w:shd w:fill="EFF3F5"/>
          </w:tcPr>
          <w:p>
            <w:pPr>
              <w:pStyle w:val="WBTable"/>
            </w:pPr>
            <w:r>
              <w:rPr>
                <w:b/>
              </w:rPr>
              <w:t>Run record</w:t>
            </w:r>
          </w:p>
        </w:tc>
        <w:tc>
          <w:tcPr>
            <w:tcW w:type="dxa" w:w="7800"/>
            <w:vAlign w:val="top"/>
            <w:shd w:fill="EFF3F5"/>
          </w:tcPr>
          <w:p>
            <w:pPr>
              <w:pStyle w:val="WBTable"/>
            </w:pPr>
            <w:r>
              <w:t>Profile, deployment, environment and agent setup; parent/child runs, graph steps, threads and checkpoints; applied settings, context captures, memory versions, snapshots, artifacts, checks, optional budgets and recovery outcome.</w:t>
            </w:r>
          </w:p>
        </w:tc>
      </w:tr>
    </w:tbl>
    <w:p>
      <w:pPr>
        <w:spacing w:after="0" w:before="0" w:line="60" w:lineRule="exact"/>
      </w:pPr>
      <w:r>
        <w:rPr>
          <w:sz w:val="4"/>
        </w:rPr>
      </w:r>
    </w:p>
    <w:p>
      <w:r>
        <w:rPr>
          <w:b/>
        </w:rPr>
        <w:t>Downloads and compatibility:</w:t>
      </w:r>
      <w:r>
        <w:t xml:space="preserve"> use huggingface_hub for managed downloads and pass resolved local files to llama.cpp. Reused files enter the same records. Separate publisher recommendations, tested adjustments and user overrides; mark unfamiliar models and capabilities as unverified rather than excluding them.</w:t>
      </w:r>
    </w:p>
    <w:p>
      <w:r>
        <w:rPr>
          <w:b/>
        </w:rPr>
        <w:t>Profile fidelity:</w:t>
      </w:r>
      <w:r>
        <w:t xml:space="preserve"> record settings actually applied in Lab, Chat and Builder. Separate server-startup, per-request and agent settings. Expose unsupported, overridden or unverified values and preserve supported runtime-specific controls; a shared profile name does not prove a shared configuration.</w:t>
      </w:r>
    </w:p>
    <w:p>
      <w:pPr>
        <w:pStyle w:val="Heading3"/>
      </w:pPr>
      <w:r>
        <w:t>Model-to-agent connection</w:t>
      </w:r>
    </w:p>
    <w:p>
      <w:r>
        <w:t>The backend supplies Deep Agents with a LangChain model adapter for the deployment’s OpenAI-compatible chat endpoint. The adapter preserves supported tool calls, multimodal inputs and runtime-specific parameters; it neither loads weights nor starts another inference engine.</w:t>
      </w:r>
    </w:p>
    <w:p>
      <w:r>
        <w:t>Deep Agents owns active instructions, messages and tool results. llama.cpp owns their tokenisation, chat-template rendering and context capacity. Compatibility profiles configure both, including supported reasoning controls and actual context limits; compaction must not silently change the user’s chosen generation settings.</w:t>
      </w:r>
    </w:p>
    <w:p>
      <w:pPr>
        <w:pStyle w:val="Heading2"/>
        <w:pageBreakBefore/>
        <w:spacing w:before="0"/>
      </w:pPr>
      <w:r>
        <w:t>2. Agents, workflows and LangChain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70" w:type="dxa"/>
          <w:bottom w:w="70" w:type="dxa"/>
          <w:left w:w="85" w:type="dxa"/>
          <w:right w:w="85" w:type="dxa"/>
        </w:tblCellMar>
      </w:tblPr>
      <w:tblGrid>
        <w:gridCol w:w="1800"/>
        <w:gridCol w:w="3917"/>
        <w:gridCol w:w="4229"/>
      </w:tblGrid>
      <w:tr>
        <w:trPr>
          <w:cantSplit/>
          <w:tblHeader/>
        </w:trPr>
        <w:tc>
          <w:tcPr>
            <w:tcW w:type="dxa" w:w="1800"/>
            <w:vAlign w:val="top"/>
            <w:shd w:fill="243F50"/>
          </w:tcPr>
          <w:p>
            <w:pPr>
              <w:pStyle w:val="WBTable"/>
              <w:keepNext/>
            </w:pPr>
            <w:r>
              <w:rPr>
                <w:b/>
                <w:color w:val="FFFFFF"/>
              </w:rPr>
              <w:t>Component</w:t>
            </w:r>
          </w:p>
        </w:tc>
        <w:tc>
          <w:tcPr>
            <w:tcW w:type="dxa" w:w="3917"/>
            <w:vAlign w:val="top"/>
            <w:shd w:fill="243F50"/>
          </w:tcPr>
          <w:p>
            <w:pPr>
              <w:pStyle w:val="WBTable"/>
              <w:keepNext/>
            </w:pPr>
            <w:r>
              <w:rPr>
                <w:b/>
                <w:color w:val="FFFFFF"/>
              </w:rPr>
              <w:t>What it provides</w:t>
            </w:r>
          </w:p>
        </w:tc>
        <w:tc>
          <w:tcPr>
            <w:tcW w:type="dxa" w:w="4229"/>
            <w:vAlign w:val="top"/>
            <w:shd w:fill="243F50"/>
          </w:tcPr>
          <w:p>
            <w:pPr>
              <w:pStyle w:val="WBTable"/>
              <w:keepNext/>
            </w:pPr>
            <w:r>
              <w:rPr>
                <w:b/>
                <w:color w:val="FFFFFF"/>
              </w:rPr>
              <w:t>Ownership and scope</w:t>
            </w:r>
          </w:p>
        </w:tc>
      </w:tr>
      <w:tr>
        <w:trPr>
          <w:cantSplit/>
        </w:trPr>
        <w:tc>
          <w:tcPr>
            <w:tcW w:type="dxa" w:w="1800"/>
            <w:vAlign w:val="top"/>
            <w:shd w:fill="EFF3F5"/>
          </w:tcPr>
          <w:p>
            <w:pPr>
              <w:pStyle w:val="WBTable"/>
            </w:pPr>
            <w:hyperlink r:id="rId16">
              <w:r>
                <w:rPr>
                  <w:color w:val="285F6A"/>
                  <w:u w:val="single"/>
                </w:rPr>
                <w:t>Deep Agents</w:t>
              </w:r>
            </w:hyperlink>
          </w:p>
        </w:tc>
        <w:tc>
          <w:tcPr>
            <w:tcW w:type="dxa" w:w="3917"/>
            <w:vAlign w:val="top"/>
            <w:shd w:fill="EFF3F5"/>
          </w:tcPr>
          <w:p>
            <w:pPr>
              <w:pStyle w:val="WBTable"/>
            </w:pPr>
            <w:r>
              <w:t>Embedded harness: filesystem tools, context management, planning, memory, skills and subagents.</w:t>
            </w:r>
          </w:p>
        </w:tc>
        <w:tc>
          <w:tcPr>
            <w:tcW w:type="dxa" w:w="4229"/>
            <w:vAlign w:val="top"/>
            <w:shd w:fill="EFF3F5"/>
          </w:tcPr>
          <w:p>
            <w:pPr>
              <w:pStyle w:val="WBTable"/>
            </w:pPr>
            <w:r>
              <w:t>Owns each agent’s model-and-tool loop and active context, using configured model, tool and storage backends.</w:t>
            </w:r>
          </w:p>
        </w:tc>
      </w:tr>
      <w:tr>
        <w:trPr>
          <w:cantSplit/>
        </w:trPr>
        <w:tc>
          <w:tcPr>
            <w:tcW w:type="dxa" w:w="1800"/>
            <w:vAlign w:val="top"/>
            <w:shd w:fill="FFFFFF"/>
          </w:tcPr>
          <w:p>
            <w:pPr>
              <w:pStyle w:val="WBTable"/>
            </w:pPr>
            <w:hyperlink r:id="rId17">
              <w:r>
                <w:rPr>
                  <w:color w:val="285F6A"/>
                  <w:u w:val="single"/>
                </w:rPr>
                <w:t>LangGraph</w:t>
              </w:r>
            </w:hyperlink>
          </w:p>
        </w:tc>
        <w:tc>
          <w:tcPr>
            <w:tcW w:type="dxa" w:w="3917"/>
            <w:vAlign w:val="top"/>
            <w:shd w:fill="FFFFFF"/>
          </w:tcPr>
          <w:p>
            <w:pPr>
              <w:pStyle w:val="WBTable"/>
            </w:pPr>
            <w:r>
              <w:t>Graph execution, branches, checkpoints, streaming and human intervention.</w:t>
            </w:r>
          </w:p>
        </w:tc>
        <w:tc>
          <w:tcPr>
            <w:tcW w:type="dxa" w:w="4229"/>
            <w:vAlign w:val="top"/>
            <w:shd w:fill="FFFFFF"/>
          </w:tcPr>
          <w:p>
            <w:pPr>
              <w:pStyle w:val="WBTable"/>
            </w:pPr>
            <w:r>
              <w:t>Provides the harness runtime and Builder’s outer workflows, including step order and handovers.</w:t>
            </w:r>
          </w:p>
        </w:tc>
      </w:tr>
      <w:tr>
        <w:trPr>
          <w:cantSplit/>
        </w:trPr>
        <w:tc>
          <w:tcPr>
            <w:tcW w:type="dxa" w:w="1800"/>
            <w:vAlign w:val="top"/>
            <w:shd w:fill="EFF3F5"/>
          </w:tcPr>
          <w:p>
            <w:pPr>
              <w:pStyle w:val="WBTable"/>
            </w:pPr>
            <w:hyperlink r:id="rId18">
              <w:r>
                <w:rPr>
                  <w:color w:val="285F6A"/>
                  <w:u w:val="single"/>
                </w:rPr>
                <w:t>LangChain</w:t>
              </w:r>
            </w:hyperlink>
          </w:p>
        </w:tc>
        <w:tc>
          <w:tcPr>
            <w:tcW w:type="dxa" w:w="3917"/>
            <w:vAlign w:val="top"/>
            <w:shd w:fill="EFF3F5"/>
          </w:tcPr>
          <w:p>
            <w:pPr>
              <w:pStyle w:val="WBTable"/>
            </w:pPr>
            <w:r>
              <w:t>Model, message and tool interfaces, middleware and integrations.</w:t>
            </w:r>
          </w:p>
        </w:tc>
        <w:tc>
          <w:tcPr>
            <w:tcW w:type="dxa" w:w="4229"/>
            <w:vAlign w:val="top"/>
            <w:shd w:fill="EFF3F5"/>
          </w:tcPr>
          <w:p>
            <w:pPr>
              <w:pStyle w:val="WBTable"/>
            </w:pPr>
            <w:r>
              <w:t>Supplies Deep Agents’ building blocks and adapters; no additional application-written agent loop.</w:t>
            </w:r>
          </w:p>
        </w:tc>
      </w:tr>
    </w:tbl>
    <w:p>
      <w:pPr>
        <w:spacing w:after="0" w:before="0" w:line="60" w:lineRule="exact"/>
      </w:pPr>
      <w:r>
        <w:rPr>
          <w:sz w:val="4"/>
        </w:rPr>
      </w:r>
    </w:p>
    <w:p>
      <w:r>
        <w:rPr>
          <w:b/>
        </w:rPr>
        <w:t>Execution and delegation:</w:t>
      </w:r>
      <w:r>
        <w:t xml:space="preserve"> Builder invokes Deep Agents as named subgraphs with declared inputs and outputs; Chat calls the same harness directly. Subagents are child runs within a step. The resolved configuration exposes delegation and its scope; workflow sequencing is never silently duplicated inside the harness.</w:t>
      </w:r>
    </w:p>
    <w:p>
      <w:pPr>
        <w:pStyle w:val="Heading3"/>
      </w:pPr>
      <w:r>
        <w:t>Active context and durable knowledge</w:t>
      </w:r>
    </w:p>
    <w:p>
      <w:r>
        <w:rPr>
          <w:b/>
        </w:rPr>
        <w:t>Context inspector:</w:t>
      </w:r>
      <w:r>
        <w:t xml:space="preserve"> instrument the final model-adapter boundary after </w:t>
      </w:r>
      <w:hyperlink r:id="rId13">
        <w:r>
          <w:rPr>
            <w:color w:val="285F6A"/>
            <w:u w:val="single"/>
          </w:rPr>
          <w:t>context middleware</w:t>
        </w:r>
      </w:hyperlink>
      <w:r>
        <w:t xml:space="preserve"> to capture the actual request. Link instructions, memory/skill versions, retrieved passages, available tools, summaries and offloaded content to each model call. Expose source attribution, usage and capture gaps with configurable local retention and redaction. This is request visibility, not access to hidden model reasoning.</w:t>
      </w:r>
    </w:p>
    <w:p>
      <w:hyperlink r:id="rId14">
        <w:r>
          <w:rPr>
            <w:color w:val="285F6A"/>
            <w:u w:val="single"/>
          </w:rPr>
          <w:t>Memory</w:t>
        </w:r>
      </w:hyperlink>
      <w:r>
        <w:t xml:space="preserve"> and </w:t>
      </w:r>
      <w:hyperlink r:id="rId15">
        <w:r>
          <w:rPr>
            <w:color w:val="285F6A"/>
            <w:u w:val="single"/>
          </w:rPr>
          <w:t>skills</w:t>
        </w:r>
      </w:hyperlink>
      <w:r>
        <w:t>: the application versions user, agent and project scopes; Deep Agents reads and writes through their configured backends. Users edit, revert or save successful procedures as skill drafts. Automatic updates require an explicit scope policy. Record provenance and resolve concurrent writes; agent-written knowledge must not overwrite protected instructions.</w:t>
      </w:r>
    </w:p>
    <w:p>
      <w:r>
        <w:t>Optional background consolidation runs as a visible backend job using Deep Agents. It proposes or applies updates under the same memory policy; it is not model training. Fresh conversations retain the selected memory and project files without inheriting the previous active context.</w:t>
      </w:r>
    </w:p>
    <w:p>
      <w:pPr>
        <w:pStyle w:val="Heading3"/>
      </w:pPr>
      <w:r>
        <w:t>Completion, revision and open-ended execution</w:t>
      </w:r>
    </w:p>
    <w:p>
      <w:r>
        <w:rPr>
          <w:b/>
        </w:rPr>
        <w:t>Acceptance criteria:</w:t>
      </w:r>
      <w:r>
        <w:t xml:space="preserve"> attach executable checks, expected artifacts and review criteria to a task. Preserve evidence and distinguish test outcomes from model assessments. Exactly one owner controls each review cycle: the outer graph or the agent step. </w:t>
      </w:r>
      <w:hyperlink r:id="rId22">
        <w:r>
          <w:rPr>
            <w:color w:val="285F6A"/>
            <w:u w:val="single"/>
          </w:rPr>
          <w:t>RubricMiddleware</w:t>
        </w:r>
      </w:hyperlink>
      <w:r>
        <w:t xml:space="preserve"> is a beta integration for model-based grading, not a prerequisite for completion checks.</w:t>
      </w:r>
    </w:p>
    <w:p>
      <w:r>
        <w:rPr>
          <w:b/>
        </w:rPr>
        <w:t>Optional budgets:</w:t>
      </w:r>
      <w:r>
        <w:t xml:space="preserve"> task-level time, token, call and revision ceilings are unset by default. A run ends on completion, cancellation, its selected stop condition or an actual execution boundary—not an arbitrary product quota. Warn about stalled progress without silently terminating work.</w:t>
      </w:r>
    </w:p>
    <w:p>
      <w:r>
        <w:t xml:space="preserve">The backend explicitly configures </w:t>
      </w:r>
      <w:hyperlink r:id="rId23">
        <w:r>
          <w:rPr>
            <w:color w:val="285F6A"/>
            <w:u w:val="single"/>
          </w:rPr>
          <w:t>framework step limits</w:t>
        </w:r>
      </w:hyperlink>
      <w:r>
        <w:t>, middleware iteration limits and timeouts. Support long-running work through checkpointed continuation without replaying uncertain actions. Surface unavoidable engine, framework, service and resource limits separately from user budgets; reaching one is not successful completion.</w:t>
      </w:r>
    </w:p>
    <w:p>
      <w:pPr>
        <w:pStyle w:val="Heading3"/>
      </w:pPr>
      <w:r>
        <w:t>Tool orchestration</w:t>
      </w:r>
    </w:p>
    <w:p>
      <w:hyperlink r:id="rId25">
        <w:r>
          <w:rPr>
            <w:color w:val="285F6A"/>
            <w:u w:val="single"/>
          </w:rPr>
          <w:t>Programmatic tool calling</w:t>
        </w:r>
      </w:hyperlink>
      <w:r>
        <w:t xml:space="preserve"> lets agents compose enabled tools in code, loop over data and return useful results without sending every intermediate value to the model. Integrate the beta Deep Agents interpreter middleware separately from project shell execution. Each underlying tool call retains the same permissions, approvals, cancellation and child-run logging.</w:t>
      </w:r>
    </w:p>
    <w:p>
      <w:hyperlink r:id="rId39">
        <w:r>
          <w:rPr>
            <w:color w:val="285F6A"/>
            <w:u w:val="single"/>
          </w:rPr>
          <w:t>Tool-selection middleware</w:t>
        </w:r>
      </w:hyperlink>
      <w:r>
        <w:t xml:space="preserve"> narrows the tools presented for a call; application discovery keeps the full enabled catalogue accessible. Show selections and allow user overrides; context optimisation must not silently remove authorised capabilities.</w:t>
      </w:r>
    </w:p>
    <w:p>
      <w:pPr>
        <w:pStyle w:val="Heading2"/>
        <w:pageBreakBefore/>
        <w:spacing w:before="0"/>
      </w:pPr>
      <w:r>
        <w:t>3. Application infrastructure</w:t>
      </w:r>
    </w:p>
    <w:p>
      <w:r>
        <w:t>Keep these responsibilities as modules in one Python backend, with separately managed external processes where required.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70" w:type="dxa"/>
          <w:bottom w:w="70" w:type="dxa"/>
          <w:left w:w="85" w:type="dxa"/>
          <w:right w:w="85" w:type="dxa"/>
        </w:tblCellMar>
      </w:tblPr>
      <w:tblGrid>
        <w:gridCol w:w="2002"/>
        <w:gridCol w:w="2995"/>
        <w:gridCol w:w="4949"/>
      </w:tblGrid>
      <w:tr>
        <w:trPr>
          <w:cantSplit/>
          <w:tblHeader/>
        </w:trPr>
        <w:tc>
          <w:tcPr>
            <w:tcW w:type="dxa" w:w="2002"/>
            <w:vAlign w:val="top"/>
            <w:shd w:fill="243F50"/>
          </w:tcPr>
          <w:p>
            <w:pPr>
              <w:pStyle w:val="WBTable"/>
              <w:keepNext/>
            </w:pPr>
            <w:r>
              <w:rPr>
                <w:b/>
                <w:color w:val="FFFFFF"/>
              </w:rPr>
              <w:t>Function</w:t>
            </w:r>
          </w:p>
        </w:tc>
        <w:tc>
          <w:tcPr>
            <w:tcW w:type="dxa" w:w="2995"/>
            <w:vAlign w:val="top"/>
            <w:shd w:fill="243F50"/>
          </w:tcPr>
          <w:p>
            <w:pPr>
              <w:pStyle w:val="WBTable"/>
              <w:keepNext/>
            </w:pPr>
            <w:r>
              <w:rPr>
                <w:b/>
                <w:color w:val="FFFFFF"/>
              </w:rPr>
              <w:t>Foundation</w:t>
            </w:r>
          </w:p>
        </w:tc>
        <w:tc>
          <w:tcPr>
            <w:tcW w:type="dxa" w:w="4949"/>
            <w:vAlign w:val="top"/>
            <w:shd w:fill="243F50"/>
          </w:tcPr>
          <w:p>
            <w:pPr>
              <w:pStyle w:val="WBTable"/>
              <w:keepNext/>
            </w:pPr>
            <w:r>
              <w:rPr>
                <w:b/>
                <w:color w:val="FFFFFF"/>
              </w:rPr>
              <w:t>Ownership and integration</w:t>
            </w:r>
          </w:p>
        </w:tc>
      </w:tr>
      <w:tr>
        <w:trPr>
          <w:cantSplit/>
        </w:trPr>
        <w:tc>
          <w:tcPr>
            <w:tcW w:type="dxa" w:w="2002"/>
            <w:vAlign w:val="top"/>
            <w:shd w:fill="EFF3F5"/>
          </w:tcPr>
          <w:p>
            <w:pPr>
              <w:pStyle w:val="WBTable"/>
            </w:pPr>
            <w:r>
              <w:rPr>
                <w:b/>
              </w:rPr>
              <w:t>Backend and coordination</w:t>
            </w:r>
          </w:p>
        </w:tc>
        <w:tc>
          <w:tcPr>
            <w:tcW w:type="dxa" w:w="2995"/>
            <w:vAlign w:val="top"/>
            <w:shd w:fill="EFF3F5"/>
          </w:tcPr>
          <w:p>
            <w:pPr>
              <w:pStyle w:val="WBTable"/>
            </w:pPr>
            <w:hyperlink r:id="rId19">
              <w:r>
                <w:rPr>
                  <w:color w:val="285F6A"/>
                  <w:u w:val="single"/>
                </w:rPr>
                <w:t>Python + FastAPI</w:t>
              </w:r>
            </w:hyperlink>
          </w:p>
        </w:tc>
        <w:tc>
          <w:tcPr>
            <w:tcW w:type="dxa" w:w="4949"/>
            <w:vAlign w:val="top"/>
            <w:shd w:fill="EFF3F5"/>
          </w:tcPr>
          <w:p>
            <w:pPr>
              <w:pStyle w:val="WBTable"/>
            </w:pPr>
            <w:r>
              <w:t>Owns APIs, jobs, resource scheduling, run events, approvals, artifacts and optional budgets; hosts Deep Agents and LangGraph.</w:t>
            </w:r>
          </w:p>
        </w:tc>
      </w:tr>
      <w:tr>
        <w:trPr>
          <w:cantSplit/>
        </w:trPr>
        <w:tc>
          <w:tcPr>
            <w:tcW w:type="dxa" w:w="2002"/>
            <w:vAlign w:val="top"/>
            <w:shd w:fill="FFFFFF"/>
          </w:tcPr>
          <w:p>
            <w:pPr>
              <w:pStyle w:val="WBTable"/>
            </w:pPr>
            <w:r>
              <w:rPr>
                <w:b/>
              </w:rPr>
              <w:t>Typed definitions</w:t>
            </w:r>
          </w:p>
        </w:tc>
        <w:tc>
          <w:tcPr>
            <w:tcW w:type="dxa" w:w="2995"/>
            <w:vAlign w:val="top"/>
            <w:shd w:fill="FFFFFF"/>
          </w:tcPr>
          <w:p>
            <w:pPr>
              <w:pStyle w:val="WBTable"/>
            </w:pPr>
            <w:hyperlink r:id="rId40">
              <w:r>
                <w:rPr>
                  <w:color w:val="285F6A"/>
                  <w:u w:val="single"/>
                </w:rPr>
                <w:t>Pydantic + JSON Schema</w:t>
              </w:r>
            </w:hyperlink>
          </w:p>
        </w:tc>
        <w:tc>
          <w:tcPr>
            <w:tcW w:type="dxa" w:w="4949"/>
            <w:vAlign w:val="top"/>
            <w:shd w:fill="FFFFFF"/>
          </w:tcPr>
          <w:p>
            <w:pPr>
              <w:pStyle w:val="WBTable"/>
            </w:pPr>
            <w:r>
              <w:t>Validates data and configuration. Application rules enforce capabilities, access and connector compatibility.</w:t>
            </w:r>
          </w:p>
        </w:tc>
      </w:tr>
      <w:tr>
        <w:trPr>
          <w:cantSplit/>
        </w:trPr>
        <w:tc>
          <w:tcPr>
            <w:tcW w:type="dxa" w:w="2002"/>
            <w:vAlign w:val="top"/>
            <w:shd w:fill="EFF3F5"/>
          </w:tcPr>
          <w:p>
            <w:pPr>
              <w:pStyle w:val="WBTable"/>
            </w:pPr>
            <w:r>
              <w:rPr>
                <w:b/>
              </w:rPr>
              <w:t>Desktop and Builder</w:t>
            </w:r>
          </w:p>
        </w:tc>
        <w:tc>
          <w:tcPr>
            <w:tcW w:type="dxa" w:w="2995"/>
            <w:vAlign w:val="top"/>
            <w:shd w:fill="EFF3F5"/>
          </w:tcPr>
          <w:p>
            <w:pPr>
              <w:pStyle w:val="WBTable"/>
            </w:pPr>
            <w:r>
              <w:t xml:space="preserve">Electron + React/TypeScript + </w:t>
            </w:r>
            <w:hyperlink r:id="rId41">
              <w:r>
                <w:rPr>
                  <w:color w:val="285F6A"/>
                  <w:u w:val="single"/>
                </w:rPr>
                <w:t>React Flow</w:t>
              </w:r>
            </w:hyperlink>
          </w:p>
        </w:tc>
        <w:tc>
          <w:tcPr>
            <w:tcW w:type="dxa" w:w="4949"/>
            <w:vAlign w:val="top"/>
            <w:shd w:fill="EFF3F5"/>
          </w:tcPr>
          <w:p>
            <w:pPr>
              <w:pStyle w:val="WBTable"/>
            </w:pPr>
            <w:r>
              <w:t>Shows previews, context and evidence, memory editing, branches and tool panels. Edits definitions; the backend executes them.</w:t>
            </w:r>
          </w:p>
        </w:tc>
      </w:tr>
      <w:tr>
        <w:trPr>
          <w:cantSplit/>
        </w:trPr>
        <w:tc>
          <w:tcPr>
            <w:tcW w:type="dxa" w:w="2002"/>
            <w:vAlign w:val="top"/>
            <w:shd w:fill="FFFFFF"/>
          </w:tcPr>
          <w:p>
            <w:pPr>
              <w:pStyle w:val="WBTable"/>
            </w:pPr>
            <w:r>
              <w:rPr>
                <w:b/>
              </w:rPr>
              <w:t>Persistence</w:t>
            </w:r>
          </w:p>
        </w:tc>
        <w:tc>
          <w:tcPr>
            <w:tcW w:type="dxa" w:w="2995"/>
            <w:vAlign w:val="top"/>
            <w:shd w:fill="FFFFFF"/>
          </w:tcPr>
          <w:p>
            <w:pPr>
              <w:pStyle w:val="WBTable"/>
            </w:pPr>
            <w:r>
              <w:t xml:space="preserve">SQLite + files + </w:t>
            </w:r>
            <w:hyperlink r:id="rId42">
              <w:r>
                <w:rPr>
                  <w:color w:val="285F6A"/>
                  <w:u w:val="single"/>
                </w:rPr>
                <w:t>LangGraph SQLite checkpointer</w:t>
              </w:r>
            </w:hyperlink>
          </w:p>
        </w:tc>
        <w:tc>
          <w:tcPr>
            <w:tcW w:type="dxa" w:w="4949"/>
            <w:vAlign w:val="top"/>
            <w:shd w:fill="FFFFFF"/>
          </w:tcPr>
          <w:p>
            <w:pPr>
              <w:pStyle w:val="WBTable"/>
            </w:pPr>
            <w:r>
              <w:t>Separate application/checkpoint databases. Files hold models, projects, versioned knowledge, context captures, snapshots and artifacts; run records link them.</w:t>
            </w:r>
          </w:p>
        </w:tc>
      </w:tr>
      <w:tr>
        <w:trPr>
          <w:cantSplit/>
        </w:trPr>
        <w:tc>
          <w:tcPr>
            <w:tcW w:type="dxa" w:w="2002"/>
            <w:vAlign w:val="top"/>
            <w:shd w:fill="EFF3F5"/>
          </w:tcPr>
          <w:p>
            <w:pPr>
              <w:pStyle w:val="WBTable"/>
            </w:pPr>
            <w:r>
              <w:rPr>
                <w:b/>
              </w:rPr>
              <w:t>Tool integration</w:t>
            </w:r>
          </w:p>
        </w:tc>
        <w:tc>
          <w:tcPr>
            <w:tcW w:type="dxa" w:w="2995"/>
            <w:vAlign w:val="top"/>
            <w:shd w:fill="EFF3F5"/>
          </w:tcPr>
          <w:p>
            <w:pPr>
              <w:pStyle w:val="WBTable"/>
            </w:pPr>
            <w:hyperlink r:id="rId33">
              <w:r>
                <w:rPr>
                  <w:color w:val="285F6A"/>
                  <w:u w:val="single"/>
                </w:rPr>
                <w:t>LangChain MCP integration</w:t>
              </w:r>
            </w:hyperlink>
            <w:r>
              <w:t xml:space="preserve"> + </w:t>
            </w:r>
            <w:hyperlink r:id="rId36">
              <w:r>
                <w:rPr>
                  <w:color w:val="285F6A"/>
                  <w:u w:val="single"/>
                </w:rPr>
                <w:t>official MCP Python SDK</w:t>
              </w:r>
            </w:hyperlink>
          </w:p>
        </w:tc>
        <w:tc>
          <w:tcPr>
            <w:tcW w:type="dxa" w:w="4949"/>
            <w:vAlign w:val="top"/>
            <w:shd w:fill="EFF3F5"/>
          </w:tcPr>
          <w:p>
            <w:pPr>
              <w:pStyle w:val="WBTable"/>
            </w:pPr>
            <w:r>
              <w:t>Adapts enabled tools for Deep Agents and supports application-owned servers. All invocation paths share policy and event reporting.</w:t>
            </w:r>
          </w:p>
        </w:tc>
      </w:tr>
      <w:tr>
        <w:trPr>
          <w:cantSplit/>
        </w:trPr>
        <w:tc>
          <w:tcPr>
            <w:tcW w:type="dxa" w:w="2002"/>
            <w:vAlign w:val="top"/>
            <w:shd w:fill="FFFFFF"/>
          </w:tcPr>
          <w:p>
            <w:pPr>
              <w:pStyle w:val="WBTable"/>
            </w:pPr>
            <w:r>
              <w:rPr>
                <w:b/>
              </w:rPr>
              <w:t>Creative execution</w:t>
            </w:r>
          </w:p>
        </w:tc>
        <w:tc>
          <w:tcPr>
            <w:tcW w:type="dxa" w:w="2995"/>
            <w:vAlign w:val="top"/>
            <w:shd w:fill="FFFFFF"/>
          </w:tcPr>
          <w:p>
            <w:pPr>
              <w:pStyle w:val="WBTable"/>
            </w:pPr>
            <w:hyperlink r:id="rId24">
              <w:r>
                <w:rPr>
                  <w:color w:val="285F6A"/>
                  <w:u w:val="single"/>
                </w:rPr>
                <w:t>ComfyUI</w:t>
              </w:r>
            </w:hyperlink>
            <w:r>
              <w:t xml:space="preserve"> + application adapter</w:t>
            </w:r>
          </w:p>
        </w:tc>
        <w:tc>
          <w:tcPr>
            <w:tcW w:type="dxa" w:w="4949"/>
            <w:vAlign w:val="top"/>
            <w:shd w:fill="FFFFFF"/>
          </w:tcPr>
          <w:p>
            <w:pPr>
              <w:pStyle w:val="WBTable"/>
            </w:pPr>
            <w:r>
              <w:t>Submits jobs, tracks progress and retrieves artifacts. The same adapter serves agent tools and LangGraph nodes.</w:t>
            </w:r>
          </w:p>
        </w:tc>
      </w:tr>
      <w:tr>
        <w:trPr>
          <w:cantSplit/>
        </w:trPr>
        <w:tc>
          <w:tcPr>
            <w:tcW w:type="dxa" w:w="2002"/>
            <w:vAlign w:val="top"/>
            <w:shd w:fill="EFF3F5"/>
          </w:tcPr>
          <w:p>
            <w:pPr>
              <w:pStyle w:val="WBTable"/>
            </w:pPr>
            <w:r>
              <w:rPr>
                <w:b/>
              </w:rPr>
              <w:t>Evaluation</w:t>
            </w:r>
          </w:p>
        </w:tc>
        <w:tc>
          <w:tcPr>
            <w:tcW w:type="dxa" w:w="2995"/>
            <w:vAlign w:val="top"/>
            <w:shd w:fill="EFF3F5"/>
          </w:tcPr>
          <w:p>
            <w:pPr>
              <w:pStyle w:val="WBTable"/>
            </w:pPr>
            <w:hyperlink r:id="rId37">
              <w:r>
                <w:rPr>
                  <w:color w:val="285F6A"/>
                  <w:u w:val="single"/>
                </w:rPr>
                <w:t>llama-bench</w:t>
              </w:r>
            </w:hyperlink>
            <w:r>
              <w:t xml:space="preserve"> + </w:t>
            </w:r>
            <w:hyperlink r:id="rId43">
              <w:r>
                <w:rPr>
                  <w:color w:val="285F6A"/>
                  <w:u w:val="single"/>
                </w:rPr>
                <w:t>Inspect AI</w:t>
              </w:r>
            </w:hyperlink>
          </w:p>
        </w:tc>
        <w:tc>
          <w:tcPr>
            <w:tcW w:type="dxa" w:w="4949"/>
            <w:vAlign w:val="top"/>
            <w:shd w:fill="EFF3F5"/>
          </w:tcPr>
          <w:p>
            <w:pPr>
              <w:pStyle w:val="WBTable"/>
            </w:pPr>
            <w:r>
              <w:t>Separates engine measurements from task evaluation. Agent tests call Deep Agents without a second loop; the Lab owns case capture and comparisons.</w:t>
            </w:r>
          </w:p>
        </w:tc>
      </w:tr>
      <w:tr>
        <w:trPr>
          <w:cantSplit/>
        </w:trPr>
        <w:tc>
          <w:tcPr>
            <w:tcW w:type="dxa" w:w="2002"/>
            <w:vAlign w:val="top"/>
            <w:shd w:fill="FFFFFF"/>
          </w:tcPr>
          <w:p>
            <w:pPr>
              <w:pStyle w:val="WBTable"/>
            </w:pPr>
            <w:r>
              <w:rPr>
                <w:b/>
              </w:rPr>
              <w:t>Environments</w:t>
            </w:r>
          </w:p>
        </w:tc>
        <w:tc>
          <w:tcPr>
            <w:tcW w:type="dxa" w:w="2995"/>
            <w:vAlign w:val="top"/>
            <w:shd w:fill="FFFFFF"/>
          </w:tcPr>
          <w:p>
            <w:pPr>
              <w:pStyle w:val="WBTable"/>
            </w:pPr>
            <w:r>
              <w:t xml:space="preserve">Application environment manager + </w:t>
            </w:r>
            <w:hyperlink r:id="rId44">
              <w:r>
                <w:rPr>
                  <w:color w:val="285F6A"/>
                  <w:u w:val="single"/>
                </w:rPr>
                <w:t>Docker Compose</w:t>
              </w:r>
            </w:hyperlink>
          </w:p>
        </w:tc>
        <w:tc>
          <w:tcPr>
            <w:tcW w:type="dxa" w:w="4949"/>
            <w:vAlign w:val="top"/>
            <w:shd w:fill="FFFFFF"/>
          </w:tcPr>
          <w:p>
            <w:pPr>
              <w:pStyle w:val="WBTable"/>
            </w:pPr>
            <w:r>
              <w:t>Provisions workers and access, maps project storage and manages teardown. Compose manages container services; adapters own jobs inside them.</w:t>
            </w:r>
          </w:p>
        </w:tc>
      </w:tr>
    </w:tbl>
    <w:p>
      <w:pPr>
        <w:spacing w:after="0" w:before="0" w:line="60" w:lineRule="exact"/>
      </w:pPr>
      <w:r>
        <w:rPr>
          <w:sz w:val="4"/>
        </w:rPr>
      </w:r>
    </w:p>
    <w:p>
      <w:pPr>
        <w:pStyle w:val="Heading3"/>
      </w:pPr>
      <w:r>
        <w:t>State, snapshots and branching</w:t>
      </w:r>
    </w:p>
    <w:p>
      <w:r>
        <w:t>LangGraph checkpoints persist execution state; the backend owns thread identities, checkpoint namespaces, displayed history and linked run records. Deep Agents file tools explicitly target project storage. Shell, browser and graphical tools require connected workers; conversation-state files are not the working project.</w:t>
      </w:r>
    </w:p>
    <w:p>
      <w:hyperlink r:id="rId45">
        <w:r>
          <w:rPr>
            <w:color w:val="285F6A"/>
            <w:u w:val="single"/>
          </w:rPr>
          <w:t>Checkpoint branching</w:t>
        </w:r>
      </w:hyperlink>
      <w:r>
        <w:t xml:space="preserve"> is paired with an application-owned project snapshot captured at a consistent execution boundary. Record included files, exclusions, configuration and memory versions; restore into a separate workspace and create a linked branch run. Compare diffs, artifacts and checks without changing the original attempt.</w:t>
      </w:r>
    </w:p>
    <w:p>
      <w:r>
        <w:t>Snapshots do not undo external actions or restore an entire environment unless the adapter explicitly supports it. Adapters declare reconnect, resume, restart and cancellation behaviour. Record unresolved side effects; never silently replay work whose outcome is unknown.</w:t>
      </w:r>
    </w:p>
    <w:p>
      <w:pPr>
        <w:pStyle w:val="Heading3"/>
      </w:pPr>
      <w:r>
        <w:t>Real runs become repeatable Lab cases</w:t>
      </w:r>
    </w:p>
    <w:p>
      <w:r>
        <w:t xml:space="preserve">“Save as test case” captures the initial project snapshot, task, profiles, dependency versions, memory/skills, tool fixtures and acceptance checks. Inspect AI </w:t>
      </w:r>
      <w:hyperlink r:id="rId46">
        <w:r>
          <w:rPr>
            <w:color w:val="285F6A"/>
            <w:u w:val="single"/>
          </w:rPr>
          <w:t>datasets</w:t>
        </w:r>
      </w:hyperlink>
      <w:r>
        <w:t xml:space="preserve"> and </w:t>
      </w:r>
      <w:hyperlink r:id="rId47">
        <w:r>
          <w:rPr>
            <w:color w:val="285F6A"/>
            <w:u w:val="single"/>
          </w:rPr>
          <w:t>scorers</w:t>
        </w:r>
      </w:hyperlink>
      <w:r>
        <w:t xml:space="preserve"> supply evaluation building blocks; the application restores the case and records deviations. Keep recorded-tool tests separate from live-tool tests, exclude secrets and do not promise identical model outputs.</w:t>
      </w:r>
    </w:p>
    <w:p>
      <w:pPr>
        <w:pStyle w:val="Heading3"/>
      </w:pPr>
      <w:r>
        <w:t>Interactive tool interfaces</w:t>
      </w:r>
    </w:p>
    <w:p>
      <w:hyperlink r:id="rId48">
        <w:r>
          <w:rPr>
            <w:color w:val="285F6A"/>
            <w:u w:val="single"/>
          </w:rPr>
          <w:t>MCP Apps</w:t>
        </w:r>
      </w:hyperlink>
      <w:r>
        <w:t xml:space="preserve"> supplies interactive tool UI resources. The application implements host support in Electron/React, sandboxed rendering and permission-controlled tool messaging; ordinary MCP connectivity alone is insufficient. Panels inherit run context and approvals, never direct privileged desktop access. Preserve standard tool results when an interactive UI is unavailable.</w:t>
      </w:r>
    </w:p>
    <w:p>
      <w:pPr>
        <w:pStyle w:val="Heading2"/>
        <w:pageBreakBefore/>
        <w:spacing w:before="0"/>
      </w:pPr>
      <w:r>
        <w:t>4. The versioned integration registry</w:t>
      </w:r>
    </w:p>
    <w:p>
      <w:r>
        <w:t>The application-owned registry defines nodes and adapters. React Flow, LangChain tools and LangGraph consume these contracts; none defines the whole product’s integration model.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70" w:type="dxa"/>
          <w:bottom w:w="70" w:type="dxa"/>
          <w:left w:w="85" w:type="dxa"/>
          <w:right w:w="85" w:type="dxa"/>
        </w:tblCellMar>
      </w:tblPr>
      <w:tblGrid>
        <w:gridCol w:w="2275"/>
        <w:gridCol w:w="7671"/>
      </w:tblGrid>
      <w:tr>
        <w:trPr>
          <w:cantSplit/>
          <w:tblHeader/>
        </w:trPr>
        <w:tc>
          <w:tcPr>
            <w:tcW w:type="dxa" w:w="2275"/>
            <w:vAlign w:val="top"/>
            <w:shd w:fill="243F50"/>
          </w:tcPr>
          <w:p>
            <w:pPr>
              <w:pStyle w:val="WBTable"/>
              <w:keepNext/>
            </w:pPr>
            <w:r>
              <w:rPr>
                <w:b/>
                <w:color w:val="FFFFFF"/>
              </w:rPr>
              <w:t>Definition</w:t>
            </w:r>
          </w:p>
        </w:tc>
        <w:tc>
          <w:tcPr>
            <w:tcW w:type="dxa" w:w="7671"/>
            <w:vAlign w:val="top"/>
            <w:shd w:fill="243F50"/>
          </w:tcPr>
          <w:p>
            <w:pPr>
              <w:pStyle w:val="WBTable"/>
              <w:keepNext/>
            </w:pPr>
            <w:r>
              <w:rPr>
                <w:b/>
                <w:color w:val="FFFFFF"/>
              </w:rPr>
              <w:t>Required information</w:t>
            </w:r>
          </w:p>
        </w:tc>
      </w:tr>
      <w:tr>
        <w:trPr>
          <w:cantSplit/>
        </w:trPr>
        <w:tc>
          <w:tcPr>
            <w:tcW w:type="dxa" w:w="2275"/>
            <w:vAlign w:val="top"/>
            <w:shd w:fill="EFF3F5"/>
          </w:tcPr>
          <w:p>
            <w:pPr>
              <w:pStyle w:val="WBTable"/>
            </w:pPr>
            <w:r>
              <w:rPr>
                <w:b/>
              </w:rPr>
              <w:t>Identity</w:t>
            </w:r>
          </w:p>
        </w:tc>
        <w:tc>
          <w:tcPr>
            <w:tcW w:type="dxa" w:w="7671"/>
            <w:vAlign w:val="top"/>
            <w:shd w:fill="EFF3F5"/>
          </w:tcPr>
          <w:p>
            <w:pPr>
              <w:pStyle w:val="WBTable"/>
            </w:pPr>
            <w:r>
              <w:t>Stable identifier, definition version, supported dependency versions and experimental status.</w:t>
            </w:r>
          </w:p>
        </w:tc>
      </w:tr>
      <w:tr>
        <w:trPr>
          <w:cantSplit/>
        </w:trPr>
        <w:tc>
          <w:tcPr>
            <w:tcW w:type="dxa" w:w="2275"/>
            <w:vAlign w:val="top"/>
            <w:shd w:fill="FFFFFF"/>
          </w:tcPr>
          <w:p>
            <w:pPr>
              <w:pStyle w:val="WBTable"/>
            </w:pPr>
            <w:r>
              <w:rPr>
                <w:b/>
              </w:rPr>
              <w:t>Connections</w:t>
            </w:r>
          </w:p>
        </w:tc>
        <w:tc>
          <w:tcPr>
            <w:tcW w:type="dxa" w:w="7671"/>
            <w:vAlign w:val="top"/>
            <w:shd w:fill="FFFFFF"/>
          </w:tcPr>
          <w:p>
            <w:pPr>
              <w:pStyle w:val="WBTable"/>
            </w:pPr>
            <w:r>
              <w:t>Input/output types; configuration links versus workflow data and artifact references.</w:t>
            </w:r>
          </w:p>
        </w:tc>
      </w:tr>
      <w:tr>
        <w:trPr>
          <w:cantSplit/>
        </w:trPr>
        <w:tc>
          <w:tcPr>
            <w:tcW w:type="dxa" w:w="2275"/>
            <w:vAlign w:val="top"/>
            <w:shd w:fill="EFF3F5"/>
          </w:tcPr>
          <w:p>
            <w:pPr>
              <w:pStyle w:val="WBTable"/>
            </w:pPr>
            <w:r>
              <w:rPr>
                <w:b/>
              </w:rPr>
              <w:t>Configuration</w:t>
            </w:r>
          </w:p>
        </w:tc>
        <w:tc>
          <w:tcPr>
            <w:tcW w:type="dxa" w:w="7671"/>
            <w:vAlign w:val="top"/>
            <w:shd w:fill="EFF3F5"/>
          </w:tcPr>
          <w:p>
            <w:pPr>
              <w:pStyle w:val="WBTable"/>
            </w:pPr>
            <w:r>
              <w:t>Settings schema, defaults, required fields, applied values, optional budgets and effective technical limits.</w:t>
            </w:r>
          </w:p>
        </w:tc>
      </w:tr>
      <w:tr>
        <w:trPr>
          <w:cantSplit/>
        </w:trPr>
        <w:tc>
          <w:tcPr>
            <w:tcW w:type="dxa" w:w="2275"/>
            <w:vAlign w:val="top"/>
            <w:shd w:fill="FFFFFF"/>
          </w:tcPr>
          <w:p>
            <w:pPr>
              <w:pStyle w:val="WBTable"/>
            </w:pPr>
            <w:r>
              <w:rPr>
                <w:b/>
              </w:rPr>
              <w:t>Capabilities and policy</w:t>
            </w:r>
          </w:p>
        </w:tc>
        <w:tc>
          <w:tcPr>
            <w:tcW w:type="dxa" w:w="7671"/>
            <w:vAlign w:val="top"/>
            <w:shd w:fill="FFFFFF"/>
          </w:tcPr>
          <w:p>
            <w:pPr>
              <w:pStyle w:val="WBTable"/>
            </w:pPr>
            <w:r>
              <w:t>Provided/required capabilities, tool discovery, environment, access, approvals and permitted memory scopes.</w:t>
            </w:r>
          </w:p>
        </w:tc>
      </w:tr>
      <w:tr>
        <w:trPr>
          <w:cantSplit/>
        </w:trPr>
        <w:tc>
          <w:tcPr>
            <w:tcW w:type="dxa" w:w="2275"/>
            <w:vAlign w:val="top"/>
            <w:shd w:fill="EFF3F5"/>
          </w:tcPr>
          <w:p>
            <w:pPr>
              <w:pStyle w:val="WBTable"/>
            </w:pPr>
            <w:r>
              <w:rPr>
                <w:b/>
              </w:rPr>
              <w:t>Execution and state</w:t>
            </w:r>
          </w:p>
        </w:tc>
        <w:tc>
          <w:tcPr>
            <w:tcW w:type="dxa" w:w="7671"/>
            <w:vAlign w:val="top"/>
            <w:shd w:fill="EFF3F5"/>
          </w:tcPr>
          <w:p>
            <w:pPr>
              <w:pStyle w:val="WBTable"/>
            </w:pPr>
            <w:r>
              <w:t>Progress, results, errors, cancellation, parent/child runs, checkpoints, side effects, recovery and snapshot support.</w:t>
            </w:r>
          </w:p>
        </w:tc>
      </w:tr>
      <w:tr>
        <w:trPr>
          <w:cantSplit/>
        </w:trPr>
        <w:tc>
          <w:tcPr>
            <w:tcW w:type="dxa" w:w="2275"/>
            <w:vAlign w:val="top"/>
            <w:shd w:fill="FFFFFF"/>
          </w:tcPr>
          <w:p>
            <w:pPr>
              <w:pStyle w:val="WBTable"/>
            </w:pPr>
            <w:r>
              <w:rPr>
                <w:b/>
              </w:rPr>
              <w:t>Evidence and reuse</w:t>
            </w:r>
          </w:p>
        </w:tc>
        <w:tc>
          <w:tcPr>
            <w:tcW w:type="dxa" w:w="7671"/>
            <w:vAlign w:val="top"/>
            <w:shd w:fill="FFFFFF"/>
          </w:tcPr>
          <w:p>
            <w:pPr>
              <w:pStyle w:val="WBTable"/>
            </w:pPr>
            <w:r>
              <w:t>Context-capture support, knowledge versions, acceptance checks, test-case capture and provenance.</w:t>
            </w:r>
          </w:p>
        </w:tc>
      </w:tr>
      <w:tr>
        <w:trPr>
          <w:cantSplit/>
        </w:trPr>
        <w:tc>
          <w:tcPr>
            <w:tcW w:type="dxa" w:w="2275"/>
            <w:vAlign w:val="top"/>
            <w:shd w:fill="EFF3F5"/>
          </w:tcPr>
          <w:p>
            <w:pPr>
              <w:pStyle w:val="WBTable"/>
            </w:pPr>
            <w:r>
              <w:rPr>
                <w:b/>
              </w:rPr>
              <w:t>Presentation</w:t>
            </w:r>
          </w:p>
        </w:tc>
        <w:tc>
          <w:tcPr>
            <w:tcW w:type="dxa" w:w="7671"/>
            <w:vAlign w:val="top"/>
            <w:shd w:fill="EFF3F5"/>
          </w:tcPr>
          <w:p>
            <w:pPr>
              <w:pStyle w:val="WBTable"/>
            </w:pPr>
            <w:r>
              <w:t>Labels, controls, connectors, artifact/evidence renderers and MCP Apps resources with declared UI permissions.</w:t>
            </w:r>
          </w:p>
        </w:tc>
      </w:tr>
    </w:tbl>
    <w:p>
      <w:pPr>
        <w:spacing w:after="0" w:before="0" w:line="60" w:lineRule="exact"/>
      </w:pPr>
      <w:r>
        <w:rPr>
          <w:sz w:val="4"/>
        </w:rPr>
      </w:r>
    </w:p>
    <w:p>
      <w:pPr>
        <w:pStyle w:val="Heading3"/>
      </w:pPr>
      <w:r>
        <w:t>Two distinct connection systems</w:t>
      </w:r>
    </w:p>
    <w:p>
      <w:r>
        <w:rPr>
          <w:b/>
        </w:rPr>
        <w:t>Configuration connections</w:t>
      </w:r>
      <w:r>
        <w:t xml:space="preserve"> supply the model profile, tools, skills, memory, environment, access and execution policy. The backend resolves one validated Deep Agents setup, including its LangChain model adapter and file/tool backends.</w:t>
      </w:r>
    </w:p>
    <w:p>
      <w:r>
        <w:rPr>
          <w:b/>
        </w:rPr>
        <w:t>Workflow connections</w:t>
      </w:r>
      <w:r>
        <w:t xml:space="preserve"> define the next step and typed data or artifact references passed onward. The backend compiles them into LangGraph execution; configuration links do not become workflow steps.</w:t>
      </w:r>
    </w:p>
    <w:p>
      <w:r>
        <w:t>Reject known-incompatible connections and explain missing requirements. Repeat validation before execution and enforce policy in tools and workers, not prompts. Unverified capabilities stay visible: valid wiring cannot guarantee successful model responses or tool operations.</w:t>
      </w:r>
    </w:p>
    <w:p>
      <w:r>
        <w:t>Map agent, workflow, tool, interpreter and interactive-panel events to the same run hierarchy. Route approvals through Deep Agents/LangGraph interrupts and the application’s interface; neither an embedded panel nor a tool-calling program bypasses the selected access policy.</w:t>
      </w:r>
    </w:p>
    <w:p>
      <w:pPr>
        <w:pStyle w:val="Heading2"/>
      </w:pPr>
      <w:r>
        <w:t>5. Build order and implementation checks</w:t>
      </w:r>
    </w:p>
    <w:p>
      <w:r>
        <w:rPr>
          <w:b/>
        </w:rPr>
        <w:t>First — prove managed inference.</w:t>
      </w:r>
      <w:r>
        <w:t xml:space="preserve"> Implement bundle, profile, deployment and run records. Import from Hugging Face, run llama.cpp and verify applied settings through the LangChain adapter, including supported advanced controls.</w:t>
      </w:r>
    </w:p>
    <w:p>
      <w:r>
        <w:rPr>
          <w:b/>
        </w:rPr>
        <w:t>Second — prove a complete agent task.</w:t>
      </w:r>
      <w:r>
        <w:t xml:space="preserve"> In a minimal interface, use Deep Agents to edit real files, run tests, open and inspect the result, stream progress and return evidence. Validate workers, context capture, approvals, cancellation and recovery. Repeat inside LangGraph and with fresh context against retained files and memory.</w:t>
      </w:r>
    </w:p>
    <w:p>
      <w:r>
        <w:rPr>
          <w:b/>
        </w:rPr>
        <w:t>Third — connect reuse and experimentation.</w:t>
      </w:r>
      <w:r>
        <w:t xml:space="preserve"> Deliver editable memory, skill drafts, snapshot-aware branching and run-to-Lab capture alongside Chat, Lab and Builder. Prove consistent restored inputs, visible setting differences, isolated branches and live-versus-recorded evaluation.</w:t>
      </w:r>
    </w:p>
    <w:p>
      <w:r>
        <w:rPr>
          <w:b/>
        </w:rPr>
        <w:t>Fourth — extend through the same contracts.</w:t>
      </w:r>
      <w:r>
        <w:t xml:space="preserve"> Add background consolidation, beta rubric/interpreter integrations, MCP Apps and voice. Verify permissions and logging across every path; extensions must not become prerequisites for the core agent experience.</w:t>
      </w:r>
    </w:p>
    <w:p>
      <w:r>
        <w:rPr>
          <w:b/>
        </w:rPr>
        <w:t>Long-run acceptance:</w:t>
      </w:r>
      <w:r>
        <w:t xml:space="preserve"> demonstrate continued work beyond upstream defaults without hidden task quotas, duplicated actions or lost state. Test optional budgets separately and show the actual reason for every stop, pause or failure.</w:t>
      </w:r>
    </w:p>
    <w:p>
      <w:pPr>
        <w:pStyle w:val="WBSmall"/>
      </w:pPr>
      <w:r>
        <w:t>Linked component and feature names reference upstream documentation. Application-owned behaviours above are implementation requirements, not features supplied automatically by those dependencies.</w:t>
      </w:r>
    </w:p>
    <w:sectPr w:rsidR="00FC693F" w:rsidRPr="0006063C" w:rsidSect="00034616">
      <w:headerReference w:type="default" r:id="rId9"/>
      <w:footerReference w:type="default" r:id="rId10"/>
      <w:pgSz w:w="11905" w:h="16838"/>
      <w:pgMar w:top="936" w:right="979" w:bottom="936" w:left="979"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47" w:val="right"/>
      </w:tabs>
      <w:spacing w:after="0"/>
    </w:pPr>
    <w:r>
      <w:rPr>
        <w:color w:val="596B77"/>
        <w:sz w:val="16"/>
      </w:rPr>
      <w:t>STARTER SPECIFICATION  |  Revision 0.5  |  18 September 2026</w:t>
      <w:tab/>
    </w:r>
    <w:fldSimple w:instr="PAGE">
      <w:r>
        <w:rPr>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color w:val="596B77"/>
        <w:sz w:val="16"/>
      </w:rPr>
      <w:t>LOCAL AI WORKBENCH  /  INTEGRATION-FIRST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7" w:lineRule="auto" w:after="100"/>
    </w:pPr>
    <w:rPr>
      <w:rFonts w:ascii="Calibri" w:hAnsi="Calibri"/>
      <w:color w:val="26343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line="257" w:lineRule="auto"/>
      <w:outlineLvl w:val="0"/>
    </w:pPr>
    <w:rPr>
      <w:rFonts w:asciiTheme="majorHAnsi" w:eastAsiaTheme="majorEastAsia" w:hAnsiTheme="majorHAnsi" w:cstheme="majorBidi" w:ascii="Calibri" w:hAnsi="Calibri"/>
      <w:b/>
      <w:bCs/>
      <w:color w:val="243F50"/>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57" w:lineRule="auto"/>
      <w:outlineLvl w:val="1"/>
    </w:pPr>
    <w:rPr>
      <w:rFonts w:asciiTheme="majorHAnsi" w:eastAsiaTheme="majorEastAsia" w:hAnsiTheme="majorHAnsi" w:cstheme="majorBidi" w:ascii="Calibri" w:hAnsi="Calibri"/>
      <w:b/>
      <w:bCs/>
      <w:color w:val="243F5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57" w:lineRule="auto"/>
      <w:outlineLvl w:val="2"/>
    </w:pPr>
    <w:rPr>
      <w:rFonts w:asciiTheme="majorHAnsi" w:eastAsiaTheme="majorEastAsia" w:hAnsiTheme="majorHAnsi" w:cstheme="majorBidi" w:ascii="Calibri" w:hAnsi="Calibri"/>
      <w:b/>
      <w:bCs/>
      <w:color w:val="243F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80" w:line="257" w:lineRule="auto" w:before="0"/>
      <w:contextualSpacing/>
    </w:pPr>
    <w:rPr>
      <w:rFonts w:asciiTheme="majorHAnsi" w:eastAsiaTheme="majorEastAsia" w:hAnsiTheme="majorHAnsi" w:cstheme="majorBidi" w:ascii="Calibri" w:hAnsi="Calibri"/>
      <w:color w:val="243F5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40" w:line="257" w:lineRule="auto"/>
    </w:pPr>
    <w:rPr>
      <w:rFonts w:asciiTheme="majorHAnsi" w:eastAsiaTheme="majorEastAsia" w:hAnsiTheme="majorHAnsi" w:cstheme="majorBidi" w:ascii="Calibri" w:hAnsi="Calibri"/>
      <w:i/>
      <w:iCs/>
      <w:color w:val="5C6E79"/>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BTable">
    <w:name w:val="WB Table"/>
    <w:basedOn w:val="Normal"/>
    <w:pPr>
      <w:keepNext w:val="0"/>
      <w:spacing w:after="0" w:before="0" w:line="250" w:lineRule="auto"/>
    </w:pPr>
    <w:rPr>
      <w:rFonts w:ascii="Calibri" w:hAnsi="Calibri"/>
      <w:sz w:val="19"/>
    </w:rPr>
  </w:style>
  <w:style w:type="paragraph" w:customStyle="1" w:styleId="WBSmall">
    <w:name w:val="WB Small"/>
    <w:basedOn w:val="Normal"/>
    <w:pPr>
      <w:keepNext w:val="0"/>
      <w:spacing w:after="80" w:before="0" w:line="250" w:lineRule="auto"/>
    </w:pPr>
    <w:rPr>
      <w:rFonts w:ascii="Calibri" w:hAnsi="Calibri"/>
      <w:color w:val="5C6E7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uggingface.co/docs/huggingface_hub/guides/download" TargetMode="External"/><Relationship Id="rId16" Type="http://schemas.openxmlformats.org/officeDocument/2006/relationships/hyperlink" Target="https://docs.langchain.com/oss/python/deepagents/overview" TargetMode="External"/><Relationship Id="rId17" Type="http://schemas.openxmlformats.org/officeDocument/2006/relationships/hyperlink" Target="https://docs.langchain.com/oss/python/langgraph/overview" TargetMode="External"/><Relationship Id="rId18" Type="http://schemas.openxmlformats.org/officeDocument/2006/relationships/hyperlink" Target="https://docs.langchain.com/oss/python/langchain/overview" TargetMode="External"/><Relationship Id="rId19" Type="http://schemas.openxmlformats.org/officeDocument/2006/relationships/hyperlink" Target="https://fastapi.tiangolo.com/" TargetMode="External"/><Relationship Id="rId20" Type="http://schemas.openxmlformats.org/officeDocument/2006/relationships/hyperlink" Target="https://docs.pydantic.dev/latest/concepts/json_schema/" TargetMode="External"/><Relationship Id="rId21" Type="http://schemas.openxmlformats.org/officeDocument/2006/relationships/hyperlink" Target="https://www.electronjs.org/docs/latest/" TargetMode="External"/><Relationship Id="rId24" Type="http://schemas.openxmlformats.org/officeDocument/2006/relationships/hyperlink" Target="https://docs.comfy.org/development/comfyui-server/comms_routes" TargetMode="External"/><Relationship Id="rId26" Type="http://schemas.openxmlformats.org/officeDocument/2006/relationships/hyperlink" Target="https://docs.docker.com/compose/intro/features-uses/" TargetMode="External"/><Relationship Id="rId27" Type="http://schemas.openxmlformats.org/officeDocument/2006/relationships/hyperlink" Target="https://github.com/ggml-org/llama.cpp/blob/master/tools/server/README.md" TargetMode="External"/><Relationship Id="rId28" Type="http://schemas.openxmlformats.org/officeDocument/2006/relationships/hyperlink" Target="https://github.com/ggml-org/llama.cpp/tree/master/gguf-py" TargetMode="External"/><Relationship Id="rId29" Type="http://schemas.openxmlformats.org/officeDocument/2006/relationships/hyperlink" Target="https://docs.langchain.com/oss/python/deepagents/models" TargetMode="External"/><Relationship Id="rId30" Type="http://schemas.openxmlformats.org/officeDocument/2006/relationships/hyperlink" Target="https://docs.langchain.com/oss/python/langgraph/use-subgraphs" TargetMode="External"/><Relationship Id="rId31" Type="http://schemas.openxmlformats.org/officeDocument/2006/relationships/hyperlink" Target="https://docs.langchain.com/oss/python/deepagents/subagents" TargetMode="External"/><Relationship Id="rId32" Type="http://schemas.openxmlformats.org/officeDocument/2006/relationships/hyperlink" Target="https://docs.langchain.com/oss/python/langgraph/checkpointers" TargetMode="External"/><Relationship Id="rId33" Type="http://schemas.openxmlformats.org/officeDocument/2006/relationships/hyperlink" Target="https://docs.langchain.com/oss/python/langchain/mcp" TargetMode="External"/><Relationship Id="rId34" Type="http://schemas.openxmlformats.org/officeDocument/2006/relationships/hyperlink" Target="https://inspect.aisi.org.uk/agents.html" TargetMode="External"/><Relationship Id="rId35" Type="http://schemas.openxmlformats.org/officeDocument/2006/relationships/hyperlink" Target="https://reactflow.dev/learn" TargetMode="External"/><Relationship Id="rId36" Type="http://schemas.openxmlformats.org/officeDocument/2006/relationships/hyperlink" Target="https://github.com/modelcontextprotocol/python-sdk" TargetMode="External"/><Relationship Id="rId37" Type="http://schemas.openxmlformats.org/officeDocument/2006/relationships/hyperlink" Target="https://github.com/ggml-org/llama.cpp/tree/master/tools/llama-bench" TargetMode="External"/><Relationship Id="rId38" Type="http://schemas.openxmlformats.org/officeDocument/2006/relationships/hyperlink" Target="https://docs.langchain.com/oss/python/deepagents/backends" TargetMode="External"/><Relationship Id="rId12" Type="http://schemas.openxmlformats.org/officeDocument/2006/relationships/hyperlink" Target="https://github.com/ggml-org/llama.cpp/tree/master/tools/server" TargetMode="External"/><Relationship Id="rId13" Type="http://schemas.openxmlformats.org/officeDocument/2006/relationships/hyperlink" Target="https://docs.langchain.com/oss/python/langchain/middleware/custom" TargetMode="External"/><Relationship Id="rId14" Type="http://schemas.openxmlformats.org/officeDocument/2006/relationships/hyperlink" Target="https://docs.langchain.com/oss/python/deepagents/memory" TargetMode="External"/><Relationship Id="rId15" Type="http://schemas.openxmlformats.org/officeDocument/2006/relationships/hyperlink" Target="https://docs.langchain.com/oss/python/deepagents/skills" TargetMode="External"/><Relationship Id="rId22" Type="http://schemas.openxmlformats.org/officeDocument/2006/relationships/hyperlink" Target="https://docs.langchain.com/oss/python/deepagents/rubric" TargetMode="External"/><Relationship Id="rId23" Type="http://schemas.openxmlformats.org/officeDocument/2006/relationships/hyperlink" Target="https://docs.langchain.com/oss/python/langgraph/errors/GRAPH_RECURSION_LIMIT" TargetMode="External"/><Relationship Id="rId25" Type="http://schemas.openxmlformats.org/officeDocument/2006/relationships/hyperlink" Target="https://docs.langchain.com/oss/python/deepagents/interpreters" TargetMode="External"/><Relationship Id="rId39" Type="http://schemas.openxmlformats.org/officeDocument/2006/relationships/hyperlink" Target="https://docs.langchain.com/oss/python/langchain/middleware/built-in" TargetMode="External"/><Relationship Id="rId40" Type="http://schemas.openxmlformats.org/officeDocument/2006/relationships/hyperlink" Target="https://docs.pydantic.dev/latest/" TargetMode="External"/><Relationship Id="rId41" Type="http://schemas.openxmlformats.org/officeDocument/2006/relationships/hyperlink" Target="https://reactflow.dev/" TargetMode="External"/><Relationship Id="rId42" Type="http://schemas.openxmlformats.org/officeDocument/2006/relationships/hyperlink" Target="https://docs.langchain.com/oss/python/langgraph/persistence" TargetMode="External"/><Relationship Id="rId43" Type="http://schemas.openxmlformats.org/officeDocument/2006/relationships/hyperlink" Target="https://inspect.aisi.org.uk/" TargetMode="External"/><Relationship Id="rId44" Type="http://schemas.openxmlformats.org/officeDocument/2006/relationships/hyperlink" Target="https://docs.docker.com/compose/" TargetMode="External"/><Relationship Id="rId45" Type="http://schemas.openxmlformats.org/officeDocument/2006/relationships/hyperlink" Target="https://docs.langchain.com/oss/python/langgraph/use-time-travel" TargetMode="External"/><Relationship Id="rId46" Type="http://schemas.openxmlformats.org/officeDocument/2006/relationships/hyperlink" Target="https://inspect.aisi.org.uk/datasets.html" TargetMode="External"/><Relationship Id="rId47" Type="http://schemas.openxmlformats.org/officeDocument/2006/relationships/hyperlink" Target="https://inspect.aisi.org.uk/scorers.html" TargetMode="External"/><Relationship Id="rId48" Type="http://schemas.openxmlformats.org/officeDocument/2006/relationships/hyperlink" Target="https://modelcontextprotocol.io/extensions/apps/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House: That AI Built — Local AI Workbench</dc:title>
  <dc:subject>Integration-first starter specification — Revision 0.5</dc:subject>
  <dc:creator/>
  <cp:keywords>llama.cpp, Deep Agents, LangGraph, LangChain, local AI workbench</cp:keywords>
  <dc:description/>
  <cp:lastModifiedBy/>
  <cp:revision>4</cp:revision>
  <dcterms:created xsi:type="dcterms:W3CDTF">2013-12-23T23:15:00Z</dcterms:created>
  <dcterms:modified xsi:type="dcterms:W3CDTF">2013-12-23T23:15:00Z</dcterms:modified>
  <cp:category/>
  <cp:version>0.3</cp:version>
</cp:coreProperties>
</file>