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1CD" w:rsidRDefault="002E0569">
      <w:r>
        <w:t>ATCHE – Electrolytic Cells</w:t>
      </w:r>
    </w:p>
    <w:p w:rsidR="001D7090" w:rsidRDefault="001D7090"/>
    <w:p w:rsidR="001D7090" w:rsidRPr="001D7090" w:rsidRDefault="001D7090" w:rsidP="001D7090">
      <w:pPr>
        <w:jc w:val="center"/>
        <w:rPr>
          <w:b/>
          <w:u w:val="single"/>
        </w:rPr>
      </w:pPr>
      <w:r w:rsidRPr="001D7090">
        <w:rPr>
          <w:b/>
          <w:u w:val="single"/>
        </w:rPr>
        <w:t>Difference between a galvanic (</w:t>
      </w:r>
      <w:r w:rsidR="00D41DB1">
        <w:rPr>
          <w:b/>
          <w:u w:val="single"/>
        </w:rPr>
        <w:t>voltaic/</w:t>
      </w:r>
      <w:r w:rsidRPr="001D7090">
        <w:rPr>
          <w:b/>
          <w:u w:val="single"/>
        </w:rPr>
        <w:t>battery) and electrolytic (electrolysis) cell</w:t>
      </w:r>
    </w:p>
    <w:p w:rsidR="002E0569" w:rsidRDefault="002E0569"/>
    <w:p w:rsidR="009F2F6C" w:rsidRDefault="002E0569">
      <w:r>
        <w:rPr>
          <w:noProof/>
          <w:lang w:eastAsia="en-AU"/>
        </w:rPr>
        <w:drawing>
          <wp:inline distT="0" distB="0" distL="0" distR="0" wp14:anchorId="581C9E34" wp14:editId="093D9E4F">
            <wp:extent cx="6645910" cy="5302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5302250"/>
                    </a:xfrm>
                    <a:prstGeom prst="rect">
                      <a:avLst/>
                    </a:prstGeom>
                  </pic:spPr>
                </pic:pic>
              </a:graphicData>
            </a:graphic>
          </wp:inline>
        </w:drawing>
      </w:r>
    </w:p>
    <w:p w:rsidR="009F2F6C" w:rsidRDefault="009F2F6C">
      <w:r>
        <w:rPr>
          <w:rStyle w:val="Emphasis"/>
          <w:rFonts w:ascii="Tahoma" w:hAnsi="Tahoma" w:cs="Tahoma"/>
          <w:color w:val="000000"/>
          <w:sz w:val="26"/>
          <w:szCs w:val="26"/>
          <w:shd w:val="clear" w:color="auto" w:fill="FFFFFF"/>
        </w:rPr>
        <w:t>Electrochemical Cells. A galvanic cell (left) transforms the energy released by a spontaneous redox reaction into electrical energy that can be used to perform work. The oxidative and reductive half-reactions usually occur in separate compartments that are connected by an external electrical circuit; in addition, a second connection that allows ions to flow between the compartments (shown here as a vertical dashed line to represent a porous barrier) is necessary to maintain electrical neutrality. The potential difference between the electrodes (voltage) causes electrons to flow from the reductant to the oxidant through the external circuit, generating an electric current. In an electrolytic cell (right), an external source of electrical energy is used to generate a potential difference between the electrodes that forces electrons to flow, driving a nonspontaneous redox reaction; only a single compartment is employed in most applications. In both kinds of electrochemical cells, the anode is the electrode at which the oxidation half-reaction occurs, and the cathode is the electrode at which the reduction half-reaction occurs.</w:t>
      </w:r>
    </w:p>
    <w:p w:rsidR="009F2F6C" w:rsidRDefault="009F2F6C">
      <w:r>
        <w:br w:type="page"/>
      </w:r>
    </w:p>
    <w:p w:rsidR="002E0569" w:rsidRDefault="002E0569"/>
    <w:p w:rsidR="00E72CA5" w:rsidRDefault="00E72CA5">
      <w:r>
        <w:rPr>
          <w:noProof/>
          <w:lang w:eastAsia="en-AU"/>
        </w:rPr>
        <w:drawing>
          <wp:inline distT="0" distB="0" distL="0" distR="0" wp14:anchorId="3CF66BAB" wp14:editId="45705DAF">
            <wp:extent cx="2962275" cy="3075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63438" cy="3076428"/>
                    </a:xfrm>
                    <a:prstGeom prst="rect">
                      <a:avLst/>
                    </a:prstGeom>
                  </pic:spPr>
                </pic:pic>
              </a:graphicData>
            </a:graphic>
          </wp:inline>
        </w:drawing>
      </w:r>
      <w:r w:rsidR="009F2F6C">
        <w:rPr>
          <w:noProof/>
          <w:lang w:eastAsia="en-AU"/>
        </w:rPr>
        <w:drawing>
          <wp:inline distT="0" distB="0" distL="0" distR="0" wp14:anchorId="402728B8" wp14:editId="4AA92FEA">
            <wp:extent cx="3333750" cy="2616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3359" cy="2624358"/>
                    </a:xfrm>
                    <a:prstGeom prst="rect">
                      <a:avLst/>
                    </a:prstGeom>
                  </pic:spPr>
                </pic:pic>
              </a:graphicData>
            </a:graphic>
          </wp:inline>
        </w:drawing>
      </w:r>
    </w:p>
    <w:p w:rsidR="00B64D05" w:rsidRPr="00B64D05" w:rsidRDefault="00B64D05" w:rsidP="00B64D05">
      <w:pPr>
        <w:shd w:val="clear" w:color="auto" w:fill="FFFFFF"/>
        <w:spacing w:before="100" w:beforeAutospacing="1" w:after="100" w:afterAutospacing="1" w:line="240" w:lineRule="auto"/>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To explain what happens in an electrolytic cell let us examine the decomposition of molten sodium chloride into sodium metal and chlorine gas. The reaction is written below.</w:t>
      </w:r>
    </w:p>
    <w:tbl>
      <w:tblPr>
        <w:tblW w:w="18183" w:type="dxa"/>
        <w:jc w:val="center"/>
        <w:tblCellSpacing w:w="15" w:type="dxa"/>
        <w:tblBorders>
          <w:bottom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066"/>
        <w:gridCol w:w="3197"/>
        <w:gridCol w:w="3993"/>
        <w:gridCol w:w="2337"/>
        <w:gridCol w:w="4590"/>
      </w:tblGrid>
      <w:tr w:rsidR="00B64D05" w:rsidRPr="00B64D05" w:rsidTr="00B64D05">
        <w:trPr>
          <w:tblCellSpacing w:w="15" w:type="dxa"/>
          <w:jc w:val="center"/>
        </w:trPr>
        <w:tc>
          <w:tcPr>
            <w:tcW w:w="0" w:type="auto"/>
            <w:gridSpan w:val="5"/>
            <w:tcBorders>
              <w:top w:val="nil"/>
              <w:left w:val="nil"/>
              <w:bottom w:val="nil"/>
              <w:right w:val="nil"/>
            </w:tcBorders>
            <w:shd w:val="clear" w:color="auto" w:fill="FFFFFF"/>
            <w:tcMar>
              <w:top w:w="240" w:type="dxa"/>
              <w:left w:w="240" w:type="dxa"/>
              <w:bottom w:w="240" w:type="dxa"/>
              <w:right w:w="240" w:type="dxa"/>
            </w:tcMar>
            <w:vAlign w:val="center"/>
            <w:hideMark/>
          </w:tcPr>
          <w:p w:rsidR="00B64D05" w:rsidRPr="00B64D05" w:rsidRDefault="00B64D05" w:rsidP="00B64D05">
            <w:pPr>
              <w:spacing w:after="0" w:line="240" w:lineRule="auto"/>
              <w:jc w:val="center"/>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---------&gt; Non spontaneous ( electrolytic cell )</w:t>
            </w:r>
          </w:p>
        </w:tc>
      </w:tr>
      <w:tr w:rsidR="00B64D05" w:rsidRPr="00B64D05" w:rsidTr="00B64D05">
        <w:trPr>
          <w:tblCellSpacing w:w="15" w:type="dxa"/>
          <w:jc w:val="center"/>
        </w:trPr>
        <w:tc>
          <w:tcPr>
            <w:tcW w:w="1140" w:type="dxa"/>
            <w:tcBorders>
              <w:top w:val="nil"/>
              <w:left w:val="nil"/>
              <w:bottom w:val="nil"/>
              <w:right w:val="nil"/>
            </w:tcBorders>
            <w:shd w:val="clear" w:color="auto" w:fill="EFEFEF"/>
            <w:tcMar>
              <w:top w:w="240" w:type="dxa"/>
              <w:left w:w="240" w:type="dxa"/>
              <w:bottom w:w="240" w:type="dxa"/>
              <w:right w:w="240" w:type="dxa"/>
            </w:tcMar>
            <w:vAlign w:val="center"/>
            <w:hideMark/>
          </w:tcPr>
          <w:p w:rsidR="00B64D05" w:rsidRPr="00B64D05" w:rsidRDefault="00B64D05" w:rsidP="00B64D05">
            <w:pPr>
              <w:spacing w:after="0" w:line="240" w:lineRule="auto"/>
              <w:jc w:val="center"/>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2 Na Cl (l)</w:t>
            </w:r>
          </w:p>
        </w:tc>
        <w:tc>
          <w:tcPr>
            <w:tcW w:w="705" w:type="dxa"/>
            <w:tcBorders>
              <w:top w:val="nil"/>
              <w:left w:val="nil"/>
              <w:bottom w:val="nil"/>
              <w:right w:val="nil"/>
            </w:tcBorders>
            <w:shd w:val="clear" w:color="auto" w:fill="EFEFEF"/>
            <w:tcMar>
              <w:top w:w="240" w:type="dxa"/>
              <w:left w:w="240" w:type="dxa"/>
              <w:bottom w:w="240" w:type="dxa"/>
              <w:right w:w="240" w:type="dxa"/>
            </w:tcMar>
            <w:vAlign w:val="center"/>
            <w:hideMark/>
          </w:tcPr>
          <w:p w:rsidR="00B64D05" w:rsidRPr="00B64D05" w:rsidRDefault="00B64D05" w:rsidP="00B64D05">
            <w:pPr>
              <w:spacing w:after="0" w:line="240" w:lineRule="auto"/>
              <w:jc w:val="center"/>
              <w:rPr>
                <w:rFonts w:ascii="Tahoma" w:eastAsia="Times New Roman" w:hAnsi="Tahoma" w:cs="Tahoma"/>
                <w:color w:val="000000"/>
                <w:sz w:val="24"/>
                <w:szCs w:val="24"/>
                <w:lang w:eastAsia="en-AU"/>
              </w:rPr>
            </w:pPr>
            <w:r w:rsidRPr="00B64D05">
              <w:rPr>
                <w:rFonts w:ascii="Cambria Math" w:eastAsia="Times New Roman" w:hAnsi="Cambria Math" w:cs="Cambria Math"/>
                <w:color w:val="000000"/>
                <w:sz w:val="26"/>
                <w:szCs w:val="26"/>
                <w:bdr w:val="none" w:sz="0" w:space="0" w:color="auto" w:frame="1"/>
                <w:lang w:eastAsia="en-AU"/>
              </w:rPr>
              <w:t>⇌</w:t>
            </w:r>
            <w:r w:rsidRPr="00B64D05">
              <w:rPr>
                <w:rFonts w:ascii="Cambria Math" w:eastAsia="Times New Roman" w:hAnsi="Cambria Math" w:cs="Cambria Math"/>
                <w:color w:val="000000"/>
                <w:sz w:val="24"/>
                <w:szCs w:val="24"/>
                <w:bdr w:val="none" w:sz="0" w:space="0" w:color="auto" w:frame="1"/>
                <w:lang w:eastAsia="en-AU"/>
              </w:rPr>
              <w:t>⇌</w:t>
            </w:r>
          </w:p>
        </w:tc>
        <w:tc>
          <w:tcPr>
            <w:tcW w:w="1125" w:type="dxa"/>
            <w:tcBorders>
              <w:top w:val="nil"/>
              <w:left w:val="nil"/>
              <w:bottom w:val="nil"/>
              <w:right w:val="nil"/>
            </w:tcBorders>
            <w:shd w:val="clear" w:color="auto" w:fill="EFEFEF"/>
            <w:tcMar>
              <w:top w:w="240" w:type="dxa"/>
              <w:left w:w="240" w:type="dxa"/>
              <w:bottom w:w="240" w:type="dxa"/>
              <w:right w:w="240" w:type="dxa"/>
            </w:tcMar>
            <w:vAlign w:val="center"/>
            <w:hideMark/>
          </w:tcPr>
          <w:p w:rsidR="00B64D05" w:rsidRPr="00B64D05" w:rsidRDefault="00B64D05" w:rsidP="00B64D05">
            <w:pPr>
              <w:spacing w:after="0" w:line="240" w:lineRule="auto"/>
              <w:jc w:val="center"/>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2 Na (s)</w:t>
            </w:r>
          </w:p>
        </w:tc>
        <w:tc>
          <w:tcPr>
            <w:tcW w:w="255" w:type="dxa"/>
            <w:tcBorders>
              <w:top w:val="nil"/>
              <w:left w:val="nil"/>
              <w:bottom w:val="nil"/>
              <w:right w:val="nil"/>
            </w:tcBorders>
            <w:shd w:val="clear" w:color="auto" w:fill="EFEFEF"/>
            <w:tcMar>
              <w:top w:w="240" w:type="dxa"/>
              <w:left w:w="240" w:type="dxa"/>
              <w:bottom w:w="240" w:type="dxa"/>
              <w:right w:w="240" w:type="dxa"/>
            </w:tcMar>
            <w:vAlign w:val="center"/>
            <w:hideMark/>
          </w:tcPr>
          <w:p w:rsidR="00B64D05" w:rsidRPr="00B64D05" w:rsidRDefault="00B64D05" w:rsidP="00B64D05">
            <w:pPr>
              <w:spacing w:after="0" w:line="240" w:lineRule="auto"/>
              <w:jc w:val="center"/>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w:t>
            </w:r>
          </w:p>
        </w:tc>
        <w:tc>
          <w:tcPr>
            <w:tcW w:w="1290" w:type="dxa"/>
            <w:tcBorders>
              <w:top w:val="nil"/>
              <w:left w:val="nil"/>
              <w:bottom w:val="nil"/>
              <w:right w:val="nil"/>
            </w:tcBorders>
            <w:shd w:val="clear" w:color="auto" w:fill="EFEFEF"/>
            <w:tcMar>
              <w:top w:w="240" w:type="dxa"/>
              <w:left w:w="240" w:type="dxa"/>
              <w:bottom w:w="240" w:type="dxa"/>
              <w:right w:w="240" w:type="dxa"/>
            </w:tcMar>
            <w:vAlign w:val="center"/>
            <w:hideMark/>
          </w:tcPr>
          <w:p w:rsidR="00B64D05" w:rsidRPr="00B64D05" w:rsidRDefault="00B64D05" w:rsidP="00B64D05">
            <w:pPr>
              <w:spacing w:after="0" w:line="240" w:lineRule="auto"/>
              <w:jc w:val="center"/>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Cl</w:t>
            </w:r>
            <w:r w:rsidRPr="00B64D05">
              <w:rPr>
                <w:rFonts w:ascii="Tahoma" w:eastAsia="Times New Roman" w:hAnsi="Tahoma" w:cs="Tahoma"/>
                <w:color w:val="000000"/>
                <w:sz w:val="18"/>
                <w:szCs w:val="18"/>
                <w:vertAlign w:val="subscript"/>
                <w:lang w:eastAsia="en-AU"/>
              </w:rPr>
              <w:t>2</w:t>
            </w:r>
            <w:r w:rsidRPr="00B64D05">
              <w:rPr>
                <w:rFonts w:ascii="Tahoma" w:eastAsia="Times New Roman" w:hAnsi="Tahoma" w:cs="Tahoma"/>
                <w:color w:val="000000"/>
                <w:sz w:val="24"/>
                <w:szCs w:val="24"/>
                <w:lang w:eastAsia="en-AU"/>
              </w:rPr>
              <w:t> (g)</w:t>
            </w:r>
          </w:p>
        </w:tc>
      </w:tr>
      <w:tr w:rsidR="00B64D05" w:rsidRPr="00B64D05" w:rsidTr="00B64D05">
        <w:trPr>
          <w:tblCellSpacing w:w="15" w:type="dxa"/>
          <w:jc w:val="center"/>
        </w:trPr>
        <w:tc>
          <w:tcPr>
            <w:tcW w:w="0" w:type="auto"/>
            <w:gridSpan w:val="5"/>
            <w:tcBorders>
              <w:top w:val="nil"/>
              <w:left w:val="nil"/>
              <w:bottom w:val="nil"/>
              <w:right w:val="nil"/>
            </w:tcBorders>
            <w:shd w:val="clear" w:color="auto" w:fill="FFFFFF"/>
            <w:tcMar>
              <w:top w:w="240" w:type="dxa"/>
              <w:left w:w="240" w:type="dxa"/>
              <w:bottom w:w="240" w:type="dxa"/>
              <w:right w:w="240" w:type="dxa"/>
            </w:tcMar>
            <w:vAlign w:val="center"/>
            <w:hideMark/>
          </w:tcPr>
          <w:p w:rsidR="00B64D05" w:rsidRPr="00B64D05" w:rsidRDefault="00B64D05" w:rsidP="00B64D05">
            <w:pPr>
              <w:spacing w:after="0" w:line="240" w:lineRule="auto"/>
              <w:jc w:val="center"/>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&lt;--------- Spontaneous ( electrochemical cell )</w:t>
            </w:r>
          </w:p>
        </w:tc>
      </w:tr>
    </w:tbl>
    <w:p w:rsidR="00B64D05" w:rsidRPr="00B64D05" w:rsidRDefault="00B64D05" w:rsidP="00B64D05">
      <w:pPr>
        <w:shd w:val="clear" w:color="auto" w:fill="FFFFFF"/>
        <w:spacing w:beforeAutospacing="1" w:after="0" w:afterAutospacing="1" w:line="240" w:lineRule="auto"/>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If molten </w:t>
      </w:r>
      <w:proofErr w:type="spellStart"/>
      <w:proofErr w:type="gramStart"/>
      <w:r w:rsidRPr="00B64D05">
        <w:rPr>
          <w:rFonts w:ascii="MathJax_Math-italic" w:eastAsia="Times New Roman" w:hAnsi="MathJax_Math-italic" w:cs="Tahoma"/>
          <w:color w:val="000000"/>
          <w:sz w:val="28"/>
          <w:szCs w:val="28"/>
          <w:bdr w:val="none" w:sz="0" w:space="0" w:color="auto" w:frame="1"/>
          <w:lang w:eastAsia="en-AU"/>
        </w:rPr>
        <w:t>NaCl</w:t>
      </w:r>
      <w:proofErr w:type="spellEnd"/>
      <w:r w:rsidRPr="00B64D05">
        <w:rPr>
          <w:rFonts w:ascii="MathJax_Main" w:eastAsia="Times New Roman" w:hAnsi="MathJax_Main" w:cs="Tahoma"/>
          <w:color w:val="000000"/>
          <w:sz w:val="20"/>
          <w:szCs w:val="20"/>
          <w:bdr w:val="none" w:sz="0" w:space="0" w:color="auto" w:frame="1"/>
          <w:lang w:eastAsia="en-AU"/>
        </w:rPr>
        <w:t>(</w:t>
      </w:r>
      <w:proofErr w:type="gramEnd"/>
      <w:r w:rsidRPr="00B64D05">
        <w:rPr>
          <w:rFonts w:ascii="MathJax_Math-italic" w:eastAsia="Times New Roman" w:hAnsi="MathJax_Math-italic" w:cs="Tahoma"/>
          <w:color w:val="000000"/>
          <w:sz w:val="20"/>
          <w:szCs w:val="20"/>
          <w:bdr w:val="none" w:sz="0" w:space="0" w:color="auto" w:frame="1"/>
          <w:lang w:eastAsia="en-AU"/>
        </w:rPr>
        <w:t>l</w:t>
      </w:r>
      <w:r w:rsidRPr="00B64D05">
        <w:rPr>
          <w:rFonts w:ascii="MathJax_Main" w:eastAsia="Times New Roman" w:hAnsi="MathJax_Main" w:cs="Tahoma"/>
          <w:color w:val="000000"/>
          <w:sz w:val="20"/>
          <w:szCs w:val="20"/>
          <w:bdr w:val="none" w:sz="0" w:space="0" w:color="auto" w:frame="1"/>
          <w:lang w:eastAsia="en-AU"/>
        </w:rPr>
        <w:t>)</w:t>
      </w:r>
      <w:proofErr w:type="spellStart"/>
      <w:r w:rsidRPr="00B64D05">
        <w:rPr>
          <w:rFonts w:ascii="Tahoma" w:eastAsia="Times New Roman" w:hAnsi="Tahoma" w:cs="Tahoma"/>
          <w:color w:val="000000"/>
          <w:sz w:val="26"/>
          <w:szCs w:val="26"/>
          <w:bdr w:val="none" w:sz="0" w:space="0" w:color="auto" w:frame="1"/>
          <w:lang w:eastAsia="en-AU"/>
        </w:rPr>
        <w:t>NaCl</w:t>
      </w:r>
      <w:proofErr w:type="spellEnd"/>
      <w:r w:rsidRPr="00B64D05">
        <w:rPr>
          <w:rFonts w:ascii="Tahoma" w:eastAsia="Times New Roman" w:hAnsi="Tahoma" w:cs="Tahoma"/>
          <w:color w:val="000000"/>
          <w:sz w:val="26"/>
          <w:szCs w:val="26"/>
          <w:bdr w:val="none" w:sz="0" w:space="0" w:color="auto" w:frame="1"/>
          <w:lang w:eastAsia="en-AU"/>
        </w:rPr>
        <w:t>(l)</w:t>
      </w:r>
      <w:r w:rsidRPr="00B64D05">
        <w:rPr>
          <w:rFonts w:ascii="Tahoma" w:eastAsia="Times New Roman" w:hAnsi="Tahoma" w:cs="Tahoma"/>
          <w:color w:val="000000"/>
          <w:sz w:val="24"/>
          <w:szCs w:val="24"/>
          <w:lang w:eastAsia="en-AU"/>
        </w:rPr>
        <w:t> is placed into the container and inert electrodes of </w:t>
      </w:r>
      <w:r w:rsidRPr="00B64D05">
        <w:rPr>
          <w:rFonts w:ascii="MathJax_Math-italic" w:eastAsia="Times New Roman" w:hAnsi="MathJax_Math-italic" w:cs="Tahoma"/>
          <w:color w:val="000000"/>
          <w:sz w:val="28"/>
          <w:szCs w:val="28"/>
          <w:bdr w:val="none" w:sz="0" w:space="0" w:color="auto" w:frame="1"/>
          <w:lang w:eastAsia="en-AU"/>
        </w:rPr>
        <w:t>C</w:t>
      </w:r>
      <w:r w:rsidRPr="00B64D05">
        <w:rPr>
          <w:rFonts w:ascii="MathJax_Main" w:eastAsia="Times New Roman" w:hAnsi="MathJax_Main" w:cs="Tahoma"/>
          <w:color w:val="000000"/>
          <w:sz w:val="20"/>
          <w:szCs w:val="20"/>
          <w:bdr w:val="none" w:sz="0" w:space="0" w:color="auto" w:frame="1"/>
          <w:lang w:eastAsia="en-AU"/>
        </w:rPr>
        <w:t>(</w:t>
      </w:r>
      <w:r w:rsidRPr="00B64D05">
        <w:rPr>
          <w:rFonts w:ascii="MathJax_Math-italic" w:eastAsia="Times New Roman" w:hAnsi="MathJax_Math-italic" w:cs="Tahoma"/>
          <w:color w:val="000000"/>
          <w:sz w:val="20"/>
          <w:szCs w:val="20"/>
          <w:bdr w:val="none" w:sz="0" w:space="0" w:color="auto" w:frame="1"/>
          <w:lang w:eastAsia="en-AU"/>
        </w:rPr>
        <w:t>s</w:t>
      </w:r>
      <w:r w:rsidRPr="00B64D05">
        <w:rPr>
          <w:rFonts w:ascii="MathJax_Main" w:eastAsia="Times New Roman" w:hAnsi="MathJax_Main" w:cs="Tahoma"/>
          <w:color w:val="000000"/>
          <w:sz w:val="20"/>
          <w:szCs w:val="20"/>
          <w:bdr w:val="none" w:sz="0" w:space="0" w:color="auto" w:frame="1"/>
          <w:lang w:eastAsia="en-AU"/>
        </w:rPr>
        <w:t>)</w:t>
      </w:r>
      <w:r w:rsidRPr="00B64D05">
        <w:rPr>
          <w:rFonts w:ascii="Tahoma" w:eastAsia="Times New Roman" w:hAnsi="Tahoma" w:cs="Tahoma"/>
          <w:color w:val="000000"/>
          <w:sz w:val="26"/>
          <w:szCs w:val="26"/>
          <w:bdr w:val="none" w:sz="0" w:space="0" w:color="auto" w:frame="1"/>
          <w:lang w:eastAsia="en-AU"/>
        </w:rPr>
        <w:t>C(s)</w:t>
      </w:r>
      <w:r w:rsidRPr="00B64D05">
        <w:rPr>
          <w:rFonts w:ascii="Tahoma" w:eastAsia="Times New Roman" w:hAnsi="Tahoma" w:cs="Tahoma"/>
          <w:color w:val="000000"/>
          <w:sz w:val="24"/>
          <w:szCs w:val="24"/>
          <w:lang w:eastAsia="en-AU"/>
        </w:rPr>
        <w:t> are inserted, attached to the positive and negative terminals of a battery, an electrolytic reaction will occur.</w:t>
      </w:r>
    </w:p>
    <w:p w:rsidR="00B64D05" w:rsidRPr="00B64D05" w:rsidRDefault="00B64D05" w:rsidP="00B64D05">
      <w:pPr>
        <w:numPr>
          <w:ilvl w:val="0"/>
          <w:numId w:val="1"/>
        </w:numPr>
        <w:shd w:val="clear" w:color="auto" w:fill="FFFFFF"/>
        <w:spacing w:before="60" w:after="60" w:line="240" w:lineRule="auto"/>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Electrons from the negative terminal travel to the cathode and are used to reduce sodium ions into sodium atoms. The sodium will plate onto the cathode as it forms. The sodium ion are migrating towards the cathode.</w:t>
      </w:r>
    </w:p>
    <w:p w:rsidR="00B64D05" w:rsidRPr="00B64D05" w:rsidRDefault="00B64D05" w:rsidP="00B64D05">
      <w:pPr>
        <w:shd w:val="clear" w:color="auto" w:fill="FFFFFF"/>
        <w:spacing w:line="240" w:lineRule="auto"/>
        <w:ind w:left="720"/>
        <w:jc w:val="center"/>
        <w:rPr>
          <w:rFonts w:ascii="Tahoma" w:eastAsia="Times New Roman" w:hAnsi="Tahoma" w:cs="Tahoma"/>
          <w:color w:val="000000"/>
          <w:sz w:val="24"/>
          <w:szCs w:val="24"/>
          <w:lang w:eastAsia="en-AU"/>
        </w:rPr>
      </w:pPr>
      <w:r w:rsidRPr="00B64D05">
        <w:rPr>
          <w:rFonts w:ascii="MathJax_Math-italic" w:eastAsia="Times New Roman" w:hAnsi="MathJax_Math-italic" w:cs="Tahoma"/>
          <w:color w:val="000000"/>
          <w:sz w:val="28"/>
          <w:szCs w:val="28"/>
          <w:bdr w:val="none" w:sz="0" w:space="0" w:color="auto" w:frame="1"/>
          <w:lang w:eastAsia="en-AU"/>
        </w:rPr>
        <w:t>Na</w:t>
      </w:r>
      <w:r w:rsidRPr="00B64D05">
        <w:rPr>
          <w:rFonts w:ascii="MathJax_Main" w:eastAsia="Times New Roman" w:hAnsi="MathJax_Main" w:cs="Tahoma"/>
          <w:color w:val="000000"/>
          <w:sz w:val="20"/>
          <w:szCs w:val="20"/>
          <w:bdr w:val="none" w:sz="0" w:space="0" w:color="auto" w:frame="1"/>
          <w:lang w:eastAsia="en-AU"/>
        </w:rPr>
        <w:t>+</w:t>
      </w:r>
      <w:r w:rsidRPr="00B64D05">
        <w:rPr>
          <w:rFonts w:ascii="MathJax_Main" w:eastAsia="Times New Roman" w:hAnsi="MathJax_Main" w:cs="Tahoma"/>
          <w:color w:val="000000"/>
          <w:sz w:val="28"/>
          <w:szCs w:val="28"/>
          <w:bdr w:val="none" w:sz="0" w:space="0" w:color="auto" w:frame="1"/>
          <w:lang w:eastAsia="en-AU"/>
        </w:rPr>
        <w:t>+</w:t>
      </w:r>
      <w:r w:rsidRPr="00B64D05">
        <w:rPr>
          <w:rFonts w:ascii="MathJax_Math-italic" w:eastAsia="Times New Roman" w:hAnsi="MathJax_Math-italic" w:cs="Tahoma"/>
          <w:color w:val="000000"/>
          <w:sz w:val="28"/>
          <w:szCs w:val="28"/>
          <w:bdr w:val="none" w:sz="0" w:space="0" w:color="auto" w:frame="1"/>
          <w:lang w:eastAsia="en-AU"/>
        </w:rPr>
        <w:t>e</w:t>
      </w:r>
      <w:r w:rsidRPr="00B64D05">
        <w:rPr>
          <w:rFonts w:ascii="MathJax_Main" w:eastAsia="Times New Roman" w:hAnsi="MathJax_Main" w:cs="Tahoma"/>
          <w:color w:val="000000"/>
          <w:sz w:val="20"/>
          <w:szCs w:val="20"/>
          <w:bdr w:val="none" w:sz="0" w:space="0" w:color="auto" w:frame="1"/>
          <w:lang w:eastAsia="en-AU"/>
        </w:rPr>
        <w:t>−</w:t>
      </w:r>
      <w:r w:rsidRPr="00B64D05">
        <w:rPr>
          <w:rFonts w:ascii="Cambria Math" w:eastAsia="Times New Roman" w:hAnsi="Cambria Math" w:cs="Cambria Math"/>
          <w:color w:val="000000"/>
          <w:sz w:val="28"/>
          <w:szCs w:val="28"/>
          <w:bdr w:val="none" w:sz="0" w:space="0" w:color="auto" w:frame="1"/>
          <w:lang w:eastAsia="en-AU"/>
        </w:rPr>
        <w:t>⇌</w:t>
      </w:r>
      <w:r w:rsidRPr="00B64D05">
        <w:rPr>
          <w:rFonts w:ascii="MathJax_Math-italic" w:eastAsia="Times New Roman" w:hAnsi="MathJax_Math-italic" w:cs="Tahoma"/>
          <w:color w:val="000000"/>
          <w:sz w:val="28"/>
          <w:szCs w:val="28"/>
          <w:bdr w:val="none" w:sz="0" w:space="0" w:color="auto" w:frame="1"/>
          <w:lang w:eastAsia="en-AU"/>
        </w:rPr>
        <w:t>Na</w:t>
      </w:r>
      <w:r w:rsidRPr="00B64D05">
        <w:rPr>
          <w:rFonts w:ascii="MathJax_Main" w:eastAsia="Times New Roman" w:hAnsi="MathJax_Main" w:cs="Tahoma"/>
          <w:color w:val="000000"/>
          <w:sz w:val="20"/>
          <w:szCs w:val="20"/>
          <w:bdr w:val="none" w:sz="0" w:space="0" w:color="auto" w:frame="1"/>
          <w:lang w:eastAsia="en-AU"/>
        </w:rPr>
        <w:t>(</w:t>
      </w:r>
      <w:r w:rsidRPr="00B64D05">
        <w:rPr>
          <w:rFonts w:ascii="MathJax_Math-italic" w:eastAsia="Times New Roman" w:hAnsi="MathJax_Math-italic" w:cs="Tahoma"/>
          <w:color w:val="000000"/>
          <w:sz w:val="20"/>
          <w:szCs w:val="20"/>
          <w:bdr w:val="none" w:sz="0" w:space="0" w:color="auto" w:frame="1"/>
          <w:lang w:eastAsia="en-AU"/>
        </w:rPr>
        <w:t>s</w:t>
      </w:r>
      <w:proofErr w:type="gramStart"/>
      <w:r w:rsidRPr="00B64D05">
        <w:rPr>
          <w:rFonts w:ascii="MathJax_Main" w:eastAsia="Times New Roman" w:hAnsi="MathJax_Main" w:cs="Tahoma"/>
          <w:color w:val="000000"/>
          <w:sz w:val="20"/>
          <w:szCs w:val="20"/>
          <w:bdr w:val="none" w:sz="0" w:space="0" w:color="auto" w:frame="1"/>
          <w:lang w:eastAsia="en-AU"/>
        </w:rPr>
        <w:t>)</w:t>
      </w:r>
      <w:r w:rsidRPr="00B64D05">
        <w:rPr>
          <w:rFonts w:ascii="MathJax_Main" w:eastAsia="Times New Roman" w:hAnsi="MathJax_Main" w:cs="Tahoma"/>
          <w:color w:val="000000"/>
          <w:sz w:val="28"/>
          <w:szCs w:val="28"/>
          <w:bdr w:val="none" w:sz="0" w:space="0" w:color="auto" w:frame="1"/>
          <w:lang w:eastAsia="en-AU"/>
        </w:rPr>
        <w:t>(</w:t>
      </w:r>
      <w:proofErr w:type="gramEnd"/>
      <w:r w:rsidRPr="00B64D05">
        <w:rPr>
          <w:rFonts w:ascii="MathJax_Main" w:eastAsia="Times New Roman" w:hAnsi="MathJax_Main" w:cs="Tahoma"/>
          <w:color w:val="000000"/>
          <w:sz w:val="28"/>
          <w:szCs w:val="28"/>
          <w:bdr w:val="none" w:sz="0" w:space="0" w:color="auto" w:frame="1"/>
          <w:lang w:eastAsia="en-AU"/>
        </w:rPr>
        <w:t>2)</w:t>
      </w:r>
      <w:r w:rsidRPr="00B64D05">
        <w:rPr>
          <w:rFonts w:ascii="Tahoma" w:eastAsia="Times New Roman" w:hAnsi="Tahoma" w:cs="Tahoma"/>
          <w:color w:val="000000"/>
          <w:sz w:val="26"/>
          <w:szCs w:val="26"/>
          <w:bdr w:val="none" w:sz="0" w:space="0" w:color="auto" w:frame="1"/>
          <w:lang w:eastAsia="en-AU"/>
        </w:rPr>
        <w:t>(2)Na++e−</w:t>
      </w:r>
      <w:r w:rsidRPr="00B64D05">
        <w:rPr>
          <w:rFonts w:ascii="Cambria Math" w:eastAsia="Times New Roman" w:hAnsi="Cambria Math" w:cs="Cambria Math"/>
          <w:color w:val="000000"/>
          <w:sz w:val="26"/>
          <w:szCs w:val="26"/>
          <w:bdr w:val="none" w:sz="0" w:space="0" w:color="auto" w:frame="1"/>
          <w:lang w:eastAsia="en-AU"/>
        </w:rPr>
        <w:t>⇌</w:t>
      </w:r>
      <w:r w:rsidRPr="00B64D05">
        <w:rPr>
          <w:rFonts w:ascii="Tahoma" w:eastAsia="Times New Roman" w:hAnsi="Tahoma" w:cs="Tahoma"/>
          <w:color w:val="000000"/>
          <w:sz w:val="26"/>
          <w:szCs w:val="26"/>
          <w:bdr w:val="none" w:sz="0" w:space="0" w:color="auto" w:frame="1"/>
          <w:lang w:eastAsia="en-AU"/>
        </w:rPr>
        <w:t>Na(s)</w:t>
      </w:r>
    </w:p>
    <w:p w:rsidR="00B64D05" w:rsidRPr="00B64D05" w:rsidRDefault="00B64D05" w:rsidP="00B64D05">
      <w:pPr>
        <w:numPr>
          <w:ilvl w:val="0"/>
          <w:numId w:val="1"/>
        </w:numPr>
        <w:shd w:val="clear" w:color="auto" w:fill="FFFFFF"/>
        <w:spacing w:before="60" w:after="60" w:line="240" w:lineRule="auto"/>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The negative Chlorine ions migrate towards the anode and release electrons as they oxidize to form chlorine atoms. The chlorine atoms will combine together to form chlorine gas which will bubble away.</w:t>
      </w:r>
    </w:p>
    <w:p w:rsidR="00B64D05" w:rsidRPr="00B64D05" w:rsidRDefault="00B64D05" w:rsidP="00B64D05">
      <w:pPr>
        <w:shd w:val="clear" w:color="auto" w:fill="FFFFFF"/>
        <w:spacing w:line="240" w:lineRule="auto"/>
        <w:ind w:left="720"/>
        <w:jc w:val="center"/>
        <w:rPr>
          <w:rFonts w:ascii="Tahoma" w:eastAsia="Times New Roman" w:hAnsi="Tahoma" w:cs="Tahoma"/>
          <w:color w:val="000000"/>
          <w:sz w:val="24"/>
          <w:szCs w:val="24"/>
          <w:lang w:eastAsia="en-AU"/>
        </w:rPr>
      </w:pPr>
      <w:r w:rsidRPr="00B64D05">
        <w:rPr>
          <w:rFonts w:ascii="MathJax_Main" w:eastAsia="Times New Roman" w:hAnsi="MathJax_Main" w:cs="Tahoma"/>
          <w:color w:val="000000"/>
          <w:sz w:val="28"/>
          <w:szCs w:val="28"/>
          <w:bdr w:val="none" w:sz="0" w:space="0" w:color="auto" w:frame="1"/>
          <w:lang w:eastAsia="en-AU"/>
        </w:rPr>
        <w:t>2</w:t>
      </w:r>
      <w:r w:rsidRPr="00B64D05">
        <w:rPr>
          <w:rFonts w:ascii="MathJax_Math-italic" w:eastAsia="Times New Roman" w:hAnsi="MathJax_Math-italic" w:cs="Tahoma"/>
          <w:color w:val="000000"/>
          <w:sz w:val="28"/>
          <w:szCs w:val="28"/>
          <w:bdr w:val="none" w:sz="0" w:space="0" w:color="auto" w:frame="1"/>
          <w:lang w:eastAsia="en-AU"/>
        </w:rPr>
        <w:t>Cl</w:t>
      </w:r>
      <w:r w:rsidRPr="00B64D05">
        <w:rPr>
          <w:rFonts w:ascii="MathJax_Main" w:eastAsia="Times New Roman" w:hAnsi="MathJax_Main" w:cs="Tahoma"/>
          <w:color w:val="000000"/>
          <w:sz w:val="20"/>
          <w:szCs w:val="20"/>
          <w:bdr w:val="none" w:sz="0" w:space="0" w:color="auto" w:frame="1"/>
          <w:lang w:eastAsia="en-AU"/>
        </w:rPr>
        <w:t>−</w:t>
      </w:r>
      <w:r w:rsidRPr="00B64D05">
        <w:rPr>
          <w:rFonts w:ascii="Cambria Math" w:eastAsia="Times New Roman" w:hAnsi="Cambria Math" w:cs="Cambria Math"/>
          <w:color w:val="000000"/>
          <w:sz w:val="28"/>
          <w:szCs w:val="28"/>
          <w:bdr w:val="none" w:sz="0" w:space="0" w:color="auto" w:frame="1"/>
          <w:lang w:eastAsia="en-AU"/>
        </w:rPr>
        <w:t>⇌</w:t>
      </w:r>
      <w:proofErr w:type="gramStart"/>
      <w:r w:rsidRPr="00B64D05">
        <w:rPr>
          <w:rFonts w:ascii="MathJax_Math-italic" w:eastAsia="Times New Roman" w:hAnsi="MathJax_Math-italic" w:cs="Tahoma"/>
          <w:color w:val="000000"/>
          <w:sz w:val="28"/>
          <w:szCs w:val="28"/>
          <w:bdr w:val="none" w:sz="0" w:space="0" w:color="auto" w:frame="1"/>
          <w:lang w:eastAsia="en-AU"/>
        </w:rPr>
        <w:t>Cl</w:t>
      </w:r>
      <w:r w:rsidRPr="00B64D05">
        <w:rPr>
          <w:rFonts w:ascii="MathJax_Main" w:eastAsia="Times New Roman" w:hAnsi="MathJax_Main" w:cs="Tahoma"/>
          <w:color w:val="000000"/>
          <w:sz w:val="20"/>
          <w:szCs w:val="20"/>
          <w:bdr w:val="none" w:sz="0" w:space="0" w:color="auto" w:frame="1"/>
          <w:lang w:eastAsia="en-AU"/>
        </w:rPr>
        <w:t>2(</w:t>
      </w:r>
      <w:proofErr w:type="gramEnd"/>
      <w:r w:rsidRPr="00B64D05">
        <w:rPr>
          <w:rFonts w:ascii="MathJax_Math-italic" w:eastAsia="Times New Roman" w:hAnsi="MathJax_Math-italic" w:cs="Tahoma"/>
          <w:color w:val="000000"/>
          <w:sz w:val="20"/>
          <w:szCs w:val="20"/>
          <w:bdr w:val="none" w:sz="0" w:space="0" w:color="auto" w:frame="1"/>
          <w:lang w:eastAsia="en-AU"/>
        </w:rPr>
        <w:t>g</w:t>
      </w:r>
      <w:r w:rsidRPr="00B64D05">
        <w:rPr>
          <w:rFonts w:ascii="MathJax_Main" w:eastAsia="Times New Roman" w:hAnsi="MathJax_Main" w:cs="Tahoma"/>
          <w:color w:val="000000"/>
          <w:sz w:val="20"/>
          <w:szCs w:val="20"/>
          <w:bdr w:val="none" w:sz="0" w:space="0" w:color="auto" w:frame="1"/>
          <w:lang w:eastAsia="en-AU"/>
        </w:rPr>
        <w:t>)</w:t>
      </w:r>
      <w:r w:rsidRPr="00B64D05">
        <w:rPr>
          <w:rFonts w:ascii="MathJax_Main" w:eastAsia="Times New Roman" w:hAnsi="MathJax_Main" w:cs="Tahoma"/>
          <w:color w:val="000000"/>
          <w:sz w:val="28"/>
          <w:szCs w:val="28"/>
          <w:bdr w:val="none" w:sz="0" w:space="0" w:color="auto" w:frame="1"/>
          <w:lang w:eastAsia="en-AU"/>
        </w:rPr>
        <w:t>+2</w:t>
      </w:r>
      <w:r w:rsidRPr="00B64D05">
        <w:rPr>
          <w:rFonts w:ascii="MathJax_Math-italic" w:eastAsia="Times New Roman" w:hAnsi="MathJax_Math-italic" w:cs="Tahoma"/>
          <w:color w:val="000000"/>
          <w:sz w:val="28"/>
          <w:szCs w:val="28"/>
          <w:bdr w:val="none" w:sz="0" w:space="0" w:color="auto" w:frame="1"/>
          <w:lang w:eastAsia="en-AU"/>
        </w:rPr>
        <w:t>e</w:t>
      </w:r>
      <w:r w:rsidRPr="00B64D05">
        <w:rPr>
          <w:rFonts w:ascii="MathJax_Main" w:eastAsia="Times New Roman" w:hAnsi="MathJax_Main" w:cs="Tahoma"/>
          <w:color w:val="000000"/>
          <w:sz w:val="20"/>
          <w:szCs w:val="20"/>
          <w:bdr w:val="none" w:sz="0" w:space="0" w:color="auto" w:frame="1"/>
          <w:lang w:eastAsia="en-AU"/>
        </w:rPr>
        <w:t>−</w:t>
      </w:r>
      <w:r w:rsidRPr="00B64D05">
        <w:rPr>
          <w:rFonts w:ascii="MathJax_Main" w:eastAsia="Times New Roman" w:hAnsi="MathJax_Main" w:cs="Tahoma"/>
          <w:color w:val="000000"/>
          <w:sz w:val="28"/>
          <w:szCs w:val="28"/>
          <w:bdr w:val="none" w:sz="0" w:space="0" w:color="auto" w:frame="1"/>
          <w:lang w:eastAsia="en-AU"/>
        </w:rPr>
        <w:t>(3)</w:t>
      </w:r>
      <w:r w:rsidRPr="00B64D05">
        <w:rPr>
          <w:rFonts w:ascii="Tahoma" w:eastAsia="Times New Roman" w:hAnsi="Tahoma" w:cs="Tahoma"/>
          <w:color w:val="000000"/>
          <w:sz w:val="26"/>
          <w:szCs w:val="26"/>
          <w:bdr w:val="none" w:sz="0" w:space="0" w:color="auto" w:frame="1"/>
          <w:lang w:eastAsia="en-AU"/>
        </w:rPr>
        <w:t>(3)2Cl−</w:t>
      </w:r>
      <w:r w:rsidRPr="00B64D05">
        <w:rPr>
          <w:rFonts w:ascii="Cambria Math" w:eastAsia="Times New Roman" w:hAnsi="Cambria Math" w:cs="Cambria Math"/>
          <w:color w:val="000000"/>
          <w:sz w:val="26"/>
          <w:szCs w:val="26"/>
          <w:bdr w:val="none" w:sz="0" w:space="0" w:color="auto" w:frame="1"/>
          <w:lang w:eastAsia="en-AU"/>
        </w:rPr>
        <w:t>⇌</w:t>
      </w:r>
      <w:r w:rsidRPr="00B64D05">
        <w:rPr>
          <w:rFonts w:ascii="Tahoma" w:eastAsia="Times New Roman" w:hAnsi="Tahoma" w:cs="Tahoma"/>
          <w:color w:val="000000"/>
          <w:sz w:val="26"/>
          <w:szCs w:val="26"/>
          <w:bdr w:val="none" w:sz="0" w:space="0" w:color="auto" w:frame="1"/>
          <w:lang w:eastAsia="en-AU"/>
        </w:rPr>
        <w:t>Cl2(g)+2e−</w:t>
      </w:r>
    </w:p>
    <w:p w:rsidR="00B64D05" w:rsidRPr="00B64D05" w:rsidRDefault="00B64D05" w:rsidP="00B64D05">
      <w:pPr>
        <w:numPr>
          <w:ilvl w:val="0"/>
          <w:numId w:val="1"/>
        </w:numPr>
        <w:shd w:val="clear" w:color="auto" w:fill="FFFFFF"/>
        <w:spacing w:before="60" w:after="60" w:line="240" w:lineRule="auto"/>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Note that the site of oxidation is still the anode and the site of reduction is still the cathode, but the charge on these two electrodes are reversed. Anode is now </w:t>
      </w:r>
      <w:r w:rsidRPr="00B64D05">
        <w:rPr>
          <w:rFonts w:ascii="Tahoma" w:eastAsia="Times New Roman" w:hAnsi="Tahoma" w:cs="Tahoma"/>
          <w:i/>
          <w:iCs/>
          <w:color w:val="000000"/>
          <w:sz w:val="24"/>
          <w:szCs w:val="24"/>
          <w:lang w:eastAsia="en-AU"/>
        </w:rPr>
        <w:t>positive </w:t>
      </w:r>
      <w:r w:rsidRPr="00B64D05">
        <w:rPr>
          <w:rFonts w:ascii="Tahoma" w:eastAsia="Times New Roman" w:hAnsi="Tahoma" w:cs="Tahoma"/>
          <w:color w:val="000000"/>
          <w:sz w:val="24"/>
          <w:szCs w:val="24"/>
          <w:lang w:eastAsia="en-AU"/>
        </w:rPr>
        <w:t>charged and the cathode has a </w:t>
      </w:r>
      <w:r w:rsidRPr="00B64D05">
        <w:rPr>
          <w:rFonts w:ascii="Tahoma" w:eastAsia="Times New Roman" w:hAnsi="Tahoma" w:cs="Tahoma"/>
          <w:i/>
          <w:iCs/>
          <w:color w:val="000000"/>
          <w:sz w:val="24"/>
          <w:szCs w:val="24"/>
          <w:lang w:eastAsia="en-AU"/>
        </w:rPr>
        <w:t>negative </w:t>
      </w:r>
      <w:r w:rsidRPr="00B64D05">
        <w:rPr>
          <w:rFonts w:ascii="Tahoma" w:eastAsia="Times New Roman" w:hAnsi="Tahoma" w:cs="Tahoma"/>
          <w:color w:val="000000"/>
          <w:sz w:val="24"/>
          <w:szCs w:val="24"/>
          <w:lang w:eastAsia="en-AU"/>
        </w:rPr>
        <w:t>charged.</w:t>
      </w:r>
    </w:p>
    <w:p w:rsidR="00B64D05" w:rsidRPr="00B64D05" w:rsidRDefault="00B64D05" w:rsidP="00B64D05">
      <w:pPr>
        <w:numPr>
          <w:ilvl w:val="0"/>
          <w:numId w:val="1"/>
        </w:numPr>
        <w:shd w:val="clear" w:color="auto" w:fill="FFFFFF"/>
        <w:spacing w:before="60" w:after="60" w:line="240" w:lineRule="auto"/>
        <w:rPr>
          <w:rFonts w:ascii="Tahoma" w:eastAsia="Times New Roman" w:hAnsi="Tahoma" w:cs="Tahoma"/>
          <w:color w:val="000000"/>
          <w:sz w:val="24"/>
          <w:szCs w:val="24"/>
          <w:lang w:eastAsia="en-AU"/>
        </w:rPr>
      </w:pPr>
      <w:r w:rsidRPr="00B64D05">
        <w:rPr>
          <w:rFonts w:ascii="Tahoma" w:eastAsia="Times New Roman" w:hAnsi="Tahoma" w:cs="Tahoma"/>
          <w:color w:val="000000"/>
          <w:sz w:val="24"/>
          <w:szCs w:val="24"/>
          <w:lang w:eastAsia="en-AU"/>
        </w:rPr>
        <w:t xml:space="preserve">The conditions under which the electrolyte cell operates are very important. The substance that is the strongest reducing agent (the substance with the highest standard cell potential value in the table) will undergo oxidation. The substance that is the strongest oxidizing agent will be reduced. If an aqueous solution of sodium chloride were used in the above </w:t>
      </w:r>
      <w:r w:rsidRPr="00B64D05">
        <w:rPr>
          <w:rFonts w:ascii="Tahoma" w:eastAsia="Times New Roman" w:hAnsi="Tahoma" w:cs="Tahoma"/>
          <w:color w:val="000000"/>
          <w:sz w:val="24"/>
          <w:szCs w:val="24"/>
          <w:lang w:eastAsia="en-AU"/>
        </w:rPr>
        <w:lastRenderedPageBreak/>
        <w:t>system, hydrogen would undergo reduction instead of sodium, because it is a stronger oxidizing agent that sodium.</w:t>
      </w:r>
    </w:p>
    <w:p w:rsidR="009F2F6C" w:rsidRDefault="009F2F6C"/>
    <w:p w:rsidR="00B64D05" w:rsidRDefault="00B64D05" w:rsidP="00B64D05">
      <w:pPr>
        <w:jc w:val="center"/>
      </w:pPr>
      <w:bookmarkStart w:id="0" w:name="_GoBack"/>
      <w:r>
        <w:rPr>
          <w:noProof/>
          <w:lang w:eastAsia="en-AU"/>
        </w:rPr>
        <w:drawing>
          <wp:inline distT="0" distB="0" distL="0" distR="0" wp14:anchorId="61CCCB35" wp14:editId="7A1C98DC">
            <wp:extent cx="5162550" cy="409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2550" cy="4095750"/>
                    </a:xfrm>
                    <a:prstGeom prst="rect">
                      <a:avLst/>
                    </a:prstGeom>
                  </pic:spPr>
                </pic:pic>
              </a:graphicData>
            </a:graphic>
          </wp:inline>
        </w:drawing>
      </w:r>
      <w:bookmarkEnd w:id="0"/>
    </w:p>
    <w:p w:rsidR="009F2F6C" w:rsidRDefault="009F2F6C"/>
    <w:p w:rsidR="001D7090" w:rsidRDefault="001D7090"/>
    <w:p w:rsidR="002E0569" w:rsidRDefault="002E0569"/>
    <w:sectPr w:rsidR="002E0569" w:rsidSect="002E056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720BA2"/>
    <w:multiLevelType w:val="multilevel"/>
    <w:tmpl w:val="CEC2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569"/>
    <w:rsid w:val="001211CD"/>
    <w:rsid w:val="001D7090"/>
    <w:rsid w:val="002E0569"/>
    <w:rsid w:val="009F2F6C"/>
    <w:rsid w:val="00B64D05"/>
    <w:rsid w:val="00D41DB1"/>
    <w:rsid w:val="00E72C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5C85D"/>
  <w15:chartTrackingRefBased/>
  <w15:docId w15:val="{4BC50E9E-975A-483C-8FD8-306FAC3A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F2F6C"/>
    <w:rPr>
      <w:i/>
      <w:iCs/>
    </w:rPr>
  </w:style>
  <w:style w:type="paragraph" w:styleId="NormalWeb">
    <w:name w:val="Normal (Web)"/>
    <w:basedOn w:val="Normal"/>
    <w:uiPriority w:val="99"/>
    <w:semiHidden/>
    <w:unhideWhenUsed/>
    <w:rsid w:val="00B64D0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mo">
    <w:name w:val="mo"/>
    <w:basedOn w:val="DefaultParagraphFont"/>
    <w:rsid w:val="00B64D05"/>
  </w:style>
  <w:style w:type="character" w:customStyle="1" w:styleId="mjxassistivemathml">
    <w:name w:val="mjx_assistive_mathml"/>
    <w:basedOn w:val="DefaultParagraphFont"/>
    <w:rsid w:val="00B64D05"/>
  </w:style>
  <w:style w:type="character" w:customStyle="1" w:styleId="mi">
    <w:name w:val="mi"/>
    <w:basedOn w:val="DefaultParagraphFont"/>
    <w:rsid w:val="00B64D05"/>
  </w:style>
  <w:style w:type="character" w:customStyle="1" w:styleId="mtext">
    <w:name w:val="mtext"/>
    <w:basedOn w:val="DefaultParagraphFont"/>
    <w:rsid w:val="00B64D05"/>
  </w:style>
  <w:style w:type="character" w:customStyle="1" w:styleId="mn">
    <w:name w:val="mn"/>
    <w:basedOn w:val="DefaultParagraphFont"/>
    <w:rsid w:val="00B64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859737">
      <w:bodyDiv w:val="1"/>
      <w:marLeft w:val="0"/>
      <w:marRight w:val="0"/>
      <w:marTop w:val="0"/>
      <w:marBottom w:val="0"/>
      <w:divBdr>
        <w:top w:val="none" w:sz="0" w:space="0" w:color="auto"/>
        <w:left w:val="none" w:sz="0" w:space="0" w:color="auto"/>
        <w:bottom w:val="none" w:sz="0" w:space="0" w:color="auto"/>
        <w:right w:val="none" w:sz="0" w:space="0" w:color="auto"/>
      </w:divBdr>
      <w:divsChild>
        <w:div w:id="55666045">
          <w:marLeft w:val="0"/>
          <w:marRight w:val="0"/>
          <w:marTop w:val="240"/>
          <w:marBottom w:val="240"/>
          <w:divBdr>
            <w:top w:val="none" w:sz="0" w:space="0" w:color="auto"/>
            <w:left w:val="none" w:sz="0" w:space="0" w:color="auto"/>
            <w:bottom w:val="none" w:sz="0" w:space="0" w:color="auto"/>
            <w:right w:val="none" w:sz="0" w:space="0" w:color="auto"/>
          </w:divBdr>
        </w:div>
        <w:div w:id="964696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John [Narrogin Senior High School]</dc:creator>
  <cp:keywords/>
  <dc:description/>
  <cp:lastModifiedBy>JOHNSON John [Narrogin Senior High School]</cp:lastModifiedBy>
  <cp:revision>6</cp:revision>
  <dcterms:created xsi:type="dcterms:W3CDTF">2022-05-09T02:50:00Z</dcterms:created>
  <dcterms:modified xsi:type="dcterms:W3CDTF">2022-05-09T02:57:00Z</dcterms:modified>
</cp:coreProperties>
</file>