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25C" w:rsidRDefault="00D4125C" w:rsidP="00D4125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15</w:t>
      </w:r>
    </w:p>
    <w:p w:rsidR="00D4125C" w:rsidRDefault="00D4125C" w:rsidP="00D4125C"/>
    <w:p w:rsidR="00D4125C" w:rsidRDefault="00D4125C" w:rsidP="00D4125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Extended Answer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Allergies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5%</w:t>
      </w:r>
    </w:p>
    <w:p w:rsidR="00D4125C" w:rsidRDefault="00D4125C" w:rsidP="00D4125C">
      <w:pPr>
        <w:rPr>
          <w:b/>
          <w:sz w:val="36"/>
          <w:szCs w:val="36"/>
        </w:rPr>
      </w:pPr>
    </w:p>
    <w:p w:rsidR="00D4125C" w:rsidRDefault="00D4125C" w:rsidP="00D4125C">
      <w:pPr>
        <w:rPr>
          <w:b/>
        </w:rPr>
      </w:pPr>
      <w:r>
        <w:rPr>
          <w:b/>
        </w:rPr>
        <w:t>Objectives/Lesson Intentions</w:t>
      </w:r>
    </w:p>
    <w:p w:rsidR="00F00596" w:rsidRDefault="00F00596"/>
    <w:p w:rsidR="00BF09D3" w:rsidRDefault="00BF09D3"/>
    <w:p w:rsidR="0093178F" w:rsidRPr="00242FD8" w:rsidRDefault="0093178F" w:rsidP="0093178F">
      <w:pPr>
        <w:pStyle w:val="Heading5"/>
      </w:pPr>
      <w:r w:rsidRPr="00242FD8">
        <w:t>Vaccines and immunology</w:t>
      </w:r>
    </w:p>
    <w:p w:rsidR="00BF09D3" w:rsidRDefault="0093178F" w:rsidP="0093178F">
      <w:pPr>
        <w:pStyle w:val="ListItem"/>
        <w:ind w:left="426" w:hanging="398"/>
      </w:pPr>
      <w:r w:rsidRPr="006A3F69">
        <w:t>inherent responses in humans target pathogens, including through the inflammatory response</w:t>
      </w:r>
      <w:r>
        <w:t>,</w:t>
      </w:r>
      <w:r w:rsidRPr="006A3F69">
        <w:t xml:space="preserve"> which involves the actions and components of the circulatory system</w:t>
      </w:r>
      <w:bookmarkStart w:id="0" w:name="_GoBack"/>
      <w:bookmarkEnd w:id="0"/>
    </w:p>
    <w:p w:rsidR="00BF09D3" w:rsidRPr="003566C9" w:rsidRDefault="00BF09D3" w:rsidP="00BF09D3">
      <w:pPr>
        <w:pStyle w:val="Heading3"/>
      </w:pPr>
      <w:r w:rsidRPr="006F09DD">
        <w:t>Science as a Human Endeavour</w:t>
      </w:r>
    </w:p>
    <w:p w:rsidR="00BF09D3" w:rsidRPr="006F09DD" w:rsidRDefault="00BF09D3" w:rsidP="00BF09D3">
      <w:pPr>
        <w:pStyle w:val="ListItem"/>
        <w:ind w:left="426" w:hanging="398"/>
      </w:pPr>
      <w:r>
        <w:t>the ‘hygiene hypothesis’</w:t>
      </w:r>
      <w:r w:rsidRPr="006F09DD">
        <w:t xml:space="preserve"> proposes that the increase in allergy disorders in modern society, is a consequence of decreased exposure to infection in early childhood</w:t>
      </w:r>
    </w:p>
    <w:p w:rsidR="00BF09D3" w:rsidRDefault="00BF09D3"/>
    <w:sectPr w:rsidR="00BF09D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82F"/>
    <w:rsid w:val="0093178F"/>
    <w:rsid w:val="00BF09D3"/>
    <w:rsid w:val="00D4125C"/>
    <w:rsid w:val="00EC282F"/>
    <w:rsid w:val="00F0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2C29F"/>
  <w15:chartTrackingRefBased/>
  <w15:docId w15:val="{BC9F312E-0FDF-4A25-8C26-DB84505D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25C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9D3"/>
    <w:pPr>
      <w:spacing w:before="240" w:after="60" w:line="264" w:lineRule="auto"/>
      <w:outlineLvl w:val="2"/>
    </w:pPr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317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09D3"/>
    <w:rPr>
      <w:rFonts w:ascii="Calibri" w:eastAsiaTheme="minorEastAsia" w:hAnsi="Calibri" w:cstheme="minorBidi"/>
      <w:b/>
      <w:bCs/>
      <w:color w:val="595959" w:themeColor="text1" w:themeTint="A6"/>
      <w:sz w:val="26"/>
      <w:szCs w:val="26"/>
      <w:lang w:eastAsia="en-US"/>
    </w:rPr>
  </w:style>
  <w:style w:type="paragraph" w:customStyle="1" w:styleId="ListItem">
    <w:name w:val="List Item"/>
    <w:basedOn w:val="Normal"/>
    <w:link w:val="ListItemChar"/>
    <w:qFormat/>
    <w:rsid w:val="00BF09D3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BF09D3"/>
    <w:rPr>
      <w:rFonts w:ascii="Calibri" w:eastAsiaTheme="minorHAnsi" w:hAnsi="Calibri" w:cs="Calibri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93178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5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>Department of Education Western Australia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5</cp:revision>
  <dcterms:created xsi:type="dcterms:W3CDTF">2021-07-01T03:02:00Z</dcterms:created>
  <dcterms:modified xsi:type="dcterms:W3CDTF">2021-07-20T04:14:00Z</dcterms:modified>
</cp:coreProperties>
</file>