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0CF0" w:rsidRPr="00120CF0" w:rsidRDefault="00120CF0" w:rsidP="00120CF0">
      <w:pPr>
        <w:spacing w:before="100" w:beforeAutospacing="1" w:after="100" w:afterAutospacing="1" w:line="240" w:lineRule="auto"/>
        <w:jc w:val="both"/>
        <w:outlineLvl w:val="0"/>
        <w:rPr>
          <w:rFonts w:ascii="Arial" w:eastAsia="Times New Roman" w:hAnsi="Arial" w:cs="Arial"/>
          <w:b/>
          <w:bCs/>
          <w:kern w:val="36"/>
          <w:sz w:val="24"/>
          <w:szCs w:val="24"/>
        </w:rPr>
      </w:pPr>
      <w:r w:rsidRPr="00120CF0">
        <w:rPr>
          <w:rFonts w:ascii="Arial" w:eastAsia="Times New Roman" w:hAnsi="Arial" w:cs="Arial"/>
          <w:b/>
          <w:bCs/>
          <w:kern w:val="36"/>
          <w:sz w:val="24"/>
          <w:szCs w:val="24"/>
        </w:rPr>
        <w:t>Kant's Moral Philosophy</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Immanuel Kant (1724–1804) argued that the supreme principle of morality is a standard of rationality that he dubbed the “Categorical Imperative” (CI). Kant characterized the CI as an objective, rationally necessary and unconditional principle that we must always follow despite any natural desires or inclinations we may have to the contrary. All specific moral requirements, according to Kant, are justified by this principle, which means that all immoral actions are irrational because they violate the CI. Other philosophers, such as Hobbes, Locke and Aquinas, had also argued that moral requirements are based on standards of rationality. However, these standards were either instrumental principles of rationality for satisfying one’s desires, as in Hobbes, or external rational principles that are discoverable by reason, as in Locke and Aquinas. Kant agreed with many of his predecessors that an analysis of practical reason reveals the requirement that rational agents must conform to instrumental principles. Yet he also argued that conformity to the CI (a non-instrumental principle), and hence to moral requirements themselves, can nevertheless be shown to be essential to rational agency. This argument was based on his striking doctrine that a rational will must be regarded as autonomous, or free, in the sense of being the author of the law that binds it. The fundamental principle of morality — the CI — is none other than the law of an autonomous will. Thus, at the heart of Kant’s moral philosophy is a conception of reason whose reach in practical affairs goes well beyond that of a </w:t>
      </w:r>
      <w:proofErr w:type="spellStart"/>
      <w:r w:rsidRPr="00120CF0">
        <w:rPr>
          <w:rFonts w:ascii="Arial" w:eastAsia="Times New Roman" w:hAnsi="Arial" w:cs="Arial"/>
          <w:sz w:val="24"/>
          <w:szCs w:val="24"/>
        </w:rPr>
        <w:t>Humean</w:t>
      </w:r>
      <w:proofErr w:type="spellEnd"/>
      <w:r w:rsidRPr="00120CF0">
        <w:rPr>
          <w:rFonts w:ascii="Arial" w:eastAsia="Times New Roman" w:hAnsi="Arial" w:cs="Arial"/>
          <w:sz w:val="24"/>
          <w:szCs w:val="24"/>
        </w:rPr>
        <w:t xml:space="preserve"> ‘slave’ to the passions. Moreover, it is the presence of this self-governing reason in each person that Kant thought offered decisive grounds for viewing each as possessed of equal worth and deserving of equal respect.</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Kant’s most influential positions in moral philosophy are found in </w:t>
      </w:r>
      <w:r w:rsidRPr="00120CF0">
        <w:rPr>
          <w:rFonts w:ascii="Arial" w:eastAsia="Times New Roman" w:hAnsi="Arial" w:cs="Arial"/>
          <w:i/>
          <w:iCs/>
          <w:sz w:val="24"/>
          <w:szCs w:val="24"/>
        </w:rPr>
        <w:t>The Groundwork of the Metaphysics of Morals</w:t>
      </w:r>
      <w:r w:rsidRPr="00120CF0">
        <w:rPr>
          <w:rFonts w:ascii="Arial" w:eastAsia="Times New Roman" w:hAnsi="Arial" w:cs="Arial"/>
          <w:sz w:val="24"/>
          <w:szCs w:val="24"/>
        </w:rPr>
        <w:t xml:space="preserve"> (hereafter, “</w:t>
      </w:r>
      <w:r w:rsidRPr="00120CF0">
        <w:rPr>
          <w:rFonts w:ascii="Arial" w:eastAsia="Times New Roman" w:hAnsi="Arial" w:cs="Arial"/>
          <w:i/>
          <w:iCs/>
          <w:sz w:val="24"/>
          <w:szCs w:val="24"/>
        </w:rPr>
        <w:t>Groundwork</w:t>
      </w:r>
      <w:r w:rsidRPr="00120CF0">
        <w:rPr>
          <w:rFonts w:ascii="Arial" w:eastAsia="Times New Roman" w:hAnsi="Arial" w:cs="Arial"/>
          <w:sz w:val="24"/>
          <w:szCs w:val="24"/>
        </w:rPr>
        <w:t xml:space="preserve">”) but he developed, enriched, and in some cases modified those views in later works such as </w:t>
      </w:r>
      <w:r w:rsidRPr="00120CF0">
        <w:rPr>
          <w:rFonts w:ascii="Arial" w:eastAsia="Times New Roman" w:hAnsi="Arial" w:cs="Arial"/>
          <w:i/>
          <w:iCs/>
          <w:sz w:val="24"/>
          <w:szCs w:val="24"/>
        </w:rPr>
        <w:t>The Critique of Practical Reason</w:t>
      </w:r>
      <w:r w:rsidRPr="00120CF0">
        <w:rPr>
          <w:rFonts w:ascii="Arial" w:eastAsia="Times New Roman" w:hAnsi="Arial" w:cs="Arial"/>
          <w:sz w:val="24"/>
          <w:szCs w:val="24"/>
        </w:rPr>
        <w:t xml:space="preserve">, </w:t>
      </w:r>
      <w:r w:rsidRPr="00120CF0">
        <w:rPr>
          <w:rFonts w:ascii="Arial" w:eastAsia="Times New Roman" w:hAnsi="Arial" w:cs="Arial"/>
          <w:i/>
          <w:iCs/>
          <w:sz w:val="24"/>
          <w:szCs w:val="24"/>
        </w:rPr>
        <w:t>The Metaphysics of Morals</w:t>
      </w:r>
      <w:r w:rsidRPr="00120CF0">
        <w:rPr>
          <w:rFonts w:ascii="Arial" w:eastAsia="Times New Roman" w:hAnsi="Arial" w:cs="Arial"/>
          <w:sz w:val="24"/>
          <w:szCs w:val="24"/>
        </w:rPr>
        <w:t xml:space="preserve">, </w:t>
      </w:r>
      <w:r w:rsidRPr="00120CF0">
        <w:rPr>
          <w:rFonts w:ascii="Arial" w:eastAsia="Times New Roman" w:hAnsi="Arial" w:cs="Arial"/>
          <w:i/>
          <w:iCs/>
          <w:sz w:val="24"/>
          <w:szCs w:val="24"/>
        </w:rPr>
        <w:t>Anthropology from a Pragmatic Point of View</w:t>
      </w:r>
      <w:r w:rsidRPr="00120CF0">
        <w:rPr>
          <w:rFonts w:ascii="Arial" w:eastAsia="Times New Roman" w:hAnsi="Arial" w:cs="Arial"/>
          <w:sz w:val="24"/>
          <w:szCs w:val="24"/>
        </w:rPr>
        <w:t xml:space="preserve">, </w:t>
      </w:r>
      <w:r w:rsidRPr="00120CF0">
        <w:rPr>
          <w:rFonts w:ascii="Arial" w:eastAsia="Times New Roman" w:hAnsi="Arial" w:cs="Arial"/>
          <w:i/>
          <w:iCs/>
          <w:sz w:val="24"/>
          <w:szCs w:val="24"/>
        </w:rPr>
        <w:t>Religion within the Boundaries of Mere Reason</w:t>
      </w:r>
      <w:r w:rsidRPr="00120CF0">
        <w:rPr>
          <w:rFonts w:ascii="Arial" w:eastAsia="Times New Roman" w:hAnsi="Arial" w:cs="Arial"/>
          <w:sz w:val="24"/>
          <w:szCs w:val="24"/>
        </w:rPr>
        <w:t xml:space="preserve"> as well as his essays on history and related topics. Kant’s </w:t>
      </w:r>
      <w:r w:rsidRPr="00120CF0">
        <w:rPr>
          <w:rFonts w:ascii="Arial" w:eastAsia="Times New Roman" w:hAnsi="Arial" w:cs="Arial"/>
          <w:i/>
          <w:iCs/>
          <w:sz w:val="24"/>
          <w:szCs w:val="24"/>
        </w:rPr>
        <w:t>Lectures on Ethics</w:t>
      </w:r>
      <w:r w:rsidRPr="00120CF0">
        <w:rPr>
          <w:rFonts w:ascii="Arial" w:eastAsia="Times New Roman" w:hAnsi="Arial" w:cs="Arial"/>
          <w:sz w:val="24"/>
          <w:szCs w:val="24"/>
        </w:rPr>
        <w:t xml:space="preserve">, which were lecture notes taken by three of his students on the courses he gave in moral philosophy, also include relevant material for understanding his views. We will mainly focus on the foundational doctrines of the </w:t>
      </w:r>
      <w:r w:rsidRPr="00120CF0">
        <w:rPr>
          <w:rFonts w:ascii="Arial" w:eastAsia="Times New Roman" w:hAnsi="Arial" w:cs="Arial"/>
          <w:i/>
          <w:iCs/>
          <w:sz w:val="24"/>
          <w:szCs w:val="24"/>
        </w:rPr>
        <w:t>Groundwork</w:t>
      </w:r>
      <w:r w:rsidRPr="00120CF0">
        <w:rPr>
          <w:rFonts w:ascii="Arial" w:eastAsia="Times New Roman" w:hAnsi="Arial" w:cs="Arial"/>
          <w:sz w:val="24"/>
          <w:szCs w:val="24"/>
        </w:rPr>
        <w:t>, even though in recent years some scholars have become dissatisfied with this standard approach to Kant’s views and have turned their attention to the later works. We find the standard approach most illuminating, though we will highlight important positions from the later works where needed.</w:t>
      </w:r>
    </w:p>
    <w:p w:rsidR="00120CF0" w:rsidRPr="00120CF0" w:rsidRDefault="00120CF0" w:rsidP="00120CF0">
      <w:pPr>
        <w:spacing w:before="100" w:beforeAutospacing="1" w:after="100" w:afterAutospacing="1" w:line="240" w:lineRule="auto"/>
        <w:jc w:val="both"/>
        <w:outlineLvl w:val="0"/>
        <w:rPr>
          <w:rFonts w:ascii="Arial" w:eastAsia="Times New Roman" w:hAnsi="Arial" w:cs="Arial"/>
          <w:b/>
          <w:bCs/>
          <w:kern w:val="36"/>
          <w:sz w:val="24"/>
          <w:szCs w:val="24"/>
        </w:rPr>
      </w:pPr>
      <w:r w:rsidRPr="00120CF0">
        <w:rPr>
          <w:rFonts w:ascii="Arial" w:eastAsia="Times New Roman" w:hAnsi="Arial" w:cs="Arial"/>
          <w:b/>
          <w:bCs/>
          <w:kern w:val="36"/>
          <w:sz w:val="24"/>
          <w:szCs w:val="24"/>
        </w:rPr>
        <w:t>Erik Erikson</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Erik Erikson (1950, 1963) proposed a psychoanalytic theory of psychosocial development comprising eight stages from infancy to adulthood. During each stage, the person experiences a psychosocial crisis which could have a positive or negative outcome for personality development.</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Erikson's ideas were greatly influenced by Freud, going along with Freud’s (1923) theory regarding the structure and topography of personality. However, whereas </w:t>
      </w:r>
      <w:hyperlink r:id="rId6" w:history="1">
        <w:r w:rsidRPr="00120CF0">
          <w:rPr>
            <w:rFonts w:ascii="Arial" w:eastAsia="Times New Roman" w:hAnsi="Arial" w:cs="Arial"/>
            <w:color w:val="0000FF"/>
            <w:sz w:val="24"/>
            <w:szCs w:val="24"/>
            <w:u w:val="single"/>
          </w:rPr>
          <w:t>Freud</w:t>
        </w:r>
      </w:hyperlink>
      <w:r w:rsidRPr="00120CF0">
        <w:rPr>
          <w:rFonts w:ascii="Arial" w:eastAsia="Times New Roman" w:hAnsi="Arial" w:cs="Arial"/>
          <w:sz w:val="24"/>
          <w:szCs w:val="24"/>
        </w:rPr>
        <w:t xml:space="preserve"> was an id psychologist, Erikson was an ego psychologist. He emphasized the role of culture and society and the conflicts that can take place within the ego itself, whereas Freud emphasized the conflict between the </w:t>
      </w:r>
      <w:hyperlink r:id="rId7" w:history="1">
        <w:r w:rsidRPr="00120CF0">
          <w:rPr>
            <w:rFonts w:ascii="Arial" w:eastAsia="Times New Roman" w:hAnsi="Arial" w:cs="Arial"/>
            <w:color w:val="0000FF"/>
            <w:sz w:val="24"/>
            <w:szCs w:val="24"/>
            <w:u w:val="single"/>
          </w:rPr>
          <w:t>id and the superego</w:t>
        </w:r>
      </w:hyperlink>
      <w:r w:rsidRPr="00120CF0">
        <w:rPr>
          <w:rFonts w:ascii="Arial" w:eastAsia="Times New Roman" w:hAnsi="Arial" w:cs="Arial"/>
          <w:sz w:val="24"/>
          <w:szCs w:val="24"/>
        </w:rPr>
        <w:t>.</w:t>
      </w:r>
      <w:r>
        <w:rPr>
          <w:rFonts w:ascii="Arial" w:eastAsia="Times New Roman" w:hAnsi="Arial" w:cs="Arial"/>
          <w:sz w:val="24"/>
          <w:szCs w:val="24"/>
        </w:rPr>
        <w:t xml:space="preserve">  </w:t>
      </w:r>
      <w:r w:rsidRPr="00120CF0">
        <w:rPr>
          <w:rFonts w:ascii="Arial" w:eastAsia="Times New Roman" w:hAnsi="Arial" w:cs="Arial"/>
          <w:sz w:val="24"/>
          <w:szCs w:val="24"/>
        </w:rPr>
        <w:t>According to Erikson, the ego develops as it successfully resolves crises that are distinctly social in nature. These involve establishing a sense of trust in others, developing a sense of identity in society, and helping the next generation prepare for the future.</w:t>
      </w:r>
      <w:r>
        <w:rPr>
          <w:rFonts w:ascii="Arial" w:eastAsia="Times New Roman" w:hAnsi="Arial" w:cs="Arial"/>
          <w:sz w:val="24"/>
          <w:szCs w:val="24"/>
        </w:rPr>
        <w:t xml:space="preserve">  </w:t>
      </w:r>
      <w:r w:rsidRPr="00120CF0">
        <w:rPr>
          <w:rFonts w:ascii="Arial" w:eastAsia="Times New Roman" w:hAnsi="Arial" w:cs="Arial"/>
          <w:sz w:val="24"/>
          <w:szCs w:val="24"/>
        </w:rPr>
        <w:t xml:space="preserve">Erikson extends on Freudian thoughts by focusing on the adaptive and creative characteristic of the ego and expanding the notion of the stages of </w:t>
      </w:r>
      <w:hyperlink r:id="rId8" w:history="1">
        <w:r w:rsidRPr="00120CF0">
          <w:rPr>
            <w:rFonts w:ascii="Arial" w:eastAsia="Times New Roman" w:hAnsi="Arial" w:cs="Arial"/>
            <w:color w:val="0000FF"/>
            <w:sz w:val="24"/>
            <w:szCs w:val="24"/>
            <w:u w:val="single"/>
          </w:rPr>
          <w:t>personality development</w:t>
        </w:r>
      </w:hyperlink>
      <w:r w:rsidRPr="00120CF0">
        <w:rPr>
          <w:rFonts w:ascii="Arial" w:eastAsia="Times New Roman" w:hAnsi="Arial" w:cs="Arial"/>
          <w:sz w:val="24"/>
          <w:szCs w:val="24"/>
        </w:rPr>
        <w:t xml:space="preserve"> to include the entire lifespan.</w:t>
      </w:r>
      <w:r>
        <w:rPr>
          <w:rFonts w:ascii="Arial" w:eastAsia="Times New Roman" w:hAnsi="Arial" w:cs="Arial"/>
          <w:sz w:val="24"/>
          <w:szCs w:val="24"/>
        </w:rPr>
        <w:t xml:space="preserve">  </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Like Freud and many others, Erik Erikson maintained that personality develops in a predetermined order, and builds upon each previous stage. This is called the </w:t>
      </w:r>
      <w:proofErr w:type="spellStart"/>
      <w:r w:rsidRPr="00120CF0">
        <w:rPr>
          <w:rFonts w:ascii="Arial" w:eastAsia="Times New Roman" w:hAnsi="Arial" w:cs="Arial"/>
          <w:sz w:val="24"/>
          <w:szCs w:val="24"/>
        </w:rPr>
        <w:t>epigenic</w:t>
      </w:r>
      <w:proofErr w:type="spellEnd"/>
      <w:r w:rsidRPr="00120CF0">
        <w:rPr>
          <w:rFonts w:ascii="Arial" w:eastAsia="Times New Roman" w:hAnsi="Arial" w:cs="Arial"/>
          <w:sz w:val="24"/>
          <w:szCs w:val="24"/>
        </w:rPr>
        <w:t xml:space="preserve"> principle. </w:t>
      </w:r>
      <w:r>
        <w:rPr>
          <w:rFonts w:ascii="Arial" w:eastAsia="Times New Roman" w:hAnsi="Arial" w:cs="Arial"/>
          <w:sz w:val="24"/>
          <w:szCs w:val="24"/>
        </w:rPr>
        <w:t xml:space="preserve">  </w:t>
      </w:r>
      <w:r w:rsidRPr="00120CF0">
        <w:rPr>
          <w:rFonts w:ascii="Arial" w:eastAsia="Times New Roman" w:hAnsi="Arial" w:cs="Arial"/>
          <w:sz w:val="24"/>
          <w:szCs w:val="24"/>
        </w:rPr>
        <w:t xml:space="preserve">The outcome of this 'maturation timetable' is a wide and integrated set of life skills and abilities that function together within the autonomous individual. However, instead of focusing on sexual development (like Freud), he was interested in how children socialize and how this affects their sense of </w:t>
      </w:r>
      <w:hyperlink r:id="rId9" w:history="1">
        <w:r w:rsidRPr="00120CF0">
          <w:rPr>
            <w:rFonts w:ascii="Arial" w:eastAsia="Times New Roman" w:hAnsi="Arial" w:cs="Arial"/>
            <w:color w:val="0000FF"/>
            <w:sz w:val="24"/>
            <w:szCs w:val="24"/>
            <w:u w:val="single"/>
          </w:rPr>
          <w:t>self</w:t>
        </w:r>
      </w:hyperlink>
      <w:r w:rsidRPr="00120CF0">
        <w:rPr>
          <w:rFonts w:ascii="Arial" w:eastAsia="Times New Roman" w:hAnsi="Arial" w:cs="Arial"/>
          <w:sz w:val="24"/>
          <w:szCs w:val="24"/>
        </w:rPr>
        <w:t>.</w:t>
      </w:r>
    </w:p>
    <w:p w:rsidR="00120CF0" w:rsidRPr="00120CF0" w:rsidRDefault="00120CF0" w:rsidP="00120CF0">
      <w:pPr>
        <w:spacing w:before="100" w:beforeAutospacing="1" w:after="100" w:afterAutospacing="1" w:line="240" w:lineRule="auto"/>
        <w:jc w:val="both"/>
        <w:outlineLvl w:val="0"/>
        <w:rPr>
          <w:rFonts w:ascii="Arial" w:eastAsia="Times New Roman" w:hAnsi="Arial" w:cs="Arial"/>
          <w:b/>
          <w:bCs/>
          <w:kern w:val="36"/>
          <w:sz w:val="24"/>
          <w:szCs w:val="24"/>
        </w:rPr>
      </w:pPr>
      <w:r w:rsidRPr="00120CF0">
        <w:rPr>
          <w:rFonts w:ascii="Arial" w:eastAsia="Times New Roman" w:hAnsi="Arial" w:cs="Arial"/>
          <w:b/>
          <w:bCs/>
          <w:kern w:val="36"/>
          <w:sz w:val="24"/>
          <w:szCs w:val="24"/>
        </w:rPr>
        <w:lastRenderedPageBreak/>
        <w:t>Sigmund Freud</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Freud’s lexicon has become embedded within the vocabulary of western society. Words he introduced through his theories are now used by everyday people, such as anal (personality), libido, denial, repression, cathartic, Freudian slip, and neurotic. </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Freud believed that when we explain our own behaviour to ourselves or others (conscious mental activity) we rarely give a true account of our motivation. This is not because we are deliberately lying. Whilst human beings are great deceivers of others, they are even more adept at self-deception. Our rationalizations of our conduct are therefore disguising the real reasons. </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Freud’s life work was dominated by his attempts to find ways of penetrating this often subtle and elaborate camouflage that obscures the hidden structure and processes of personality.</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Freud was the founding father of </w:t>
      </w:r>
      <w:hyperlink r:id="rId10" w:history="1">
        <w:r w:rsidRPr="00120CF0">
          <w:rPr>
            <w:rFonts w:ascii="Arial" w:eastAsia="Times New Roman" w:hAnsi="Arial" w:cs="Arial"/>
            <w:color w:val="0000FF"/>
            <w:sz w:val="24"/>
            <w:szCs w:val="24"/>
            <w:u w:val="single"/>
          </w:rPr>
          <w:t>psychoanalysis</w:t>
        </w:r>
      </w:hyperlink>
      <w:r w:rsidRPr="00120CF0">
        <w:rPr>
          <w:rFonts w:ascii="Arial" w:eastAsia="Times New Roman" w:hAnsi="Arial" w:cs="Arial"/>
          <w:sz w:val="24"/>
          <w:szCs w:val="24"/>
        </w:rPr>
        <w:t xml:space="preserve">, a method for treating </w:t>
      </w:r>
      <w:hyperlink r:id="rId11" w:history="1">
        <w:r w:rsidRPr="00120CF0">
          <w:rPr>
            <w:rFonts w:ascii="Arial" w:eastAsia="Times New Roman" w:hAnsi="Arial" w:cs="Arial"/>
            <w:color w:val="0000FF"/>
            <w:sz w:val="24"/>
            <w:szCs w:val="24"/>
            <w:u w:val="single"/>
          </w:rPr>
          <w:t>mental illness</w:t>
        </w:r>
      </w:hyperlink>
      <w:r w:rsidRPr="00120CF0">
        <w:rPr>
          <w:rFonts w:ascii="Arial" w:eastAsia="Times New Roman" w:hAnsi="Arial" w:cs="Arial"/>
          <w:sz w:val="24"/>
          <w:szCs w:val="24"/>
        </w:rPr>
        <w:t xml:space="preserve"> and also a theory which explains human </w:t>
      </w:r>
      <w:proofErr w:type="spellStart"/>
      <w:r w:rsidRPr="00120CF0">
        <w:rPr>
          <w:rFonts w:ascii="Arial" w:eastAsia="Times New Roman" w:hAnsi="Arial" w:cs="Arial"/>
          <w:sz w:val="24"/>
          <w:szCs w:val="24"/>
        </w:rPr>
        <w:t>behavior</w:t>
      </w:r>
      <w:proofErr w:type="spellEnd"/>
      <w:r w:rsidRPr="00120CF0">
        <w:rPr>
          <w:rFonts w:ascii="Arial" w:eastAsia="Times New Roman" w:hAnsi="Arial" w:cs="Arial"/>
          <w:sz w:val="24"/>
          <w:szCs w:val="24"/>
        </w:rPr>
        <w:t xml:space="preserve">. </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Psychoanalysis is often known as the talking cure. Typically Freud would encourage his patients to talk freely (on his famous couch) regarding their symptoms, and to describe exactly what was on their mind. </w:t>
      </w:r>
    </w:p>
    <w:p w:rsidR="00120CF0" w:rsidRPr="00120CF0" w:rsidRDefault="00120CF0" w:rsidP="00120CF0">
      <w:pPr>
        <w:spacing w:before="100" w:beforeAutospacing="1" w:after="100" w:afterAutospacing="1" w:line="240" w:lineRule="auto"/>
        <w:jc w:val="both"/>
        <w:outlineLvl w:val="0"/>
        <w:rPr>
          <w:rFonts w:ascii="Arial" w:eastAsia="Times New Roman" w:hAnsi="Arial" w:cs="Arial"/>
          <w:b/>
          <w:bCs/>
          <w:kern w:val="36"/>
          <w:sz w:val="24"/>
          <w:szCs w:val="24"/>
          <w:lang w:val="en"/>
        </w:rPr>
      </w:pPr>
      <w:r w:rsidRPr="00120CF0">
        <w:rPr>
          <w:rFonts w:ascii="Arial" w:eastAsia="Times New Roman" w:hAnsi="Arial" w:cs="Arial"/>
          <w:b/>
          <w:bCs/>
          <w:kern w:val="36"/>
          <w:sz w:val="24"/>
          <w:szCs w:val="24"/>
          <w:lang w:val="en"/>
        </w:rPr>
        <w:t>Trolley problem</w:t>
      </w:r>
    </w:p>
    <w:p w:rsidR="00120CF0" w:rsidRPr="00120CF0" w:rsidRDefault="00120CF0" w:rsidP="00120CF0">
      <w:pPr>
        <w:spacing w:after="0"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From Wikipedia, the free </w:t>
      </w:r>
      <w:proofErr w:type="spellStart"/>
      <w:r w:rsidRPr="00120CF0">
        <w:rPr>
          <w:rFonts w:ascii="Arial" w:eastAsia="Times New Roman" w:hAnsi="Arial" w:cs="Arial"/>
          <w:sz w:val="24"/>
          <w:szCs w:val="24"/>
        </w:rPr>
        <w:t>encyclopedia</w:t>
      </w:r>
      <w:proofErr w:type="spellEnd"/>
    </w:p>
    <w:p w:rsidR="00120CF0" w:rsidRPr="00120CF0" w:rsidRDefault="00120CF0" w:rsidP="00120CF0">
      <w:pPr>
        <w:spacing w:after="0" w:line="240" w:lineRule="auto"/>
        <w:jc w:val="both"/>
        <w:rPr>
          <w:rFonts w:ascii="Arial" w:eastAsia="Times New Roman" w:hAnsi="Arial" w:cs="Arial"/>
          <w:sz w:val="24"/>
          <w:szCs w:val="24"/>
        </w:rPr>
      </w:pPr>
      <w:r w:rsidRPr="00120CF0">
        <w:rPr>
          <w:rFonts w:ascii="Arial" w:eastAsia="Times New Roman" w:hAnsi="Arial" w:cs="Arial"/>
          <w:noProof/>
          <w:color w:val="0000FF"/>
          <w:sz w:val="24"/>
          <w:szCs w:val="24"/>
        </w:rPr>
        <w:drawing>
          <wp:inline distT="0" distB="0" distL="0" distR="0" wp14:anchorId="000EC53C" wp14:editId="51B14AE3">
            <wp:extent cx="3143250" cy="1076325"/>
            <wp:effectExtent l="0" t="0" r="0" b="9525"/>
            <wp:docPr id="1" name="Picture 1" descr="https://upload.wikimedia.org/wikipedia/commons/thumb/8/8c/Trolley_problem.png/330px-Trolley_problem.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pload.wikimedia.org/wikipedia/commons/thumb/8/8c/Trolley_problem.png/330px-Trolley_problem.pn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43250" cy="1076325"/>
                    </a:xfrm>
                    <a:prstGeom prst="rect">
                      <a:avLst/>
                    </a:prstGeom>
                    <a:noFill/>
                    <a:ln>
                      <a:noFill/>
                    </a:ln>
                  </pic:spPr>
                </pic:pic>
              </a:graphicData>
            </a:graphic>
          </wp:inline>
        </w:drawing>
      </w:r>
    </w:p>
    <w:p w:rsidR="00120CF0" w:rsidRPr="00120CF0" w:rsidRDefault="00120CF0" w:rsidP="00120CF0">
      <w:pPr>
        <w:spacing w:after="0" w:line="240" w:lineRule="auto"/>
        <w:jc w:val="both"/>
        <w:rPr>
          <w:rFonts w:ascii="Arial" w:eastAsia="Times New Roman" w:hAnsi="Arial" w:cs="Arial"/>
          <w:sz w:val="24"/>
          <w:szCs w:val="24"/>
        </w:rPr>
      </w:pPr>
      <w:r w:rsidRPr="00120CF0">
        <w:rPr>
          <w:rFonts w:ascii="Arial" w:eastAsia="Times New Roman" w:hAnsi="Arial" w:cs="Arial"/>
          <w:sz w:val="24"/>
          <w:szCs w:val="24"/>
        </w:rPr>
        <w:t>The trolley problem: should you pull the lever to divert the runaway trolley onto the side track?</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The </w:t>
      </w:r>
      <w:r w:rsidRPr="00120CF0">
        <w:rPr>
          <w:rFonts w:ascii="Arial" w:eastAsia="Times New Roman" w:hAnsi="Arial" w:cs="Arial"/>
          <w:b/>
          <w:bCs/>
          <w:sz w:val="24"/>
          <w:szCs w:val="24"/>
        </w:rPr>
        <w:t>trolley problem</w:t>
      </w:r>
      <w:r w:rsidRPr="00120CF0">
        <w:rPr>
          <w:rFonts w:ascii="Arial" w:eastAsia="Times New Roman" w:hAnsi="Arial" w:cs="Arial"/>
          <w:sz w:val="24"/>
          <w:szCs w:val="24"/>
        </w:rPr>
        <w:t xml:space="preserve"> is a </w:t>
      </w:r>
      <w:hyperlink r:id="rId14" w:tooltip="Thought experiment" w:history="1">
        <w:r w:rsidRPr="00120CF0">
          <w:rPr>
            <w:rFonts w:ascii="Arial" w:eastAsia="Times New Roman" w:hAnsi="Arial" w:cs="Arial"/>
            <w:color w:val="0000FF"/>
            <w:sz w:val="24"/>
            <w:szCs w:val="24"/>
            <w:u w:val="single"/>
          </w:rPr>
          <w:t>thought experiment</w:t>
        </w:r>
      </w:hyperlink>
      <w:r w:rsidRPr="00120CF0">
        <w:rPr>
          <w:rFonts w:ascii="Arial" w:eastAsia="Times New Roman" w:hAnsi="Arial" w:cs="Arial"/>
          <w:sz w:val="24"/>
          <w:szCs w:val="24"/>
        </w:rPr>
        <w:t xml:space="preserve"> in </w:t>
      </w:r>
      <w:hyperlink r:id="rId15" w:tooltip="Ethics" w:history="1">
        <w:r w:rsidRPr="00120CF0">
          <w:rPr>
            <w:rFonts w:ascii="Arial" w:eastAsia="Times New Roman" w:hAnsi="Arial" w:cs="Arial"/>
            <w:color w:val="0000FF"/>
            <w:sz w:val="24"/>
            <w:szCs w:val="24"/>
            <w:u w:val="single"/>
          </w:rPr>
          <w:t>ethics</w:t>
        </w:r>
      </w:hyperlink>
      <w:r w:rsidRPr="00120CF0">
        <w:rPr>
          <w:rFonts w:ascii="Arial" w:eastAsia="Times New Roman" w:hAnsi="Arial" w:cs="Arial"/>
          <w:sz w:val="24"/>
          <w:szCs w:val="24"/>
        </w:rPr>
        <w:t>. The general form of the problem is this:</w:t>
      </w:r>
    </w:p>
    <w:p w:rsidR="00120CF0" w:rsidRPr="00120CF0" w:rsidRDefault="00120CF0" w:rsidP="00120CF0">
      <w:pPr>
        <w:spacing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There is a runaway </w:t>
      </w:r>
      <w:hyperlink r:id="rId16" w:tooltip="Tram" w:history="1">
        <w:r w:rsidRPr="00120CF0">
          <w:rPr>
            <w:rFonts w:ascii="Arial" w:eastAsia="Times New Roman" w:hAnsi="Arial" w:cs="Arial"/>
            <w:color w:val="0000FF"/>
            <w:sz w:val="24"/>
            <w:szCs w:val="24"/>
            <w:u w:val="single"/>
          </w:rPr>
          <w:t>trolley</w:t>
        </w:r>
      </w:hyperlink>
      <w:r w:rsidRPr="00120CF0">
        <w:rPr>
          <w:rFonts w:ascii="Arial" w:eastAsia="Times New Roman" w:hAnsi="Arial" w:cs="Arial"/>
          <w:sz w:val="24"/>
          <w:szCs w:val="24"/>
        </w:rPr>
        <w:t xml:space="preserve"> </w:t>
      </w:r>
      <w:proofErr w:type="spellStart"/>
      <w:r w:rsidRPr="00120CF0">
        <w:rPr>
          <w:rFonts w:ascii="Arial" w:eastAsia="Times New Roman" w:hAnsi="Arial" w:cs="Arial"/>
          <w:sz w:val="24"/>
          <w:szCs w:val="24"/>
        </w:rPr>
        <w:t>barreling</w:t>
      </w:r>
      <w:proofErr w:type="spellEnd"/>
      <w:r w:rsidRPr="00120CF0">
        <w:rPr>
          <w:rFonts w:ascii="Arial" w:eastAsia="Times New Roman" w:hAnsi="Arial" w:cs="Arial"/>
          <w:sz w:val="24"/>
          <w:szCs w:val="24"/>
        </w:rPr>
        <w:t xml:space="preserve"> down the </w:t>
      </w:r>
      <w:hyperlink r:id="rId17" w:tooltip="Track (rail transport)" w:history="1">
        <w:r w:rsidRPr="00120CF0">
          <w:rPr>
            <w:rFonts w:ascii="Arial" w:eastAsia="Times New Roman" w:hAnsi="Arial" w:cs="Arial"/>
            <w:color w:val="0000FF"/>
            <w:sz w:val="24"/>
            <w:szCs w:val="24"/>
            <w:u w:val="single"/>
          </w:rPr>
          <w:t>railway tracks</w:t>
        </w:r>
      </w:hyperlink>
      <w:r w:rsidRPr="00120CF0">
        <w:rPr>
          <w:rFonts w:ascii="Arial" w:eastAsia="Times New Roman" w:hAnsi="Arial" w:cs="Arial"/>
          <w:sz w:val="24"/>
          <w:szCs w:val="24"/>
        </w:rPr>
        <w:t>. Ahead, on the tracks, there are five people tied up and unable to move. The trolley is headed straight for them. You are standing some distance off in the train yard, next to a lever. If you pull this lever, the trolley will switch to a different set of tracks. However, you notice that there is one person on the side track. You have two options:</w:t>
      </w:r>
    </w:p>
    <w:p w:rsidR="00120CF0" w:rsidRPr="00120CF0" w:rsidRDefault="00120CF0" w:rsidP="00120CF0">
      <w:pPr>
        <w:numPr>
          <w:ilvl w:val="0"/>
          <w:numId w:val="1"/>
        </w:numPr>
        <w:spacing w:before="100" w:beforeAutospacing="1" w:after="100" w:afterAutospacing="1" w:line="240" w:lineRule="auto"/>
        <w:ind w:left="1440"/>
        <w:jc w:val="both"/>
        <w:rPr>
          <w:rFonts w:ascii="Arial" w:eastAsia="Times New Roman" w:hAnsi="Arial" w:cs="Arial"/>
          <w:sz w:val="24"/>
          <w:szCs w:val="24"/>
        </w:rPr>
      </w:pPr>
      <w:r w:rsidRPr="00120CF0">
        <w:rPr>
          <w:rFonts w:ascii="Arial" w:eastAsia="Times New Roman" w:hAnsi="Arial" w:cs="Arial"/>
          <w:sz w:val="24"/>
          <w:szCs w:val="24"/>
        </w:rPr>
        <w:t>Do nothing, and the trolley kills the five people on the main track.</w:t>
      </w:r>
    </w:p>
    <w:p w:rsidR="00120CF0" w:rsidRPr="00120CF0" w:rsidRDefault="00120CF0" w:rsidP="00120CF0">
      <w:pPr>
        <w:numPr>
          <w:ilvl w:val="0"/>
          <w:numId w:val="1"/>
        </w:numPr>
        <w:spacing w:before="100" w:beforeAutospacing="1" w:after="100" w:afterAutospacing="1" w:line="240" w:lineRule="auto"/>
        <w:ind w:left="1440"/>
        <w:jc w:val="both"/>
        <w:rPr>
          <w:rFonts w:ascii="Arial" w:eastAsia="Times New Roman" w:hAnsi="Arial" w:cs="Arial"/>
          <w:sz w:val="24"/>
          <w:szCs w:val="24"/>
        </w:rPr>
      </w:pPr>
      <w:r w:rsidRPr="00120CF0">
        <w:rPr>
          <w:rFonts w:ascii="Arial" w:eastAsia="Times New Roman" w:hAnsi="Arial" w:cs="Arial"/>
          <w:sz w:val="24"/>
          <w:szCs w:val="24"/>
        </w:rPr>
        <w:t>Pull the lever, diverting the trolley onto the side track where it will kill one person.</w:t>
      </w:r>
    </w:p>
    <w:p w:rsidR="00120CF0" w:rsidRPr="00120CF0" w:rsidRDefault="00120CF0" w:rsidP="00120CF0">
      <w:pPr>
        <w:spacing w:after="100" w:line="240" w:lineRule="auto"/>
        <w:jc w:val="both"/>
        <w:rPr>
          <w:rFonts w:ascii="Arial" w:eastAsia="Times New Roman" w:hAnsi="Arial" w:cs="Arial"/>
          <w:sz w:val="24"/>
          <w:szCs w:val="24"/>
        </w:rPr>
      </w:pPr>
      <w:r w:rsidRPr="00120CF0">
        <w:rPr>
          <w:rFonts w:ascii="Arial" w:eastAsia="Times New Roman" w:hAnsi="Arial" w:cs="Arial"/>
          <w:sz w:val="24"/>
          <w:szCs w:val="24"/>
        </w:rPr>
        <w:t>Which is the most ethical choice?</w:t>
      </w:r>
    </w:p>
    <w:p w:rsidR="00120CF0" w:rsidRPr="00120CF0" w:rsidRDefault="00120CF0" w:rsidP="00120CF0">
      <w:pPr>
        <w:spacing w:before="100" w:beforeAutospacing="1" w:after="100" w:afterAutospacing="1" w:line="240" w:lineRule="auto"/>
        <w:jc w:val="both"/>
        <w:rPr>
          <w:rFonts w:ascii="Arial" w:eastAsia="Times New Roman" w:hAnsi="Arial" w:cs="Arial"/>
          <w:sz w:val="24"/>
          <w:szCs w:val="24"/>
        </w:rPr>
      </w:pPr>
      <w:r w:rsidRPr="00120CF0">
        <w:rPr>
          <w:rFonts w:ascii="Arial" w:eastAsia="Times New Roman" w:hAnsi="Arial" w:cs="Arial"/>
          <w:sz w:val="24"/>
          <w:szCs w:val="24"/>
        </w:rPr>
        <w:t xml:space="preserve">The modern form of the problem was first introduced by </w:t>
      </w:r>
      <w:hyperlink r:id="rId18" w:tooltip="Philippa Foot" w:history="1">
        <w:proofErr w:type="spellStart"/>
        <w:r w:rsidRPr="00120CF0">
          <w:rPr>
            <w:rFonts w:ascii="Arial" w:eastAsia="Times New Roman" w:hAnsi="Arial" w:cs="Arial"/>
            <w:color w:val="0000FF"/>
            <w:sz w:val="24"/>
            <w:szCs w:val="24"/>
            <w:u w:val="single"/>
          </w:rPr>
          <w:t>Philippa</w:t>
        </w:r>
        <w:proofErr w:type="spellEnd"/>
        <w:r w:rsidRPr="00120CF0">
          <w:rPr>
            <w:rFonts w:ascii="Arial" w:eastAsia="Times New Roman" w:hAnsi="Arial" w:cs="Arial"/>
            <w:color w:val="0000FF"/>
            <w:sz w:val="24"/>
            <w:szCs w:val="24"/>
            <w:u w:val="single"/>
          </w:rPr>
          <w:t xml:space="preserve"> Foot</w:t>
        </w:r>
      </w:hyperlink>
      <w:r w:rsidRPr="00120CF0">
        <w:rPr>
          <w:rFonts w:ascii="Arial" w:eastAsia="Times New Roman" w:hAnsi="Arial" w:cs="Arial"/>
          <w:sz w:val="24"/>
          <w:szCs w:val="24"/>
        </w:rPr>
        <w:t xml:space="preserve"> in 1967,</w:t>
      </w:r>
      <w:hyperlink r:id="rId19" w:anchor="cite_note-Philippa_Foot_1978-1" w:history="1">
        <w:r w:rsidRPr="00120CF0">
          <w:rPr>
            <w:rFonts w:ascii="Arial" w:eastAsia="Times New Roman" w:hAnsi="Arial" w:cs="Arial"/>
            <w:color w:val="0000FF"/>
            <w:sz w:val="24"/>
            <w:szCs w:val="24"/>
            <w:u w:val="single"/>
            <w:vertAlign w:val="superscript"/>
          </w:rPr>
          <w:t>[1]</w:t>
        </w:r>
      </w:hyperlink>
      <w:r w:rsidRPr="00120CF0">
        <w:rPr>
          <w:rFonts w:ascii="Arial" w:eastAsia="Times New Roman" w:hAnsi="Arial" w:cs="Arial"/>
          <w:sz w:val="24"/>
          <w:szCs w:val="24"/>
        </w:rPr>
        <w:t xml:space="preserve"> but also extensively analysed by </w:t>
      </w:r>
      <w:hyperlink r:id="rId20" w:tooltip="Judith Thomson" w:history="1">
        <w:r w:rsidRPr="00120CF0">
          <w:rPr>
            <w:rFonts w:ascii="Arial" w:eastAsia="Times New Roman" w:hAnsi="Arial" w:cs="Arial"/>
            <w:color w:val="0000FF"/>
            <w:sz w:val="24"/>
            <w:szCs w:val="24"/>
            <w:u w:val="single"/>
          </w:rPr>
          <w:t>Judith Thomson</w:t>
        </w:r>
      </w:hyperlink>
      <w:r w:rsidRPr="00120CF0">
        <w:rPr>
          <w:rFonts w:ascii="Arial" w:eastAsia="Times New Roman" w:hAnsi="Arial" w:cs="Arial"/>
          <w:sz w:val="24"/>
          <w:szCs w:val="24"/>
        </w:rPr>
        <w:t>,</w:t>
      </w:r>
      <w:hyperlink r:id="rId21" w:anchor="cite_note-2" w:history="1">
        <w:r w:rsidRPr="00120CF0">
          <w:rPr>
            <w:rFonts w:ascii="Arial" w:eastAsia="Times New Roman" w:hAnsi="Arial" w:cs="Arial"/>
            <w:color w:val="0000FF"/>
            <w:sz w:val="24"/>
            <w:szCs w:val="24"/>
            <w:u w:val="single"/>
            <w:vertAlign w:val="superscript"/>
          </w:rPr>
          <w:t>[2]</w:t>
        </w:r>
      </w:hyperlink>
      <w:hyperlink r:id="rId22" w:anchor="cite_note-Judith_Jarvis_Thomson_1985-3" w:history="1">
        <w:r w:rsidRPr="00120CF0">
          <w:rPr>
            <w:rFonts w:ascii="Arial" w:eastAsia="Times New Roman" w:hAnsi="Arial" w:cs="Arial"/>
            <w:color w:val="0000FF"/>
            <w:sz w:val="24"/>
            <w:szCs w:val="24"/>
            <w:u w:val="single"/>
            <w:vertAlign w:val="superscript"/>
          </w:rPr>
          <w:t>[3]</w:t>
        </w:r>
      </w:hyperlink>
      <w:r w:rsidRPr="00120CF0">
        <w:rPr>
          <w:rFonts w:ascii="Arial" w:eastAsia="Times New Roman" w:hAnsi="Arial" w:cs="Arial"/>
          <w:sz w:val="24"/>
          <w:szCs w:val="24"/>
        </w:rPr>
        <w:t xml:space="preserve"> </w:t>
      </w:r>
      <w:hyperlink r:id="rId23" w:tooltip="Frances Kamm" w:history="1">
        <w:r w:rsidRPr="00120CF0">
          <w:rPr>
            <w:rFonts w:ascii="Arial" w:eastAsia="Times New Roman" w:hAnsi="Arial" w:cs="Arial"/>
            <w:color w:val="0000FF"/>
            <w:sz w:val="24"/>
            <w:szCs w:val="24"/>
            <w:u w:val="single"/>
          </w:rPr>
          <w:t xml:space="preserve">Frances </w:t>
        </w:r>
        <w:proofErr w:type="spellStart"/>
        <w:r w:rsidRPr="00120CF0">
          <w:rPr>
            <w:rFonts w:ascii="Arial" w:eastAsia="Times New Roman" w:hAnsi="Arial" w:cs="Arial"/>
            <w:color w:val="0000FF"/>
            <w:sz w:val="24"/>
            <w:szCs w:val="24"/>
            <w:u w:val="single"/>
          </w:rPr>
          <w:t>Kamm</w:t>
        </w:r>
        <w:proofErr w:type="spellEnd"/>
      </w:hyperlink>
      <w:r w:rsidRPr="00120CF0">
        <w:rPr>
          <w:rFonts w:ascii="Arial" w:eastAsia="Times New Roman" w:hAnsi="Arial" w:cs="Arial"/>
          <w:sz w:val="24"/>
          <w:szCs w:val="24"/>
        </w:rPr>
        <w:t>,</w:t>
      </w:r>
      <w:hyperlink r:id="rId24" w:anchor="cite_note-4" w:history="1">
        <w:r w:rsidRPr="00120CF0">
          <w:rPr>
            <w:rFonts w:ascii="Arial" w:eastAsia="Times New Roman" w:hAnsi="Arial" w:cs="Arial"/>
            <w:color w:val="0000FF"/>
            <w:sz w:val="24"/>
            <w:szCs w:val="24"/>
            <w:u w:val="single"/>
            <w:vertAlign w:val="superscript"/>
          </w:rPr>
          <w:t>[4]</w:t>
        </w:r>
      </w:hyperlink>
      <w:r w:rsidRPr="00120CF0">
        <w:rPr>
          <w:rFonts w:ascii="Arial" w:eastAsia="Times New Roman" w:hAnsi="Arial" w:cs="Arial"/>
          <w:sz w:val="24"/>
          <w:szCs w:val="24"/>
        </w:rPr>
        <w:t xml:space="preserve"> and </w:t>
      </w:r>
      <w:hyperlink r:id="rId25" w:tooltip="Peter Unger" w:history="1">
        <w:r w:rsidRPr="00120CF0">
          <w:rPr>
            <w:rFonts w:ascii="Arial" w:eastAsia="Times New Roman" w:hAnsi="Arial" w:cs="Arial"/>
            <w:color w:val="0000FF"/>
            <w:sz w:val="24"/>
            <w:szCs w:val="24"/>
            <w:u w:val="single"/>
          </w:rPr>
          <w:t>Peter Unger</w:t>
        </w:r>
      </w:hyperlink>
      <w:r w:rsidRPr="00120CF0">
        <w:rPr>
          <w:rFonts w:ascii="Arial" w:eastAsia="Times New Roman" w:hAnsi="Arial" w:cs="Arial"/>
          <w:sz w:val="24"/>
          <w:szCs w:val="24"/>
        </w:rPr>
        <w:t>.</w:t>
      </w:r>
      <w:hyperlink r:id="rId26" w:anchor="cite_note-5" w:history="1">
        <w:r w:rsidRPr="00120CF0">
          <w:rPr>
            <w:rFonts w:ascii="Arial" w:eastAsia="Times New Roman" w:hAnsi="Arial" w:cs="Arial"/>
            <w:color w:val="0000FF"/>
            <w:sz w:val="24"/>
            <w:szCs w:val="24"/>
            <w:u w:val="single"/>
            <w:vertAlign w:val="superscript"/>
          </w:rPr>
          <w:t>[5]</w:t>
        </w:r>
      </w:hyperlink>
      <w:r w:rsidRPr="00120CF0">
        <w:rPr>
          <w:rFonts w:ascii="Arial" w:eastAsia="Times New Roman" w:hAnsi="Arial" w:cs="Arial"/>
          <w:sz w:val="24"/>
          <w:szCs w:val="24"/>
        </w:rPr>
        <w:t xml:space="preserve"> However an earlier version, in which the one person to be sacrificed on the track was the switchman's child, was part of a moral questionnaire given to undergraduates at the University of Wisconsin in 1905,</w:t>
      </w:r>
      <w:hyperlink r:id="rId27" w:anchor="cite_note-6" w:history="1">
        <w:r w:rsidRPr="00120CF0">
          <w:rPr>
            <w:rFonts w:ascii="Arial" w:eastAsia="Times New Roman" w:hAnsi="Arial" w:cs="Arial"/>
            <w:color w:val="0000FF"/>
            <w:sz w:val="24"/>
            <w:szCs w:val="24"/>
            <w:u w:val="single"/>
            <w:vertAlign w:val="superscript"/>
          </w:rPr>
          <w:t>[6]</w:t>
        </w:r>
      </w:hyperlink>
      <w:hyperlink r:id="rId28" w:anchor="cite_note-7" w:history="1">
        <w:r w:rsidRPr="00120CF0">
          <w:rPr>
            <w:rFonts w:ascii="Arial" w:eastAsia="Times New Roman" w:hAnsi="Arial" w:cs="Arial"/>
            <w:color w:val="0000FF"/>
            <w:sz w:val="24"/>
            <w:szCs w:val="24"/>
            <w:u w:val="single"/>
            <w:vertAlign w:val="superscript"/>
          </w:rPr>
          <w:t>[7]</w:t>
        </w:r>
      </w:hyperlink>
      <w:r w:rsidRPr="00120CF0">
        <w:rPr>
          <w:rFonts w:ascii="Arial" w:eastAsia="Times New Roman" w:hAnsi="Arial" w:cs="Arial"/>
          <w:sz w:val="24"/>
          <w:szCs w:val="24"/>
        </w:rPr>
        <w:t xml:space="preserve"> and the German legal scholar Hans </w:t>
      </w:r>
      <w:proofErr w:type="spellStart"/>
      <w:r w:rsidRPr="00120CF0">
        <w:rPr>
          <w:rFonts w:ascii="Arial" w:eastAsia="Times New Roman" w:hAnsi="Arial" w:cs="Arial"/>
          <w:sz w:val="24"/>
          <w:szCs w:val="24"/>
        </w:rPr>
        <w:t>Welzel</w:t>
      </w:r>
      <w:proofErr w:type="spellEnd"/>
      <w:r w:rsidRPr="00120CF0">
        <w:rPr>
          <w:rFonts w:ascii="Arial" w:eastAsia="Times New Roman" w:hAnsi="Arial" w:cs="Arial"/>
          <w:sz w:val="24"/>
          <w:szCs w:val="24"/>
        </w:rPr>
        <w:t xml:space="preserve"> discussed a similar problem in 1951.</w:t>
      </w:r>
      <w:hyperlink r:id="rId29" w:anchor="cite_note-8" w:history="1">
        <w:r w:rsidRPr="00120CF0">
          <w:rPr>
            <w:rFonts w:ascii="Arial" w:eastAsia="Times New Roman" w:hAnsi="Arial" w:cs="Arial"/>
            <w:color w:val="0000FF"/>
            <w:sz w:val="24"/>
            <w:szCs w:val="24"/>
            <w:u w:val="single"/>
            <w:vertAlign w:val="superscript"/>
          </w:rPr>
          <w:t>[8]</w:t>
        </w:r>
      </w:hyperlink>
    </w:p>
    <w:p w:rsidR="007C7A1A" w:rsidRDefault="00120CF0" w:rsidP="00120CF0">
      <w:pPr>
        <w:spacing w:before="100" w:beforeAutospacing="1" w:after="100" w:afterAutospacing="1" w:line="240" w:lineRule="auto"/>
        <w:jc w:val="both"/>
      </w:pPr>
      <w:r w:rsidRPr="00120CF0">
        <w:rPr>
          <w:rFonts w:ascii="Arial" w:eastAsia="Times New Roman" w:hAnsi="Arial" w:cs="Arial"/>
          <w:sz w:val="24"/>
          <w:szCs w:val="24"/>
        </w:rPr>
        <w:t xml:space="preserve">Beginning in 2001, the trolley problem and its variants have been used extensively in empirical research on </w:t>
      </w:r>
      <w:hyperlink r:id="rId30" w:tooltip="Moral psychology" w:history="1">
        <w:r w:rsidRPr="00120CF0">
          <w:rPr>
            <w:rFonts w:ascii="Arial" w:eastAsia="Times New Roman" w:hAnsi="Arial" w:cs="Arial"/>
            <w:color w:val="0000FF"/>
            <w:sz w:val="24"/>
            <w:szCs w:val="24"/>
            <w:u w:val="single"/>
          </w:rPr>
          <w:t>moral psychology</w:t>
        </w:r>
      </w:hyperlink>
      <w:r w:rsidRPr="00120CF0">
        <w:rPr>
          <w:rFonts w:ascii="Arial" w:eastAsia="Times New Roman" w:hAnsi="Arial" w:cs="Arial"/>
          <w:sz w:val="24"/>
          <w:szCs w:val="24"/>
        </w:rPr>
        <w:t>. Trolley problems have also been a topic of popular books.</w:t>
      </w:r>
      <w:hyperlink r:id="rId31" w:anchor="cite_note-9" w:history="1">
        <w:r w:rsidRPr="00120CF0">
          <w:rPr>
            <w:rFonts w:ascii="Arial" w:eastAsia="Times New Roman" w:hAnsi="Arial" w:cs="Arial"/>
            <w:color w:val="0000FF"/>
            <w:sz w:val="24"/>
            <w:szCs w:val="24"/>
            <w:u w:val="single"/>
            <w:vertAlign w:val="superscript"/>
          </w:rPr>
          <w:t>[9]</w:t>
        </w:r>
      </w:hyperlink>
      <w:r w:rsidRPr="00120CF0">
        <w:rPr>
          <w:rFonts w:ascii="Arial" w:eastAsia="Times New Roman" w:hAnsi="Arial" w:cs="Arial"/>
          <w:sz w:val="24"/>
          <w:szCs w:val="24"/>
        </w:rPr>
        <w:t xml:space="preserve"> The problem often arises in the discussion of the ethics of the design of </w:t>
      </w:r>
      <w:hyperlink r:id="rId32" w:tooltip="Autonomous vehicle" w:history="1">
        <w:r w:rsidRPr="00120CF0">
          <w:rPr>
            <w:rFonts w:ascii="Arial" w:eastAsia="Times New Roman" w:hAnsi="Arial" w:cs="Arial"/>
            <w:color w:val="0000FF"/>
            <w:sz w:val="24"/>
            <w:szCs w:val="24"/>
            <w:u w:val="single"/>
          </w:rPr>
          <w:t>autonomous vehicles</w:t>
        </w:r>
      </w:hyperlink>
      <w:r w:rsidRPr="00120CF0">
        <w:rPr>
          <w:rFonts w:ascii="Arial" w:eastAsia="Times New Roman" w:hAnsi="Arial" w:cs="Arial"/>
          <w:sz w:val="24"/>
          <w:szCs w:val="24"/>
        </w:rPr>
        <w:t>.</w:t>
      </w:r>
      <w:bookmarkStart w:id="0" w:name="_GoBack"/>
      <w:bookmarkEnd w:id="0"/>
      <w:r>
        <w:t xml:space="preserve"> </w:t>
      </w:r>
    </w:p>
    <w:sectPr w:rsidR="007C7A1A" w:rsidSect="00120C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95081A"/>
    <w:multiLevelType w:val="multilevel"/>
    <w:tmpl w:val="1CBA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CF0"/>
    <w:rsid w:val="000B4C63"/>
    <w:rsid w:val="000C060F"/>
    <w:rsid w:val="00120CF0"/>
    <w:rsid w:val="00256F46"/>
    <w:rsid w:val="003200D0"/>
    <w:rsid w:val="006150C3"/>
    <w:rsid w:val="006316E6"/>
    <w:rsid w:val="00B359B1"/>
    <w:rsid w:val="00B66166"/>
    <w:rsid w:val="00C10453"/>
    <w:rsid w:val="00FE449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0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CF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20C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CF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4997502">
      <w:bodyDiv w:val="1"/>
      <w:marLeft w:val="0"/>
      <w:marRight w:val="0"/>
      <w:marTop w:val="0"/>
      <w:marBottom w:val="0"/>
      <w:divBdr>
        <w:top w:val="none" w:sz="0" w:space="0" w:color="auto"/>
        <w:left w:val="none" w:sz="0" w:space="0" w:color="auto"/>
        <w:bottom w:val="none" w:sz="0" w:space="0" w:color="auto"/>
        <w:right w:val="none" w:sz="0" w:space="0" w:color="auto"/>
      </w:divBdr>
    </w:div>
    <w:div w:id="744689941">
      <w:bodyDiv w:val="1"/>
      <w:marLeft w:val="0"/>
      <w:marRight w:val="0"/>
      <w:marTop w:val="0"/>
      <w:marBottom w:val="0"/>
      <w:divBdr>
        <w:top w:val="none" w:sz="0" w:space="0" w:color="auto"/>
        <w:left w:val="none" w:sz="0" w:space="0" w:color="auto"/>
        <w:bottom w:val="none" w:sz="0" w:space="0" w:color="auto"/>
        <w:right w:val="none" w:sz="0" w:space="0" w:color="auto"/>
      </w:divBdr>
    </w:div>
    <w:div w:id="880897584">
      <w:bodyDiv w:val="1"/>
      <w:marLeft w:val="0"/>
      <w:marRight w:val="0"/>
      <w:marTop w:val="0"/>
      <w:marBottom w:val="0"/>
      <w:divBdr>
        <w:top w:val="none" w:sz="0" w:space="0" w:color="auto"/>
        <w:left w:val="none" w:sz="0" w:space="0" w:color="auto"/>
        <w:bottom w:val="none" w:sz="0" w:space="0" w:color="auto"/>
        <w:right w:val="none" w:sz="0" w:space="0" w:color="auto"/>
      </w:divBdr>
      <w:divsChild>
        <w:div w:id="761100212">
          <w:marLeft w:val="0"/>
          <w:marRight w:val="0"/>
          <w:marTop w:val="0"/>
          <w:marBottom w:val="0"/>
          <w:divBdr>
            <w:top w:val="none" w:sz="0" w:space="0" w:color="auto"/>
            <w:left w:val="none" w:sz="0" w:space="0" w:color="auto"/>
            <w:bottom w:val="none" w:sz="0" w:space="0" w:color="auto"/>
            <w:right w:val="none" w:sz="0" w:space="0" w:color="auto"/>
          </w:divBdr>
        </w:div>
        <w:div w:id="1917931287">
          <w:marLeft w:val="0"/>
          <w:marRight w:val="0"/>
          <w:marTop w:val="0"/>
          <w:marBottom w:val="0"/>
          <w:divBdr>
            <w:top w:val="none" w:sz="0" w:space="0" w:color="auto"/>
            <w:left w:val="none" w:sz="0" w:space="0" w:color="auto"/>
            <w:bottom w:val="none" w:sz="0" w:space="0" w:color="auto"/>
            <w:right w:val="none" w:sz="0" w:space="0" w:color="auto"/>
          </w:divBdr>
        </w:div>
      </w:divsChild>
    </w:div>
    <w:div w:id="2003271286">
      <w:bodyDiv w:val="1"/>
      <w:marLeft w:val="0"/>
      <w:marRight w:val="0"/>
      <w:marTop w:val="0"/>
      <w:marBottom w:val="0"/>
      <w:divBdr>
        <w:top w:val="none" w:sz="0" w:space="0" w:color="auto"/>
        <w:left w:val="none" w:sz="0" w:space="0" w:color="auto"/>
        <w:bottom w:val="none" w:sz="0" w:space="0" w:color="auto"/>
        <w:right w:val="none" w:sz="0" w:space="0" w:color="auto"/>
      </w:divBdr>
      <w:divsChild>
        <w:div w:id="2123499259">
          <w:marLeft w:val="0"/>
          <w:marRight w:val="0"/>
          <w:marTop w:val="0"/>
          <w:marBottom w:val="0"/>
          <w:divBdr>
            <w:top w:val="none" w:sz="0" w:space="0" w:color="auto"/>
            <w:left w:val="none" w:sz="0" w:space="0" w:color="auto"/>
            <w:bottom w:val="none" w:sz="0" w:space="0" w:color="auto"/>
            <w:right w:val="none" w:sz="0" w:space="0" w:color="auto"/>
          </w:divBdr>
          <w:divsChild>
            <w:div w:id="403456611">
              <w:marLeft w:val="0"/>
              <w:marRight w:val="0"/>
              <w:marTop w:val="0"/>
              <w:marBottom w:val="0"/>
              <w:divBdr>
                <w:top w:val="none" w:sz="0" w:space="0" w:color="auto"/>
                <w:left w:val="none" w:sz="0" w:space="0" w:color="auto"/>
                <w:bottom w:val="none" w:sz="0" w:space="0" w:color="auto"/>
                <w:right w:val="none" w:sz="0" w:space="0" w:color="auto"/>
              </w:divBdr>
            </w:div>
          </w:divsChild>
        </w:div>
        <w:div w:id="1220820647">
          <w:marLeft w:val="0"/>
          <w:marRight w:val="0"/>
          <w:marTop w:val="0"/>
          <w:marBottom w:val="0"/>
          <w:divBdr>
            <w:top w:val="none" w:sz="0" w:space="0" w:color="auto"/>
            <w:left w:val="none" w:sz="0" w:space="0" w:color="auto"/>
            <w:bottom w:val="none" w:sz="0" w:space="0" w:color="auto"/>
            <w:right w:val="none" w:sz="0" w:space="0" w:color="auto"/>
          </w:divBdr>
          <w:divsChild>
            <w:div w:id="1531798213">
              <w:marLeft w:val="0"/>
              <w:marRight w:val="0"/>
              <w:marTop w:val="0"/>
              <w:marBottom w:val="0"/>
              <w:divBdr>
                <w:top w:val="none" w:sz="0" w:space="0" w:color="auto"/>
                <w:left w:val="none" w:sz="0" w:space="0" w:color="auto"/>
                <w:bottom w:val="none" w:sz="0" w:space="0" w:color="auto"/>
                <w:right w:val="none" w:sz="0" w:space="0" w:color="auto"/>
              </w:divBdr>
              <w:divsChild>
                <w:div w:id="167067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131958">
          <w:marLeft w:val="0"/>
          <w:marRight w:val="0"/>
          <w:marTop w:val="0"/>
          <w:marBottom w:val="0"/>
          <w:divBdr>
            <w:top w:val="none" w:sz="0" w:space="0" w:color="auto"/>
            <w:left w:val="none" w:sz="0" w:space="0" w:color="auto"/>
            <w:bottom w:val="none" w:sz="0" w:space="0" w:color="auto"/>
            <w:right w:val="none" w:sz="0" w:space="0" w:color="auto"/>
          </w:divBdr>
          <w:divsChild>
            <w:div w:id="1672298198">
              <w:marLeft w:val="0"/>
              <w:marRight w:val="0"/>
              <w:marTop w:val="0"/>
              <w:marBottom w:val="0"/>
              <w:divBdr>
                <w:top w:val="none" w:sz="0" w:space="0" w:color="auto"/>
                <w:left w:val="none" w:sz="0" w:space="0" w:color="auto"/>
                <w:bottom w:val="none" w:sz="0" w:space="0" w:color="auto"/>
                <w:right w:val="none" w:sz="0" w:space="0" w:color="auto"/>
              </w:divBdr>
              <w:divsChild>
                <w:div w:id="76619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17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ypsychology.org/psychosexual.html" TargetMode="External"/><Relationship Id="rId13" Type="http://schemas.openxmlformats.org/officeDocument/2006/relationships/image" Target="media/image1.png"/><Relationship Id="rId18" Type="http://schemas.openxmlformats.org/officeDocument/2006/relationships/hyperlink" Target="https://en.wikipedia.org/wiki/Philippa_Foot" TargetMode="External"/><Relationship Id="rId26" Type="http://schemas.openxmlformats.org/officeDocument/2006/relationships/hyperlink" Target="https://en.wikipedia.org/wiki/Trolley_problem" TargetMode="External"/><Relationship Id="rId3" Type="http://schemas.microsoft.com/office/2007/relationships/stylesWithEffects" Target="stylesWithEffects.xml"/><Relationship Id="rId21" Type="http://schemas.openxmlformats.org/officeDocument/2006/relationships/hyperlink" Target="https://en.wikipedia.org/wiki/Trolley_problem" TargetMode="External"/><Relationship Id="rId34" Type="http://schemas.openxmlformats.org/officeDocument/2006/relationships/theme" Target="theme/theme1.xml"/><Relationship Id="rId7" Type="http://schemas.openxmlformats.org/officeDocument/2006/relationships/hyperlink" Target="https://www.simplypsychology.org/psyche.html" TargetMode="External"/><Relationship Id="rId12" Type="http://schemas.openxmlformats.org/officeDocument/2006/relationships/hyperlink" Target="https://en.wikipedia.org/wiki/File:Trolley_problem.png" TargetMode="External"/><Relationship Id="rId17" Type="http://schemas.openxmlformats.org/officeDocument/2006/relationships/hyperlink" Target="https://en.wikipedia.org/wiki/Track_%28rail_transport%29" TargetMode="External"/><Relationship Id="rId25" Type="http://schemas.openxmlformats.org/officeDocument/2006/relationships/hyperlink" Target="https://en.wikipedia.org/wiki/Peter_Unger"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Tram" TargetMode="External"/><Relationship Id="rId20" Type="http://schemas.openxmlformats.org/officeDocument/2006/relationships/hyperlink" Target="https://en.wikipedia.org/wiki/Judith_Thomson" TargetMode="External"/><Relationship Id="rId29" Type="http://schemas.openxmlformats.org/officeDocument/2006/relationships/hyperlink" Target="https://en.wikipedia.org/wiki/Trolley_problem" TargetMode="External"/><Relationship Id="rId1" Type="http://schemas.openxmlformats.org/officeDocument/2006/relationships/numbering" Target="numbering.xml"/><Relationship Id="rId6" Type="http://schemas.openxmlformats.org/officeDocument/2006/relationships/hyperlink" Target="https://www.simplypsychology.org/Sigmund-Freud.html" TargetMode="External"/><Relationship Id="rId11" Type="http://schemas.openxmlformats.org/officeDocument/2006/relationships/hyperlink" Target="https://www.simplypsychology.org/abnormal-psychology.html" TargetMode="External"/><Relationship Id="rId24" Type="http://schemas.openxmlformats.org/officeDocument/2006/relationships/hyperlink" Target="https://en.wikipedia.org/wiki/Trolley_problem" TargetMode="External"/><Relationship Id="rId32" Type="http://schemas.openxmlformats.org/officeDocument/2006/relationships/hyperlink" Target="https://en.wikipedia.org/wiki/Autonomous_vehicle" TargetMode="External"/><Relationship Id="rId5" Type="http://schemas.openxmlformats.org/officeDocument/2006/relationships/webSettings" Target="webSettings.xml"/><Relationship Id="rId15" Type="http://schemas.openxmlformats.org/officeDocument/2006/relationships/hyperlink" Target="https://en.wikipedia.org/wiki/Ethics" TargetMode="External"/><Relationship Id="rId23" Type="http://schemas.openxmlformats.org/officeDocument/2006/relationships/hyperlink" Target="https://en.wikipedia.org/wiki/Frances_Kamm" TargetMode="External"/><Relationship Id="rId28" Type="http://schemas.openxmlformats.org/officeDocument/2006/relationships/hyperlink" Target="https://en.wikipedia.org/wiki/Trolley_problem" TargetMode="External"/><Relationship Id="rId10" Type="http://schemas.openxmlformats.org/officeDocument/2006/relationships/hyperlink" Target="https://www.simplypsychology.org/psychoanalysis.html" TargetMode="External"/><Relationship Id="rId19" Type="http://schemas.openxmlformats.org/officeDocument/2006/relationships/hyperlink" Target="https://en.wikipedia.org/wiki/Trolley_problem" TargetMode="External"/><Relationship Id="rId31" Type="http://schemas.openxmlformats.org/officeDocument/2006/relationships/hyperlink" Target="https://en.wikipedia.org/wiki/Trolley_problem" TargetMode="External"/><Relationship Id="rId4" Type="http://schemas.openxmlformats.org/officeDocument/2006/relationships/settings" Target="settings.xml"/><Relationship Id="rId9" Type="http://schemas.openxmlformats.org/officeDocument/2006/relationships/hyperlink" Target="https://www.simplypsychology.org/self-concept.html" TargetMode="External"/><Relationship Id="rId14" Type="http://schemas.openxmlformats.org/officeDocument/2006/relationships/hyperlink" Target="https://en.wikipedia.org/wiki/Thought_experiment" TargetMode="External"/><Relationship Id="rId22" Type="http://schemas.openxmlformats.org/officeDocument/2006/relationships/hyperlink" Target="https://en.wikipedia.org/wiki/Trolley_problem" TargetMode="External"/><Relationship Id="rId27" Type="http://schemas.openxmlformats.org/officeDocument/2006/relationships/hyperlink" Target="https://en.wikipedia.org/wiki/Trolley_problem" TargetMode="External"/><Relationship Id="rId30" Type="http://schemas.openxmlformats.org/officeDocument/2006/relationships/hyperlink" Target="https://en.wikipedia.org/wiki/Moral_psych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CCF32B5</Template>
  <TotalTime>2</TotalTime>
  <Pages>2</Pages>
  <Words>1376</Words>
  <Characters>7848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DAVIDSON Louise</dc:creator>
  <cp:lastModifiedBy>DAVIDSON Louise</cp:lastModifiedBy>
  <cp:revision>1</cp:revision>
  <dcterms:created xsi:type="dcterms:W3CDTF">2017-06-03T01:48:00Z</dcterms:created>
  <dcterms:modified xsi:type="dcterms:W3CDTF">2017-06-03T01:53:00Z</dcterms:modified>
</cp:coreProperties>
</file>