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F00" w:rsidRDefault="00DF1F00" w:rsidP="00DF1F00">
      <w:pPr>
        <w:pStyle w:val="Heading1"/>
      </w:pPr>
      <w:r>
        <w:t xml:space="preserve">The Looking </w:t>
      </w:r>
      <w:proofErr w:type="gramStart"/>
      <w:r>
        <w:t>Glass :</w:t>
      </w:r>
      <w:proofErr w:type="gramEnd"/>
      <w:r>
        <w:t xml:space="preserve"> New Perspectives on Children's Literature </w:t>
      </w:r>
    </w:p>
    <w:p w:rsidR="00DF1F00" w:rsidRDefault="00DF1F00" w:rsidP="00DF1F0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1F00" w:rsidTr="006A3C5A">
        <w:trPr>
          <w:tblCellSpacing w:w="15" w:type="dxa"/>
        </w:trPr>
        <w:tc>
          <w:tcPr>
            <w:tcW w:w="0" w:type="auto"/>
            <w:vAlign w:val="center"/>
            <w:hideMark/>
          </w:tcPr>
          <w:p w:rsidR="00DF1F00" w:rsidRDefault="00DF1F00" w:rsidP="006A3C5A">
            <w:pPr>
              <w:rPr>
                <w:sz w:val="24"/>
                <w:szCs w:val="24"/>
              </w:rPr>
            </w:pPr>
          </w:p>
        </w:tc>
      </w:tr>
      <w:tr w:rsidR="00DF1F00" w:rsidTr="006A3C5A">
        <w:trPr>
          <w:tblCellSpacing w:w="15" w:type="dxa"/>
        </w:trPr>
        <w:tc>
          <w:tcPr>
            <w:tcW w:w="0" w:type="auto"/>
            <w:vAlign w:val="center"/>
            <w:hideMark/>
          </w:tcPr>
          <w:p w:rsidR="00DF1F00" w:rsidRDefault="00DF1F00" w:rsidP="006A3C5A">
            <w:pPr>
              <w:rPr>
                <w:sz w:val="20"/>
                <w:szCs w:val="20"/>
              </w:rPr>
            </w:pPr>
          </w:p>
        </w:tc>
      </w:tr>
    </w:tbl>
    <w:p w:rsidR="00DF1F00" w:rsidRDefault="00DF1F00" w:rsidP="00DF1F0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6"/>
      </w:tblGrid>
      <w:tr w:rsidR="00DF1F00" w:rsidTr="006A3C5A">
        <w:trPr>
          <w:tblCellSpacing w:w="15" w:type="dxa"/>
        </w:trPr>
        <w:tc>
          <w:tcPr>
            <w:tcW w:w="0" w:type="auto"/>
            <w:vAlign w:val="center"/>
            <w:hideMark/>
          </w:tcPr>
          <w:p w:rsidR="00DF1F00" w:rsidRDefault="00DF1F00" w:rsidP="00353F16">
            <w:pPr>
              <w:pStyle w:val="z-TopofForm"/>
            </w:pPr>
            <w:r>
              <w:t>Top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1F00" w:rsidTr="006A3C5A">
              <w:trPr>
                <w:tblCellSpacing w:w="15" w:type="dxa"/>
              </w:trPr>
              <w:tc>
                <w:tcPr>
                  <w:tcW w:w="0" w:type="auto"/>
                  <w:vAlign w:val="center"/>
                  <w:hideMark/>
                </w:tcPr>
                <w:p w:rsidR="00DF1F00" w:rsidRDefault="00DF1F00" w:rsidP="00353F16">
                  <w:pPr>
                    <w:spacing w:after="0"/>
                    <w:rPr>
                      <w:sz w:val="24"/>
                      <w:szCs w:val="24"/>
                    </w:rPr>
                  </w:pPr>
                </w:p>
              </w:tc>
            </w:tr>
          </w:tbl>
          <w:p w:rsidR="00DF1F00" w:rsidRDefault="00DF1F00" w:rsidP="00353F16">
            <w:pPr>
              <w:pStyle w:val="z-BottomofForm"/>
            </w:pPr>
            <w:r>
              <w:t>Bottom of Form</w:t>
            </w:r>
          </w:p>
          <w:p w:rsidR="00DF1F00" w:rsidRDefault="005307D0" w:rsidP="00353F16">
            <w:pPr>
              <w:spacing w:after="0"/>
            </w:pPr>
            <w:r>
              <w:pict>
                <v:rect id="_x0000_i1033" style="width:0;height:1.5pt" o:hralign="center" o:hrstd="t" o:hr="t" fillcolor="#a0a0a0" stroked="f"/>
              </w:pict>
            </w:r>
          </w:p>
          <w:p w:rsidR="00DF1F00" w:rsidRDefault="00DF1F00" w:rsidP="00353F16">
            <w:pPr>
              <w:pStyle w:val="style9"/>
              <w:spacing w:before="0" w:beforeAutospacing="0" w:after="0" w:afterAutospacing="0"/>
            </w:pPr>
            <w:r>
              <w:rPr>
                <w:rStyle w:val="Strong"/>
              </w:rPr>
              <w:t>Who will save us from the rabbits?: rewriting the past allegorically</w:t>
            </w:r>
          </w:p>
          <w:p w:rsidR="00DF1F00" w:rsidRDefault="00DF1F00" w:rsidP="00353F16">
            <w:pPr>
              <w:pStyle w:val="style56"/>
              <w:spacing w:before="0" w:beforeAutospacing="0" w:after="0" w:afterAutospacing="0"/>
            </w:pPr>
            <w:r>
              <w:t xml:space="preserve">Brooke Collins-Gearing &amp; Dianne </w:t>
            </w:r>
            <w:proofErr w:type="spellStart"/>
            <w:r>
              <w:t>Osland</w:t>
            </w:r>
            <w:proofErr w:type="spellEnd"/>
          </w:p>
          <w:p w:rsidR="00DF1F00" w:rsidRDefault="005307D0" w:rsidP="00353F16">
            <w:pPr>
              <w:spacing w:after="0"/>
            </w:pPr>
            <w:r>
              <w:pict>
                <v:rect id="_x0000_i1034" style="width:0;height:1.5pt" o:hralign="center" o:hrstd="t" o:hr="t" fillcolor="#a0a0a0" stroked="f"/>
              </w:pict>
            </w:r>
          </w:p>
          <w:p w:rsidR="00DF1F00" w:rsidRDefault="00DF1F00" w:rsidP="00353F16">
            <w:pPr>
              <w:pStyle w:val="style20"/>
              <w:spacing w:before="0" w:beforeAutospacing="0" w:after="0" w:afterAutospacing="0"/>
              <w:jc w:val="center"/>
            </w:pPr>
            <w:r>
              <w:rPr>
                <w:rStyle w:val="Strong"/>
                <w:i/>
                <w:iCs/>
              </w:rPr>
              <w:t>Brooke Collins-Gearing</w:t>
            </w:r>
            <w:r>
              <w:rPr>
                <w:rStyle w:val="Emphasis"/>
              </w:rPr>
              <w:t xml:space="preserve"> is a Murri woman who teaches in Children's literature and Indigenous literature at the University of Newcastle. Her research has focused on representations of Aboriginality and non-Aboriginality in Australian children's literature.  </w:t>
            </w:r>
            <w:r>
              <w:t xml:space="preserve"> </w:t>
            </w:r>
          </w:p>
          <w:p w:rsidR="00DF1F00" w:rsidRDefault="00DF1F00" w:rsidP="00353F16">
            <w:pPr>
              <w:pStyle w:val="style20"/>
              <w:spacing w:before="0" w:beforeAutospacing="0" w:after="0" w:afterAutospacing="0"/>
              <w:jc w:val="center"/>
            </w:pPr>
            <w:r>
              <w:rPr>
                <w:rStyle w:val="Strong"/>
                <w:i/>
                <w:iCs/>
              </w:rPr>
              <w:t xml:space="preserve">Dianne </w:t>
            </w:r>
            <w:proofErr w:type="spellStart"/>
            <w:r>
              <w:rPr>
                <w:rStyle w:val="Strong"/>
                <w:i/>
                <w:iCs/>
              </w:rPr>
              <w:t>Osland</w:t>
            </w:r>
            <w:proofErr w:type="spellEnd"/>
            <w:r>
              <w:rPr>
                <w:rStyle w:val="Emphasis"/>
              </w:rPr>
              <w:t xml:space="preserve"> lectures in English Literature at the University of Newcastle, Australia, and her publications include work on the problems of identifying and interpreting metaphor in fiction. She is currently engaged in research on reading practices and cultural change.</w:t>
            </w:r>
          </w:p>
          <w:p w:rsidR="00DF1F00" w:rsidRDefault="005307D0" w:rsidP="00353F16">
            <w:pPr>
              <w:spacing w:after="0"/>
            </w:pPr>
            <w:r>
              <w:pict>
                <v:rect id="_x0000_i1035" style="width:0;height:1.5pt" o:hralign="center" o:hrstd="t" o:hr="t" fillcolor="#a0a0a0" stroked="f"/>
              </w:pic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In 1992, the Australian High Court recognised that the Murray Islanders held native title rights over their land, effectively debunking the doctrine of </w:t>
            </w:r>
            <w:r>
              <w:rPr>
                <w:rStyle w:val="Emphasis"/>
              </w:rPr>
              <w:t>terra nullius</w:t>
            </w:r>
            <w:r>
              <w:t xml:space="preserve">. This became known as the Mabo Decision, as the key plaintiff was Eddie Mabo, a traditional custodian of the land. The Mabo Decision has been the most influential legal decision in this country in defining the rights of Indigenous Australians in a “post-colonial” society. Hence, pre-Mabo and post-Mabo have come to signify the strong colonial framework before 1992 and the legally altered one after the decision.  But what Larissa </w:t>
            </w:r>
            <w:proofErr w:type="spellStart"/>
            <w:r>
              <w:t>Behrendt</w:t>
            </w:r>
            <w:proofErr w:type="spellEnd"/>
            <w:r>
              <w:t xml:space="preserve"> terms a </w:t>
            </w:r>
            <w:r>
              <w:rPr>
                <w:rStyle w:val="Emphasis"/>
              </w:rPr>
              <w:t>psychological</w:t>
            </w:r>
            <w:r>
              <w:t xml:space="preserve"> </w:t>
            </w:r>
            <w:r>
              <w:rPr>
                <w:rStyle w:val="Emphasis"/>
              </w:rPr>
              <w:t>terra nullius</w:t>
            </w:r>
            <w:r>
              <w:t xml:space="preserve"> continues to pervade non-Indigenous representations of history and colonisation (</w:t>
            </w:r>
            <w:proofErr w:type="spellStart"/>
            <w:r>
              <w:t>Behrendt</w:t>
            </w:r>
            <w:proofErr w:type="spellEnd"/>
            <w:r>
              <w:t xml:space="preserve"> 20). We argue in this paper that Australian children’s literature, in particular, is still coming to terms with this psychological </w:t>
            </w:r>
            <w:r>
              <w:rPr>
                <w:rStyle w:val="Emphasis"/>
              </w:rPr>
              <w:t>terra nullius</w:t>
            </w:r>
            <w:r>
              <w:t xml:space="preserve">, leading to a clash of pre-Mabo metanarratives of settlement and post-Mabo awareness of invasion and dispossession.  Post-Mabo, non-Indigenous representations face the dilemma of acknowledging the presence of Indigenous peoples within colonialist frameworks built on the doctrine of </w:t>
            </w:r>
            <w:r>
              <w:rPr>
                <w:rStyle w:val="Emphasis"/>
              </w:rPr>
              <w:t>terra nullius</w:t>
            </w:r>
            <w:r>
              <w:t xml:space="preserve">.  That is, myths of white settlement have been, and continue to be, the basis for ideological, institutional and societal practices and beliefs that centre non-Indigenous cultures and relegate Indigenous cultures to the margins. We have chosen John Marsden and Shaun Tan’s 1998 multi-award-winning text </w:t>
            </w:r>
            <w:r>
              <w:rPr>
                <w:rStyle w:val="Emphasis"/>
              </w:rPr>
              <w:t>The Rabbits</w:t>
            </w:r>
            <w:r>
              <w:t xml:space="preserve"> as the focus of our examination because of its attempt to enter into and reflect recent national and historical dialogues about the construction of Australia’s history. In this text that deals explicitly with colonisation as a form of invasion and dispossession, we wish to examine Australia’s psychological </w:t>
            </w:r>
            <w:r>
              <w:rPr>
                <w:rStyle w:val="Emphasis"/>
              </w:rPr>
              <w:t>terra nullius</w:t>
            </w:r>
            <w:r>
              <w:t xml:space="preserve"> in terms of how it tries to create and invoke a post-Mabo collective identity.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rPr>
                <w:rStyle w:val="Emphasis"/>
              </w:rPr>
              <w:t xml:space="preserve">The Rabbits </w:t>
            </w:r>
            <w:r>
              <w:t xml:space="preserve">was a timely publication, capturing – indeed, some claimed it was capitalizing on – the growing momentum of public sentiment that would eventually result in the newly elected Prime Minister’s 2008 apology to Indigenous Australians. A picture book with sparse text, </w:t>
            </w:r>
            <w:r>
              <w:rPr>
                <w:rStyle w:val="Emphasis"/>
              </w:rPr>
              <w:t>The Rabbits</w:t>
            </w:r>
            <w:r>
              <w:t xml:space="preserve"> is an allegorical representation of colonization. Small numbat-like marsupials [</w:t>
            </w:r>
            <w:hyperlink r:id="rId6" w:anchor="1" w:history="1">
              <w:r>
                <w:rPr>
                  <w:rStyle w:val="Hyperlink"/>
                </w:rPr>
                <w:t>1</w:t>
              </w:r>
            </w:hyperlink>
            <w:bookmarkStart w:id="0" w:name="one"/>
            <w:bookmarkEnd w:id="0"/>
            <w:r>
              <w:t>] are dispossessed of their families, their communities, and their country [</w:t>
            </w:r>
            <w:hyperlink r:id="rId7" w:anchor="2" w:history="1">
              <w:r>
                <w:rPr>
                  <w:rStyle w:val="Hyperlink"/>
                </w:rPr>
                <w:t>2</w:t>
              </w:r>
            </w:hyperlink>
            <w:bookmarkStart w:id="1" w:name="two"/>
            <w:bookmarkEnd w:id="1"/>
            <w:r>
              <w:t xml:space="preserve">] by invading Rabbits who have taken domestication to a level of ruthless efficiency: the Rabbits arrive with all the trappings of European culture – its clothes, agriculture, industry, and economy – and proceed to exploit the land to the point of devastation. And they steal the Numbats’ children. The text’s allegorical nature extends its ability both to create and to evoke colonial “memories” of invasion and dispossession. </w:t>
            </w:r>
            <w:r>
              <w:rPr>
                <w:rStyle w:val="Emphasis"/>
              </w:rPr>
              <w:t>The Rabbits</w:t>
            </w:r>
            <w:r>
              <w:t>’ polemical nature, softened by the surreal images and spare text, informs the reader of the destructive power of colonisation.</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While the images of the land and the creatures inhabiting it clearly locate the story in an Australian context, both the editorial blurb and Shaun Tan’s comments on his illustrations claim a broader reference. It is seen as “a rich and haunting allegory of colonization for all ages and cultures, told from the viewpoint of native animals” (</w:t>
            </w:r>
            <w:r>
              <w:rPr>
                <w:rStyle w:val="Emphasis"/>
              </w:rPr>
              <w:t>The Rabbits</w:t>
            </w:r>
            <w:r>
              <w:t xml:space="preserve"> publisher’s blurb) and a “partly allegorical fable about colonisation, told from the viewpoint of the colonised” (Tan “Shaun Tan”); internationally, readers seem to have little trouble generalizing beyond its regional particularity to identify a global significance in an allegory, not simply of colonization, but also of industrialization and ecological destruction more generally. It is a clever, earnest </w:t>
            </w:r>
            <w:r>
              <w:lastRenderedPageBreak/>
              <w:t>book that seemingly presses all the right buttons; it has won awards nationally and internationally (including the Children’s Book Council of Australia Picture Book of the Year in 1999), and it has quickly made its way into school curricula. But the simple language, striking illustrations, and Picture Book of the Year Award [</w:t>
            </w:r>
            <w:hyperlink r:id="rId8" w:anchor="3" w:history="1">
              <w:r>
                <w:rPr>
                  <w:rStyle w:val="Hyperlink"/>
                </w:rPr>
                <w:t>3</w:t>
              </w:r>
            </w:hyperlink>
            <w:bookmarkStart w:id="2" w:name="three"/>
            <w:bookmarkEnd w:id="2"/>
            <w:r>
              <w:t>] do not disguise or divert attention from the contested dialogue about Australia’s history that it has entered into, nor from the problematic notions of identity (both for Indigenous and non-Indigenous Australians) that it evokes. The narrative constructs dichotomous representations of the “coloniser” (Rabbits) and “colonised” (Numbats): strong, weak; modern, ancient; civilised, primitive; centre, peripheral; conqueror, victim. Such binary oppositions are a legacy of pre-Mabo colonialist discourses in Australian children’s literature and reveal the text’s seemingly neutral colonialist discourses to be rooted in colonialist ideologies and legacies.</w:t>
            </w:r>
          </w:p>
          <w:p w:rsidR="00DF1F00" w:rsidRDefault="00DF1F00" w:rsidP="00353F16">
            <w:pPr>
              <w:pStyle w:val="style20"/>
              <w:spacing w:before="0" w:beforeAutospacing="0" w:after="0" w:afterAutospacing="0"/>
            </w:pPr>
            <w:r>
              <w:t xml:space="preserve">While the Rabbits in the illustrations look like Europeans (long ears excepted), walk upright like Europeans, and dress like Europeans, the marsupials look like small furry animals; they are, moreover, for the most part helpless bystanders. In </w:t>
            </w:r>
            <w:r>
              <w:rPr>
                <w:rStyle w:val="Emphasis"/>
              </w:rPr>
              <w:t>Reading Race</w:t>
            </w:r>
            <w:r>
              <w:t xml:space="preserve">, Clare Bradford has argued that </w:t>
            </w:r>
            <w:r>
              <w:rPr>
                <w:rStyle w:val="Emphasis"/>
              </w:rPr>
              <w:t>The Rabbits</w:t>
            </w:r>
            <w:r>
              <w:t xml:space="preserve"> contributes to the history of “</w:t>
            </w:r>
            <w:proofErr w:type="spellStart"/>
            <w:r>
              <w:t>Aboriginalism</w:t>
            </w:r>
            <w:proofErr w:type="spellEnd"/>
            <w:r>
              <w:t xml:space="preserve">” in Australian children’s literature: “the first-person account of the events of colonisation constructs the Indigenous as stupid and helpless, locking them into the posture of victims… the indigenous creatures who tell their story are naked and vulnerable, always the objects of the gaze of the colonising Rabbits” (113) and Aboriginality is further </w:t>
            </w:r>
            <w:proofErr w:type="spellStart"/>
            <w:r>
              <w:t>essentialized</w:t>
            </w:r>
            <w:proofErr w:type="spellEnd"/>
            <w:r>
              <w:t xml:space="preserve"> by the idea that Indigenous peoples are “primitive victims incapable of assuming agency in their own interests, unable to adjust or adapt to new and troubling times” ( 114). While we wish to extend the analysis of this </w:t>
            </w:r>
            <w:proofErr w:type="spellStart"/>
            <w:r>
              <w:t>essentialised</w:t>
            </w:r>
            <w:proofErr w:type="spellEnd"/>
            <w:r>
              <w:t xml:space="preserve"> and </w:t>
            </w:r>
            <w:proofErr w:type="spellStart"/>
            <w:r>
              <w:t>Aboriginalist</w:t>
            </w:r>
            <w:proofErr w:type="spellEnd"/>
            <w:r>
              <w:t xml:space="preserve"> version of Australia’s history as represented in </w:t>
            </w:r>
            <w:r>
              <w:rPr>
                <w:rStyle w:val="Emphasis"/>
              </w:rPr>
              <w:t>The Rabbits</w:t>
            </w:r>
            <w:r>
              <w:t xml:space="preserve">, we also want to trace another consequence of white Australia’s “psychological </w:t>
            </w:r>
            <w:r>
              <w:rPr>
                <w:rStyle w:val="Emphasis"/>
              </w:rPr>
              <w:t>terra nullius</w:t>
            </w:r>
            <w:r>
              <w:t>” on the depiction of colonial occupation. It is not just the representation of the “Numbats” that is problematic, but also the text’s struggle to depict and position the “Rabbits”.</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rPr>
                <w:rStyle w:val="Emphasis"/>
              </w:rPr>
              <w:t>The Rabbits</w:t>
            </w:r>
            <w:r>
              <w:t xml:space="preserve"> overtly acknowledges that the landscape was inhabited before colonisation: its narrative, illustrations and themes attempt to deal with the coming of the Rabbits, their impact on the land and its original inhabitants (including the stealing of children), the losing battle the original inhabitants face, and the final question of a needed saviour. While the white Rabbits represent the British colonisers, the Indigenous peoples are represented by a nameless marsupial – variously identified by reviewers as bandicoots, tree kangaroos, even “bush babies”, but most closely resembling a numbat, a small, furry, white-banded creature, with a long bushy tail, that feeds mainly on termites and is currently classified, ominously enough, as an endangered species. The narrative is ostensibly from the original creature’s point of view, yet in the telling the colonized are perceived from the colonisers’ point of view, and, in the illustrations and in the outcome, the overall impact is one of the destructiveness of colonisation and the potential demise of the colonised. It is a one way, linear master narrative of history and events, </w:t>
            </w:r>
            <w:proofErr w:type="gramStart"/>
            <w:r>
              <w:t>an</w:t>
            </w:r>
            <w:proofErr w:type="gramEnd"/>
            <w:r>
              <w:t xml:space="preserve"> allegory of the dominance of the colonisers, their slow destruction of the land and its creatures and of the experience of loss, sickness and surrender by those who have been colonised. The Rabbits arrive, they conquer both the landscape and the “Numbats”, and the “Numbats” are powerless to fight against them.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If we apply </w:t>
            </w:r>
            <w:proofErr w:type="spellStart"/>
            <w:r>
              <w:t>Behrendt’s</w:t>
            </w:r>
            <w:proofErr w:type="spellEnd"/>
            <w:r>
              <w:t xml:space="preserve"> idea of psychological </w:t>
            </w:r>
            <w:r>
              <w:rPr>
                <w:rStyle w:val="Emphasis"/>
              </w:rPr>
              <w:t>terra nullius</w:t>
            </w:r>
            <w:r>
              <w:t xml:space="preserve"> here, we can see how the text struggles to subvert pre-Mabo narratives of Australia as an empty landscape and replace it instead with a narrative of invasion and dispossession. Non-Aboriginality is constructed on agrarian, pastoralist and scientific superiority, that is, the land was seen as empty because it was not being used the way the colonisers believed it should be. This belief provided justification for the taking of Indigenous land but the text somewhat subverts this by showing how the colonisers, with their superior ways, then destroyed the environment. The text struggles to come to terms with a non-Aboriginality that overpowered Indigenous Australians and a non-Aboriginality that acknowledges that dispossession. The post-Mabo struggle to place the Rabbits within the landscape sees them retain their power and force to the detriment of everyone and everything around them. The narrative acknowledges a post-Mabo awareness of dispossessing the original inhabitants, but is confined by a pre-Mabo collective memory of colonialist superiority that can conceive of only one kind of story to tell.</w:t>
            </w:r>
          </w:p>
          <w:p w:rsidR="00DF1F00" w:rsidRDefault="00DF1F00" w:rsidP="00353F16">
            <w:pPr>
              <w:pStyle w:val="style20"/>
              <w:spacing w:before="0" w:beforeAutospacing="0" w:after="0" w:afterAutospacing="0"/>
            </w:pPr>
            <w:r>
              <w:t xml:space="preserve">It is a story that is framed by the act of colonisation. Both the illustrations and the text start with the arrival of the Rabbits and end with the dominance of the Rabbits. According to Tan, this was a conscious choice: the cover illustration mimics a nineteenth-century painting by E. Phillips Fox depicting the arrival of European settlement according to “a familiar ideology, all about progress and destiny, the planting of flags and the arrival of legitimate historical narrative” (Tan, “Originality and Creativity”). But even, ostensibly, in telling this story from the viewpoint of the colonised, it perpetuates that colonialist ideology (particularly for </w:t>
            </w:r>
            <w:r>
              <w:lastRenderedPageBreak/>
              <w:t xml:space="preserve">readers – young and old – unable to recognise the ideological freight carried by the framing device). The narrative seems to suggest that this is the only version of history that needs to be told – anything before it is unnecessary. The telling of the tale “from the viewpoint of the colonised” thus becomes even more problematic, imposing on the original inhabitants of the land a decidedly Western temporal perspective. In contrast, Indigenous views of time as cyclical do not always separate these acts of invasion and colonisation from other important moments in Indigenous life and knowledges. That is, in concentric circles, colonisation, particularly the removal of children, remains close in time. It is not an event that happened in the past and is nearly or easily forgotten. But in </w:t>
            </w:r>
            <w:r>
              <w:rPr>
                <w:rStyle w:val="Emphasis"/>
              </w:rPr>
              <w:t xml:space="preserve">The Rabbits, </w:t>
            </w:r>
            <w:r>
              <w:t xml:space="preserve">the original creatures appear only in relation to the act of colonisation; any notion of pre-existence is unnecessary and therefore pre-historical. This serves to reinforce the Western linear approach to time, movement from one period to the next and therefore movement further away from the original period: that is, the book starts with the arrival of the Rabbits and Numbats’ existence before this is now long gone and forgotten.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The illustrations also contribute to the narrative’s struggle to re-tell the story of invasion and ultimately reinforce the colonised perspective as the marginal one. Indeed, the Numbats are peripheral in most of the illustrations, and peripheral to the Rabbit’s society. In one particular, predominantly black and white, image, the Numbats are fringe-dwellers in the Rabbits’ world, homeless, on the grog (evidenced by discarded bottles), living rough out of cardboard boxes placed beneath a “Might=Right” sign. In the middle of the book there is a double page spread where the Numbats appear to be actively resisting the invasion of the Rabbits, “but there were too many” and the following page shows them curled up underground.  In most of the illustrations and accompanying text the focus is on the Rabbits, their tools and power, their destruction of the land and all of its original inhabitants and their presiding dominance over the landscape: “Rabbits, rabbits, rabbits. Millions and millions of rabbits. Everywhere we look there are rabbits”. Towards the end of the book, all colour has slowly faded and blackness dominates the illustrations. The land changes from colour and abundance to “bare and brown” and empty. While the narrative tries to readdress pre-Mabo colonialist discourses that built on the doctrine of </w:t>
            </w:r>
            <w:r>
              <w:rPr>
                <w:rStyle w:val="Emphasis"/>
              </w:rPr>
              <w:t>terra nullius</w:t>
            </w:r>
            <w:r>
              <w:t xml:space="preserve">, the illustrations contribute to the belief that if the land was not empty of “natives” before the arrival of the invaders, it became emptied of them soon after. The illustrations extend the pre-Mabo framework confining the narrative, only allowing them to position the Numbats as destitute and stricken. Outlines of the Numbats, curled in tight balls resembling the imprint of ammonite fossils, appear to be dotted underground, beneath the surface which is dominated by the Rabbits and their flags. The result is that the Numbats remain peripheral to the centred power of the Rabbits. What becomes important is what the Rabbits do, not what the Numbats do. Hence the text reverts to pre-Mabo colonialist structures and perspectives, even to the point of being reminiscent of colonial beliefs that the “natives” would eventually all die out.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While the narrative attempts to replace a pre-Mabo representation of “discovery” and “settlement” with a post-Mabo construction of invasion and destruction, it struggles to position the Rabbits in relation to both the Numbats and the land. The coloniser’s perspective is enforced in the text by the idea that the Rabbits conclusively defeated the Numbats. While the resistance of the “Numbats” is apparent in Tan’s double page illustration, in sepia-tinted cameos, of the Numbats sabotaging the Rabbits’ technology and engaging in sporadic or collective warfare, the following page blatantly states “We lost the fights”, as if subsequent ongoing fights for self-determination and sovereignty never occurred. By establishing the Rabbits as the dominant conquerors and the Numbats as the helpless victims, the Rabbits remain as invaders unreconciled with the landscape, yet it is their ideological and cultural norms that rule the land. If </w:t>
            </w:r>
            <w:r>
              <w:rPr>
                <w:rStyle w:val="Emphasis"/>
              </w:rPr>
              <w:t>The Rabbits</w:t>
            </w:r>
            <w:r>
              <w:t xml:space="preserve"> is portraying the history of contact, then it is a history that assumes that the Rabbits came out the winners and the Numbats still need saving. Throughout the text, in both the written narrative and the illustrations, colonisation is represented as a one way journey: the colonisers came in, they won the battles, </w:t>
            </w:r>
            <w:proofErr w:type="gramStart"/>
            <w:r>
              <w:t>they</w:t>
            </w:r>
            <w:proofErr w:type="gramEnd"/>
            <w:r>
              <w:t xml:space="preserve"> remain today the winners and those in positions of power: “They brought new food, and they brought other animals. We liked some of the food and we liked some of the animals.  But some of the food made us sick, and some of the animals scared us”.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And what does this say about Aboriginal resistance and survival – then and now (to follow the linear idea of time as upheld by the text)? The images in the text attach colour and movement to the Rabbits’ side of the land, while the Numbats’ side is barren and brown. The barrenness of the Numbat’s world is compounded by their amorphous nonentity, they become little more than underground, fossilised skeletons. The use of a </w:t>
            </w:r>
            <w:r>
              <w:lastRenderedPageBreak/>
              <w:t>nameless creature to represent the Indigenous peoples is potentially a powerful technique, as Indigenous Australians did not refer to themselves as “Indigenous” or “Aboriginal” prior to invasion. However, the clumping together of all Indigenous Australians as one group disregards cultural diversity and the different experiences of colonisation. By establishing a colonial dichotomy of “us” and “them”, “Rabbits” and “Numbats”, the narrative also ignores the influence of other migrant peoples since colonisation, and the effects of intermarrying. [</w:t>
            </w:r>
            <w:hyperlink r:id="rId9" w:anchor="4" w:history="1">
              <w:r>
                <w:rPr>
                  <w:rStyle w:val="Hyperlink"/>
                </w:rPr>
                <w:t>4</w:t>
              </w:r>
            </w:hyperlink>
            <w:bookmarkStart w:id="3" w:name="four"/>
            <w:bookmarkEnd w:id="3"/>
            <w:r>
              <w:t xml:space="preserve">] Furthermore, the representation of the colonised people as living in trees is, to say the least, unfortunate. In the spirit of </w:t>
            </w:r>
            <w:r>
              <w:rPr>
                <w:rStyle w:val="Emphasis"/>
              </w:rPr>
              <w:t>terra nullius</w:t>
            </w:r>
            <w:r>
              <w:t>, the original inhabitants are hardly distinguishable from the other native flora and fauna as represented in the book, and one is reminded of section 127 of the Australian Constitution pre-1967, where Aboriginal Australians were not classified as people but as part of the flora and fauna. While the Rabbits look like people and act like people, the “Numbats” never cease to be animals, which pre-empts any notion that the Rabbits could learn or gain anything valuable from the colonised. The erasure of all but an impotent few Numbats erases also the opportunity that always existed, and still exists, for dialogue between non-Aboriginal and Aboriginal voices. By establishing such strict and explicit boundaries between the Rabbits and the Numbats (modern and “natural”, destructive and overwhelmed, winner and loser) the narrative struggles to re-write pre-Mabo settlement myths with a post-Mabo awareness that the land was wrongfully taken and the colonisers’ have built a whole nation on this theft. It attempts to raise and employ post-Mabo awareness and concepts, but, in fact, its passive ideologies simply re-inscribe the perceived hopelessness of pre-Mabo Indigenous peoples as subjugated and victimised.</w:t>
            </w:r>
          </w:p>
          <w:p w:rsidR="00DF1F00" w:rsidRDefault="00DF1F00" w:rsidP="00353F16">
            <w:pPr>
              <w:pStyle w:val="style20"/>
              <w:spacing w:before="0" w:beforeAutospacing="0" w:after="0" w:afterAutospacing="0"/>
            </w:pPr>
            <w:r>
              <w:t xml:space="preserve">While the text attempts to acknowledge some of the injustices done to the Indigenous peoples of Australia, it struggles to (re)define what this then means for the construction of “non-Aboriginality” and the colonisers’ relationship with place. In presenting the Rabbits as having the power to chain, ignore, represent and even speak for the Numbats, the narrative constructs the identity of the colonised as “the passive victim on display” (Chow 29). </w:t>
            </w:r>
            <w:proofErr w:type="spellStart"/>
            <w:r>
              <w:t>Raimond</w:t>
            </w:r>
            <w:proofErr w:type="spellEnd"/>
            <w:r>
              <w:t xml:space="preserve"> </w:t>
            </w:r>
            <w:proofErr w:type="spellStart"/>
            <w:r>
              <w:t>Gaita</w:t>
            </w:r>
            <w:proofErr w:type="spellEnd"/>
            <w:r>
              <w:t>, in relation to coercive reconciliation, has argued that</w:t>
            </w:r>
          </w:p>
          <w:p w:rsidR="00DF1F00" w:rsidRDefault="00DF1F00" w:rsidP="00353F16">
            <w:pPr>
              <w:pStyle w:val="style20"/>
              <w:spacing w:before="0" w:beforeAutospacing="0" w:after="0" w:afterAutospacing="0"/>
            </w:pPr>
            <w:r>
              <w:t xml:space="preserve">Good-hearted people find it intolerable that just treatment of the powerless should depend on the generosity of the powerful – on their pity or even on their openness to an appeal to justice. Since at least 1788, the refusal to accept this has driven the rhetoric of human rights in a noble attempt to bestow dignity on the powerless by creating the illusion that rights are a kind of moral force field, a metaphysical barrier to the indignity of being ruthlessly crushed. I do not need your pity. I do not need your justice gratuitously given. I will stand on my rights. That is the spirit of it, a spirit of defiance. It is an illusion, I fear. Unless an appeal to rights has force to back it, its acknowledgement depends entirely on the spirit of justice in those to whom the appeal was made. (304-5)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Marsden and Tan’s narrative identifies the “native” as lack – “someone from whom something has been stolen” (Rey Chow 31).  Chow, employing the work of Fanon, examines how postcolonial fiction constructs the image of the “other’s” subjectivity through the gaze of the oppressor: “The image, then, is an aggressive sight that reveals itself in the other; it is the site of the aggressed. Moreover, the image is what has been devastated, left bare, and left behind by aggression” (31).  And it is here that we see the text’s struggle with mainstream Australia’s psychological </w:t>
            </w:r>
            <w:r>
              <w:rPr>
                <w:rStyle w:val="Emphasis"/>
              </w:rPr>
              <w:t>terra nullius</w:t>
            </w:r>
            <w:r>
              <w:t xml:space="preserve"> in full colour: the presence of the Numbats, their loss and their lack is what defines the presence of the Rabbits: “Our fascination with the native, the oppressed, the savage, and all such figures is therefore a desire to hold on to an unchanging certainty somewhere outside our own ‘fake’ experience. It is a desire for being ‘non-duped’, which is a not-too-innocent desire to seize control” (53).</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The final page serves to reinforce the Rabbits’ need to seize control and Numbats’ status as helpless and demoralised creatures in need of rescue: “Who will save us from the rabbits?” The text reinforces colonialist assumptions that Aboriginal Australians cannot determine their own lives or their own futures. Potentially the ending could be read as exposing the continual control Western society has over Aboriginal peoples and their lives; however, presenting the Numbats as in need of a saviour denies their ability to save themselves. Centring the colonisers’ perspective, and effectively colonising the original inhabitants’ voice, silences the colonised, denying their ability to speak for themselves, refusing them the right to their own identity and history. And while some may argue that this is an accurate reflection of the history of colonisation, the text’s attempt to acknowledge a post-Mabo landscape of invasion and dispossession is undercut by pre-Mabo suppression of Indigenous voices, leaving no space to address injustices and denial of Indigenous rights.  The final illustration of the intruding blackness upon the two figures – one rabbit, one original creature, sitting opposite each other on the edge of a pond that is the last remnant of the great billabong – is </w:t>
            </w:r>
            <w:r>
              <w:lastRenderedPageBreak/>
              <w:t xml:space="preserve">ambiguous at best. There is the potential to read this final image as a sign of hope, for the possibility of equal and shared communication between Rabbit and Numbat. However, the text implies that now both the Rabbit and Numbat need help – a saviour of some sort.  It removes the option for the Rabbits to change their ways and acknowledge their power in what </w:t>
            </w:r>
            <w:proofErr w:type="spellStart"/>
            <w:r>
              <w:t>Gaita</w:t>
            </w:r>
            <w:proofErr w:type="spellEnd"/>
            <w:r>
              <w:t xml:space="preserve"> terms “the spirit of justice”: “The Aborigines have no power worth speaking of. If their voices are to be heard, if they dare speak from their hearts seriously to challenge our assumptions, be they assumptions of the Right or the Left, then it will be because we – the non-Aboriginal population – will have been moved by the spirit of justice to listen” (305).</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As an allegory of colonisation, </w:t>
            </w:r>
            <w:r>
              <w:rPr>
                <w:rStyle w:val="Emphasis"/>
              </w:rPr>
              <w:t>The Rabbits</w:t>
            </w:r>
            <w:r>
              <w:t xml:space="preserve"> appears to be exposing the horrors of colonial exploitation, yet in its representation of “they came, they saw and they conquered”, even this post-Mabo perspective maintains the white metanarrative of history as war and winning. If the battle was fought and won (by the Rabbits) and the Numbats are only dwelling in the peripheral shade (both physically and historically), simply sitting back and waiting to be saved, [</w:t>
            </w:r>
            <w:hyperlink r:id="rId10" w:anchor="5" w:history="1">
              <w:r>
                <w:rPr>
                  <w:rStyle w:val="Hyperlink"/>
                </w:rPr>
                <w:t>5</w:t>
              </w:r>
            </w:hyperlink>
            <w:bookmarkStart w:id="4" w:name="five"/>
            <w:bookmarkEnd w:id="4"/>
            <w:r>
              <w:t xml:space="preserve">] then this representation upholds the idea that modernity, civilisation, progress and the white man were unavoidable and remain so today, that the tools and knowledges of the Rabbits were too much for the poor nameless creatures to deal with, and therefore at some point progress was going to arrive.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The unspoken, and often unthinking, subtext of allegory is well-argued by James Clifford in his study of its use in ethnographic writing. In </w:t>
            </w:r>
            <w:r>
              <w:rPr>
                <w:rStyle w:val="Emphasis"/>
              </w:rPr>
              <w:t>Writing Cultures</w:t>
            </w:r>
            <w:r>
              <w:t xml:space="preserve">, he points out that “Allegory (Gr. </w:t>
            </w:r>
            <w:proofErr w:type="spellStart"/>
            <w:r>
              <w:rPr>
                <w:rStyle w:val="Emphasis"/>
              </w:rPr>
              <w:t>Allos</w:t>
            </w:r>
            <w:proofErr w:type="spellEnd"/>
            <w:r>
              <w:t xml:space="preserve">, “other”, and </w:t>
            </w:r>
            <w:proofErr w:type="spellStart"/>
            <w:r>
              <w:rPr>
                <w:rStyle w:val="Emphasis"/>
              </w:rPr>
              <w:t>agorevein</w:t>
            </w:r>
            <w:proofErr w:type="spellEnd"/>
            <w:r>
              <w:t xml:space="preserve">, “to speak”) usually denotes a practice in which a narrative fiction continuously refers to another pattern of ideas or events. It is a representation that ‘interprets’ itself” (Clifford 99). In the case of </w:t>
            </w:r>
            <w:r>
              <w:rPr>
                <w:rStyle w:val="Emphasis"/>
              </w:rPr>
              <w:t>The Rabbits</w:t>
            </w:r>
            <w:r>
              <w:t xml:space="preserve">, the text refers to patterns and ideas from Western colonisation and reinterprets not only what this means but the impact and power it has. So once again, the cultural framework for the narrative and its reader is a non-Indigenous, colonial, Western one. The power to construct the allegory and tell it has remained with “the Rabbits” and associated with this power is its intended interpretation and moral connotations.  Clifford also states that “Allegory prompts us to say of any cultural description not ‘this represents, or symbolizes, that’ but rather, ‘this is a (morally charged) story about that’” (100). </w:t>
            </w:r>
            <w:r>
              <w:rPr>
                <w:rStyle w:val="Emphasis"/>
              </w:rPr>
              <w:t>The Rabbits</w:t>
            </w:r>
            <w:r>
              <w:t xml:space="preserve">, in its depiction of the power of the Rabbits and their destructive power over the land, then becomes a morally charged retelling of the nation’s collective memory of colonisation.  Pre-Mabo, the collective Australian psyche, and its doctrine of </w:t>
            </w:r>
            <w:r>
              <w:rPr>
                <w:rStyle w:val="Emphasis"/>
              </w:rPr>
              <w:t>terra nullius</w:t>
            </w:r>
            <w:r>
              <w:t xml:space="preserve">, depended on being “morally” and legally right (the justification for invasion, protection, segregation, assimilation </w:t>
            </w:r>
            <w:proofErr w:type="spellStart"/>
            <w:r>
              <w:t>etc</w:t>
            </w:r>
            <w:proofErr w:type="spellEnd"/>
            <w:r>
              <w:t xml:space="preserve">). Post-Mabo, the nation’s psychological </w:t>
            </w:r>
            <w:r>
              <w:rPr>
                <w:rStyle w:val="Emphasis"/>
              </w:rPr>
              <w:t>terra nullius</w:t>
            </w:r>
            <w:r>
              <w:t xml:space="preserve"> now has to come to terms with being morally “wrong”. However, the use of allegory, with its attenuation of the specifically Australian experience of colonisation, encourages selective blindness and political forgetfulness.  The specific metaphor of colonisation (in this instance a rabbit plague) carries with it assumptions about the actual process – in this instance, as an unavoidable and essentially amoral natural phenomenon (what could be more natural than breeding like Rabbits?) that efface realities that can then be ignored. </w:t>
            </w:r>
          </w:p>
          <w:p w:rsidR="005307D0" w:rsidRDefault="005307D0" w:rsidP="00353F16">
            <w:pPr>
              <w:pStyle w:val="style20"/>
              <w:spacing w:before="0" w:beforeAutospacing="0" w:after="0" w:afterAutospacing="0"/>
            </w:pPr>
          </w:p>
          <w:p w:rsidR="00DF1F00" w:rsidRDefault="00DF1F00" w:rsidP="00353F16">
            <w:pPr>
              <w:pStyle w:val="style20"/>
              <w:spacing w:before="0" w:beforeAutospacing="0" w:after="0" w:afterAutospacing="0"/>
            </w:pPr>
            <w:r>
              <w:t xml:space="preserve">Read as an allegory of colonisation, </w:t>
            </w:r>
            <w:r>
              <w:rPr>
                <w:rStyle w:val="Emphasis"/>
              </w:rPr>
              <w:t>The Rabbits</w:t>
            </w:r>
            <w:r>
              <w:t xml:space="preserve">  relocates the significance of the narrative beyond the specific context in which the story takes place, so that the particular and personal are appropriated and diminished, extinguishing a sense of personal investment and responsibility in the specific Australian context. It is a psychological </w:t>
            </w:r>
            <w:r>
              <w:rPr>
                <w:rStyle w:val="Emphasis"/>
              </w:rPr>
              <w:t>terra nullius</w:t>
            </w:r>
            <w:r>
              <w:t xml:space="preserve"> of a particularly insidious kind, emptying the land of meaning except as it “stands for” a bigger picture and larger historical, economic and environmental issues. The allegorical nature of the text and its embedded moral attachment also imply a “right” reading of the text. Allegory does require an active reader: the connections between the narrative and symbolic levels may be obvious, but they still need to be made by the reader ─ though the age at which children acquire the metaphorical competence to make such connections without guidance is still hotly debated. But more so than in other types of imaginative fiction, once the connection is established, interpretative options are severely curtailed. Tan denies that the book is didactic, arguing that “It’s up to the reader to draw whatever meaning they wish” (“Originality and Creativity”), yet reviews of the book that are critical of its heavy-handedness (most obvious, perhaps, in its reference to stolen children, which Tan seems to be trying to disengage from its jarringly literal historical context by an illustration that sees the children carried off in squadrons of box-kites) attack it for its “political correctness”, which implies not only a “closed” interpretation of the text but a “morally charged” one as well. The post-Mabo perspective relies on an allegory based on a pre-Mabo cultural framework that silences the possibility for Indigenous voices to engage in a dialogue with non-Indigenous ones.  </w:t>
            </w:r>
          </w:p>
          <w:p w:rsidR="00DF1F00" w:rsidRDefault="00DF1F00" w:rsidP="005307D0">
            <w:pPr>
              <w:pStyle w:val="NormalWeb"/>
              <w:spacing w:before="0" w:beforeAutospacing="0" w:after="0" w:afterAutospacing="0"/>
            </w:pPr>
            <w:r>
              <w:lastRenderedPageBreak/>
              <w:t> </w:t>
            </w:r>
            <w:bookmarkStart w:id="5" w:name="_GoBack"/>
            <w:bookmarkEnd w:id="5"/>
            <w:r>
              <w:rPr>
                <w:rStyle w:val="Strong"/>
              </w:rPr>
              <w:t>Notes</w:t>
            </w:r>
          </w:p>
          <w:p w:rsidR="00DF1F00" w:rsidRDefault="005307D0" w:rsidP="00353F16">
            <w:pPr>
              <w:pStyle w:val="style20"/>
              <w:spacing w:before="0" w:beforeAutospacing="0" w:after="0" w:afterAutospacing="0"/>
            </w:pPr>
            <w:hyperlink r:id="rId11" w:anchor="one" w:history="1">
              <w:r w:rsidR="00DF1F00">
                <w:rPr>
                  <w:rStyle w:val="Hyperlink"/>
                </w:rPr>
                <w:t>1</w:t>
              </w:r>
            </w:hyperlink>
            <w:bookmarkStart w:id="6" w:name="1"/>
            <w:bookmarkEnd w:id="6"/>
            <w:r w:rsidR="00DF1F00">
              <w:t>. For the purposes of this paper, the nameless creatures in the text will be referred to as numbats, which they most closely (though not exactly) resemble.</w:t>
            </w:r>
          </w:p>
          <w:p w:rsidR="00DF1F00" w:rsidRDefault="005307D0" w:rsidP="00353F16">
            <w:pPr>
              <w:pStyle w:val="style20"/>
              <w:spacing w:before="0" w:beforeAutospacing="0" w:after="0" w:afterAutospacing="0"/>
            </w:pPr>
            <w:hyperlink r:id="rId12" w:anchor="two" w:history="1">
              <w:r w:rsidR="00DF1F00">
                <w:rPr>
                  <w:rStyle w:val="Hyperlink"/>
                </w:rPr>
                <w:t>2</w:t>
              </w:r>
            </w:hyperlink>
            <w:bookmarkStart w:id="7" w:name="2"/>
            <w:bookmarkEnd w:id="7"/>
            <w:r w:rsidR="00DF1F00">
              <w:t>. Prime Minister Rudd’s “Apology to Australia’s Indigenous People” makes specific reference to “the removal of Aboriginal and Torres Strait Islander children from their families, their communities and their country” (Address to Parliament 13th February, 2008).</w:t>
            </w:r>
          </w:p>
          <w:p w:rsidR="00DF1F00" w:rsidRDefault="005307D0" w:rsidP="00353F16">
            <w:pPr>
              <w:pStyle w:val="style20"/>
              <w:spacing w:before="0" w:beforeAutospacing="0" w:after="0" w:afterAutospacing="0"/>
            </w:pPr>
            <w:hyperlink r:id="rId13" w:anchor="three" w:history="1">
              <w:r w:rsidR="00DF1F00">
                <w:rPr>
                  <w:rStyle w:val="Hyperlink"/>
                </w:rPr>
                <w:t>3</w:t>
              </w:r>
            </w:hyperlink>
            <w:bookmarkStart w:id="8" w:name="3"/>
            <w:bookmarkEnd w:id="8"/>
            <w:r w:rsidR="00DF1F00">
              <w:t>. The book advertises itself as suitable “for all ages, all cultures” (back cover), though Tan claims it was “originally conceived as a book for older readers” (“Shaun Tan: Picture Books”).</w:t>
            </w:r>
          </w:p>
          <w:p w:rsidR="00DF1F00" w:rsidRDefault="005307D0" w:rsidP="00353F16">
            <w:pPr>
              <w:pStyle w:val="style20"/>
              <w:spacing w:before="0" w:beforeAutospacing="0" w:after="0" w:afterAutospacing="0"/>
            </w:pPr>
            <w:hyperlink r:id="rId14" w:anchor="four" w:history="1">
              <w:r w:rsidR="00DF1F00">
                <w:rPr>
                  <w:rStyle w:val="Hyperlink"/>
                </w:rPr>
                <w:t>4</w:t>
              </w:r>
            </w:hyperlink>
            <w:bookmarkStart w:id="9" w:name="4"/>
            <w:bookmarkEnd w:id="9"/>
            <w:r w:rsidR="00DF1F00">
              <w:t>. The analogy of colonisation to an invasion of rabbits not only disregards the cultural diversity of generations of colonisers but also glosses over instances of a more malevolent dispossession. Not all of the colonisers were instruments of merely collateral damage in their destruction of the Indigenous population in pursuit of economic imperatives. Some meant to do it.</w:t>
            </w:r>
          </w:p>
          <w:p w:rsidR="00DF1F00" w:rsidRDefault="005307D0" w:rsidP="00353F16">
            <w:pPr>
              <w:pStyle w:val="style20"/>
              <w:spacing w:before="0" w:beforeAutospacing="0" w:after="0" w:afterAutospacing="0"/>
            </w:pPr>
            <w:hyperlink r:id="rId15" w:anchor="five" w:history="1">
              <w:r w:rsidR="00DF1F00">
                <w:rPr>
                  <w:rStyle w:val="Hyperlink"/>
                </w:rPr>
                <w:t>5</w:t>
              </w:r>
            </w:hyperlink>
            <w:bookmarkStart w:id="10" w:name="5"/>
            <w:bookmarkEnd w:id="10"/>
            <w:r w:rsidR="00DF1F00">
              <w:t xml:space="preserve">. </w:t>
            </w:r>
            <w:proofErr w:type="spellStart"/>
            <w:r w:rsidR="00DF1F00">
              <w:t>Unsworth</w:t>
            </w:r>
            <w:proofErr w:type="spellEnd"/>
            <w:r w:rsidR="00DF1F00">
              <w:t xml:space="preserve"> and Wheeler, in their positive analysis </w:t>
            </w:r>
            <w:proofErr w:type="gramStart"/>
            <w:r w:rsidR="00DF1F00">
              <w:t xml:space="preserve">of </w:t>
            </w:r>
            <w:r w:rsidR="00DF1F00">
              <w:rPr>
                <w:rStyle w:val="Emphasis"/>
              </w:rPr>
              <w:t> The</w:t>
            </w:r>
            <w:proofErr w:type="gramEnd"/>
            <w:r w:rsidR="00DF1F00">
              <w:rPr>
                <w:rStyle w:val="Emphasis"/>
              </w:rPr>
              <w:t xml:space="preserve"> Rabbits </w:t>
            </w:r>
            <w:r w:rsidR="00DF1F00">
              <w:t>(in which they refer to the original inhabitants as bandicoots), identify the way in which this passivity informs the language:  “In several of the beginning illustrations the bandicoots are seen holding their spears just watching the rabbits. The rabbits, however, are seen as very active right from the start, driving, studying and measuring. This is mirrored in the text by the agentive roles taken by the rabbits and the bandicoots in relation to the kinds of processes represented by different verbs. The rabbits have active agentive roles with verbs like “made”, “brought”, “came”, “spread”, “ate”, “chopped” and “stole”. The bandicoots are less involved with words of action and more involved with communicative and mental process verbs like “warned” and “liked”. When they are involved in action, it is significantly negative – “lost”.” (72).</w:t>
            </w:r>
          </w:p>
          <w:p w:rsidR="00DF1F00" w:rsidRDefault="00DF1F00" w:rsidP="00353F16">
            <w:pPr>
              <w:pStyle w:val="style20"/>
              <w:spacing w:before="0" w:beforeAutospacing="0" w:after="0" w:afterAutospacing="0"/>
            </w:pPr>
            <w:r>
              <w:t> </w:t>
            </w:r>
          </w:p>
          <w:p w:rsidR="00DF1F00" w:rsidRDefault="00DF1F00" w:rsidP="00353F16">
            <w:pPr>
              <w:pStyle w:val="style20"/>
              <w:spacing w:before="0" w:beforeAutospacing="0" w:after="0" w:afterAutospacing="0"/>
            </w:pPr>
            <w:r>
              <w:rPr>
                <w:rStyle w:val="Strong"/>
              </w:rPr>
              <w:t>Works Cited</w:t>
            </w:r>
          </w:p>
          <w:p w:rsidR="00DF1F00" w:rsidRDefault="00DF1F00" w:rsidP="00353F16">
            <w:pPr>
              <w:pStyle w:val="style20"/>
              <w:spacing w:before="0" w:beforeAutospacing="0" w:after="0" w:afterAutospacing="0"/>
            </w:pPr>
            <w:proofErr w:type="spellStart"/>
            <w:r>
              <w:t>Behrendt</w:t>
            </w:r>
            <w:proofErr w:type="spellEnd"/>
            <w:r>
              <w:t xml:space="preserve">, Larissa. </w:t>
            </w:r>
            <w:r>
              <w:rPr>
                <w:rStyle w:val="Emphasis"/>
              </w:rPr>
              <w:t>Achieving Social Justice: Indigenous Rights and Australia’s Future.</w:t>
            </w:r>
            <w:r>
              <w:t xml:space="preserve"> Annandale, NSW: Federation Press, 2003. Print.</w:t>
            </w:r>
          </w:p>
          <w:p w:rsidR="00DF1F00" w:rsidRDefault="00DF1F00" w:rsidP="00353F16">
            <w:pPr>
              <w:pStyle w:val="style20"/>
              <w:spacing w:before="0" w:beforeAutospacing="0" w:after="0" w:afterAutospacing="0"/>
            </w:pPr>
            <w:r>
              <w:t xml:space="preserve">Bradford, Clare. </w:t>
            </w:r>
            <w:r>
              <w:rPr>
                <w:rStyle w:val="Emphasis"/>
              </w:rPr>
              <w:t xml:space="preserve">Reading Race: Aboriginality in Australian Children’s </w:t>
            </w:r>
            <w:proofErr w:type="spellStart"/>
            <w:r>
              <w:rPr>
                <w:rStyle w:val="Emphasis"/>
              </w:rPr>
              <w:t>Literature.</w:t>
            </w:r>
            <w:r>
              <w:t>Carlton</w:t>
            </w:r>
            <w:proofErr w:type="spellEnd"/>
            <w:r>
              <w:t>, Vic: Melbourne UP, 2001. Print.</w:t>
            </w:r>
          </w:p>
          <w:p w:rsidR="00DF1F00" w:rsidRDefault="00DF1F00" w:rsidP="00353F16">
            <w:pPr>
              <w:pStyle w:val="style20"/>
              <w:spacing w:before="0" w:beforeAutospacing="0" w:after="0" w:afterAutospacing="0"/>
            </w:pPr>
            <w:r>
              <w:t>Clifford, James and George E. Marcus (</w:t>
            </w:r>
            <w:proofErr w:type="spellStart"/>
            <w:r>
              <w:t>eds</w:t>
            </w:r>
            <w:proofErr w:type="spellEnd"/>
            <w:r>
              <w:t xml:space="preserve">). </w:t>
            </w:r>
            <w:r>
              <w:rPr>
                <w:rStyle w:val="Emphasis"/>
              </w:rPr>
              <w:t>Writing Culture: The Poetics and Politics of Ethnography</w:t>
            </w:r>
            <w:proofErr w:type="gramStart"/>
            <w:r>
              <w:t>  Berkeley</w:t>
            </w:r>
            <w:proofErr w:type="gramEnd"/>
            <w:r>
              <w:t>: University of California Press, 1986. Print.</w:t>
            </w:r>
          </w:p>
          <w:p w:rsidR="00DF1F00" w:rsidRDefault="00DF1F00" w:rsidP="00353F16">
            <w:pPr>
              <w:pStyle w:val="style20"/>
              <w:spacing w:before="0" w:beforeAutospacing="0" w:after="0" w:afterAutospacing="0"/>
            </w:pPr>
            <w:r>
              <w:t xml:space="preserve">Chow, Rey. </w:t>
            </w:r>
            <w:r>
              <w:rPr>
                <w:rStyle w:val="Emphasis"/>
              </w:rPr>
              <w:t>Writing Diaspora: Tactics of Intervention in Contemporary Cultural Studies</w:t>
            </w:r>
            <w:r>
              <w:t>. Bloomington, IN: Indiana UP, 1993. Print.</w:t>
            </w:r>
          </w:p>
          <w:p w:rsidR="00DF1F00" w:rsidRDefault="00DF1F00" w:rsidP="00353F16">
            <w:pPr>
              <w:pStyle w:val="style20"/>
              <w:spacing w:before="0" w:beforeAutospacing="0" w:after="0" w:afterAutospacing="0"/>
            </w:pPr>
            <w:proofErr w:type="spellStart"/>
            <w:r>
              <w:t>Gaita</w:t>
            </w:r>
            <w:proofErr w:type="spellEnd"/>
            <w:r>
              <w:t xml:space="preserve">, </w:t>
            </w:r>
            <w:proofErr w:type="spellStart"/>
            <w:r>
              <w:t>Raimond</w:t>
            </w:r>
            <w:proofErr w:type="spellEnd"/>
            <w:r>
              <w:t xml:space="preserve">. “The Moral Force of Reconciliation”. In </w:t>
            </w:r>
            <w:r>
              <w:rPr>
                <w:rStyle w:val="Emphasis"/>
              </w:rPr>
              <w:t xml:space="preserve">Coercive Reconciliation: stabilize, normalize, </w:t>
            </w:r>
            <w:proofErr w:type="gramStart"/>
            <w:r>
              <w:rPr>
                <w:rStyle w:val="Emphasis"/>
              </w:rPr>
              <w:t>exit</w:t>
            </w:r>
            <w:proofErr w:type="gramEnd"/>
            <w:r>
              <w:rPr>
                <w:rStyle w:val="Emphasis"/>
              </w:rPr>
              <w:t xml:space="preserve"> Aboriginal Australia.</w:t>
            </w:r>
            <w:r>
              <w:t xml:space="preserve"> Ed. Jon Altman and Melinda </w:t>
            </w:r>
            <w:proofErr w:type="spellStart"/>
            <w:r>
              <w:t>Hinkson</w:t>
            </w:r>
            <w:proofErr w:type="spellEnd"/>
            <w:r>
              <w:t>. North Carlton: Arena Publications, 2007. Print.</w:t>
            </w:r>
          </w:p>
          <w:p w:rsidR="00DF1F00" w:rsidRDefault="00DF1F00" w:rsidP="00353F16">
            <w:pPr>
              <w:pStyle w:val="style20"/>
              <w:spacing w:before="0" w:beforeAutospacing="0" w:after="0" w:afterAutospacing="0"/>
            </w:pPr>
            <w:r>
              <w:t xml:space="preserve">Marsden, John and Shaun Tan. </w:t>
            </w:r>
            <w:r>
              <w:rPr>
                <w:rStyle w:val="Emphasis"/>
              </w:rPr>
              <w:t>The Rabbits.</w:t>
            </w:r>
            <w:r>
              <w:t xml:space="preserve"> Sydney: Lothian, 1998. Print.</w:t>
            </w:r>
          </w:p>
          <w:p w:rsidR="00DF1F00" w:rsidRDefault="00DF1F00" w:rsidP="00353F16">
            <w:pPr>
              <w:pStyle w:val="style20"/>
              <w:spacing w:before="0" w:beforeAutospacing="0" w:after="0" w:afterAutospacing="0"/>
            </w:pPr>
            <w:r>
              <w:t>Rudd, Kevin.  “Apology to Australia’s Indigenous People”: Address to Parliament 13 February 2008”. Transcripts. Prime Minister of Australia. 2008. Web. 20 Feb. 2008.</w:t>
            </w:r>
          </w:p>
          <w:p w:rsidR="00DF1F00" w:rsidRDefault="00DF1F00" w:rsidP="00353F16">
            <w:pPr>
              <w:pStyle w:val="style20"/>
              <w:spacing w:before="0" w:beforeAutospacing="0" w:after="0" w:afterAutospacing="0"/>
            </w:pPr>
            <w:r>
              <w:t>Tan, Shaun. “Originality and Creativity”. Paper Presented at the Joint National Conference of the Australian Association for the Teaching of English and the Australian Literacy Educators’ Association (Hobart, Tasmania, Australia, July 12-15 2001). Web. 12 Feb. 2009.</w:t>
            </w:r>
          </w:p>
          <w:p w:rsidR="00DF1F00" w:rsidRDefault="00DF1F00" w:rsidP="00353F16">
            <w:pPr>
              <w:pStyle w:val="style20"/>
              <w:spacing w:before="0" w:beforeAutospacing="0" w:after="0" w:afterAutospacing="0"/>
            </w:pPr>
            <w:r>
              <w:t>---. “Shaun Tan: Picture Books”. Web. 12 Feb. 2009.</w:t>
            </w:r>
          </w:p>
          <w:p w:rsidR="00DF1F00" w:rsidRDefault="00DF1F00" w:rsidP="00353F16">
            <w:pPr>
              <w:pStyle w:val="style20"/>
              <w:spacing w:before="0" w:beforeAutospacing="0" w:after="0" w:afterAutospacing="0"/>
            </w:pPr>
            <w:proofErr w:type="spellStart"/>
            <w:r>
              <w:t>Unsworth</w:t>
            </w:r>
            <w:proofErr w:type="spellEnd"/>
            <w:r>
              <w:t xml:space="preserve">, Len and Janet Wheeler. “Re-Valuing the Role of Images in Reviewing Picture Books”. </w:t>
            </w:r>
            <w:r>
              <w:rPr>
                <w:rStyle w:val="Emphasis"/>
              </w:rPr>
              <w:t>Reading</w:t>
            </w:r>
            <w:r>
              <w:t xml:space="preserve"> 36.2 (2002): 68-74. Print.</w:t>
            </w:r>
          </w:p>
          <w:p w:rsidR="00DF1F00" w:rsidRDefault="00DF1F00" w:rsidP="00353F16">
            <w:pPr>
              <w:pStyle w:val="NormalWeb"/>
              <w:spacing w:before="0" w:beforeAutospacing="0" w:after="0" w:afterAutospacing="0"/>
            </w:pPr>
            <w:r>
              <w:t> </w:t>
            </w:r>
          </w:p>
          <w:p w:rsidR="00DF1F00" w:rsidRDefault="00DF1F00" w:rsidP="00353F16">
            <w:pPr>
              <w:pStyle w:val="style20"/>
              <w:spacing w:before="0" w:beforeAutospacing="0" w:after="0" w:afterAutospacing="0"/>
            </w:pPr>
            <w:r>
              <w:t xml:space="preserve">Brooke Collins-Gearing and Dianne </w:t>
            </w:r>
            <w:proofErr w:type="spellStart"/>
            <w:r>
              <w:t>Osland</w:t>
            </w:r>
            <w:proofErr w:type="spellEnd"/>
          </w:p>
          <w:p w:rsidR="00DF1F00" w:rsidRDefault="005307D0" w:rsidP="00353F16">
            <w:pPr>
              <w:spacing w:after="0"/>
            </w:pPr>
            <w:r>
              <w:pict>
                <v:rect id="_x0000_i1036" style="width:0;height:1.5pt" o:hralign="center" o:hrstd="t" o:hr="t" fillcolor="#a0a0a0" stroked="f"/>
              </w:pict>
            </w:r>
          </w:p>
          <w:p w:rsidR="00DF1F00" w:rsidRDefault="00DF1F00" w:rsidP="00353F16">
            <w:pPr>
              <w:pStyle w:val="style23"/>
              <w:spacing w:before="0" w:beforeAutospacing="0" w:after="0" w:afterAutospacing="0"/>
              <w:jc w:val="center"/>
            </w:pPr>
            <w:r>
              <w:t>Volume 14, Issue 2, The Looking Glass May/June, 2010</w:t>
            </w:r>
          </w:p>
          <w:p w:rsidR="00DF1F00" w:rsidRDefault="00DF1F00" w:rsidP="00353F16">
            <w:pPr>
              <w:pStyle w:val="style23"/>
              <w:spacing w:before="0" w:beforeAutospacing="0" w:after="0" w:afterAutospacing="0"/>
              <w:jc w:val="center"/>
            </w:pPr>
            <w:r>
              <w:t xml:space="preserve">Site design and content, except where noted, © The Looking Glass 2010. </w:t>
            </w:r>
            <w:r>
              <w:br/>
              <w:t>"Who will save us from the rabbits</w:t>
            </w:r>
            <w:proofErr w:type="gramStart"/>
            <w:r>
              <w:t>?:</w:t>
            </w:r>
            <w:proofErr w:type="gramEnd"/>
            <w:r>
              <w:t xml:space="preserve"> rewriting the past allegorically" </w:t>
            </w:r>
            <w:r>
              <w:rPr>
                <w:rStyle w:val="style29"/>
              </w:rPr>
              <w:t xml:space="preserve">© Brooke Collins-Gearing and Dianne </w:t>
            </w:r>
            <w:proofErr w:type="spellStart"/>
            <w:r>
              <w:rPr>
                <w:rStyle w:val="style29"/>
              </w:rPr>
              <w:t>Osland</w:t>
            </w:r>
            <w:proofErr w:type="spellEnd"/>
            <w:r>
              <w:rPr>
                <w:rStyle w:val="style29"/>
              </w:rPr>
              <w:t xml:space="preserve">, 2010. </w:t>
            </w:r>
            <w:r>
              <w:br/>
            </w:r>
            <w:r>
              <w:br/>
              <w:t>Send general correspondence regarding The Looking Glass c/o The Editor (</w:t>
            </w:r>
            <w:hyperlink r:id="rId16" w:history="1">
              <w:r>
                <w:rPr>
                  <w:rStyle w:val="Hyperlink"/>
                </w:rPr>
                <w:t>editor@the-looking-glass.net</w:t>
              </w:r>
            </w:hyperlink>
            <w:r>
              <w:t>)</w:t>
            </w:r>
          </w:p>
          <w:p w:rsidR="00DF1F00" w:rsidRDefault="00DF1F00" w:rsidP="00353F16">
            <w:pPr>
              <w:spacing w:after="0"/>
            </w:pPr>
          </w:p>
          <w:p w:rsidR="00DF1F00" w:rsidRDefault="00DF1F00" w:rsidP="00353F16">
            <w:pPr>
              <w:pStyle w:val="NormalWeb"/>
              <w:spacing w:before="0" w:beforeAutospacing="0" w:after="0" w:afterAutospacing="0"/>
              <w:jc w:val="center"/>
            </w:pPr>
            <w:r>
              <w:rPr>
                <w:rStyle w:val="style1"/>
                <w:b/>
                <w:bCs/>
                <w:i/>
                <w:iCs/>
              </w:rPr>
              <w:t>The Looking Glass: new perspectives on children's literature</w:t>
            </w:r>
          </w:p>
        </w:tc>
      </w:tr>
    </w:tbl>
    <w:p w:rsidR="00DF1F00" w:rsidRDefault="005307D0" w:rsidP="00353F16">
      <w:pPr>
        <w:spacing w:after="0" w:line="240" w:lineRule="auto"/>
        <w:rPr>
          <w:rFonts w:ascii="Times New Roman" w:eastAsia="Times New Roman" w:hAnsi="Times New Roman" w:cs="Times New Roman"/>
          <w:sz w:val="24"/>
          <w:szCs w:val="24"/>
          <w:lang w:eastAsia="en-AU"/>
        </w:rPr>
      </w:pPr>
      <w:hyperlink r:id="rId17" w:history="1">
        <w:r w:rsidR="00DF1F00" w:rsidRPr="00B96E0C">
          <w:rPr>
            <w:rStyle w:val="Hyperlink"/>
            <w:rFonts w:ascii="Times New Roman" w:eastAsia="Times New Roman" w:hAnsi="Times New Roman" w:cs="Times New Roman"/>
            <w:sz w:val="24"/>
            <w:szCs w:val="24"/>
            <w:lang w:eastAsia="en-AU"/>
          </w:rPr>
          <w:t>https://www.lib.latrobe.edu.au/ojs/index.php/tlg/article/view/227/225</w:t>
        </w:r>
      </w:hyperlink>
    </w:p>
    <w:p w:rsidR="00DF1F00" w:rsidRDefault="00DF1F00" w:rsidP="00DF1F00">
      <w:pPr>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br w:type="page"/>
      </w:r>
    </w:p>
    <w:p w:rsidR="00521CE5" w:rsidRDefault="00521CE5"/>
    <w:sectPr w:rsidR="00521CE5" w:rsidSect="00DF1F0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F975C7"/>
    <w:multiLevelType w:val="multilevel"/>
    <w:tmpl w:val="33C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BE749D"/>
    <w:multiLevelType w:val="multilevel"/>
    <w:tmpl w:val="EFA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D058E5"/>
    <w:multiLevelType w:val="multilevel"/>
    <w:tmpl w:val="440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F00"/>
    <w:rsid w:val="002D6D93"/>
    <w:rsid w:val="00353F16"/>
    <w:rsid w:val="00521CE5"/>
    <w:rsid w:val="005307D0"/>
    <w:rsid w:val="00DF1F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00"/>
  </w:style>
  <w:style w:type="paragraph" w:styleId="Heading1">
    <w:name w:val="heading 1"/>
    <w:basedOn w:val="Normal"/>
    <w:link w:val="Heading1Char"/>
    <w:uiPriority w:val="9"/>
    <w:qFormat/>
    <w:rsid w:val="00DF1F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4">
    <w:name w:val="heading 4"/>
    <w:basedOn w:val="Normal"/>
    <w:next w:val="Normal"/>
    <w:link w:val="Heading4Char"/>
    <w:uiPriority w:val="9"/>
    <w:semiHidden/>
    <w:unhideWhenUsed/>
    <w:qFormat/>
    <w:rsid w:val="00DF1F0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00"/>
    <w:rPr>
      <w:rFonts w:ascii="Times New Roman" w:eastAsia="Times New Roman" w:hAnsi="Times New Roman" w:cs="Times New Roman"/>
      <w:b/>
      <w:bCs/>
      <w:kern w:val="36"/>
      <w:sz w:val="48"/>
      <w:szCs w:val="48"/>
      <w:lang w:eastAsia="en-AU"/>
    </w:rPr>
  </w:style>
  <w:style w:type="character" w:customStyle="1" w:styleId="Heading4Char">
    <w:name w:val="Heading 4 Char"/>
    <w:basedOn w:val="DefaultParagraphFont"/>
    <w:link w:val="Heading4"/>
    <w:uiPriority w:val="9"/>
    <w:semiHidden/>
    <w:rsid w:val="00DF1F00"/>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DF1F00"/>
    <w:rPr>
      <w:i/>
      <w:iCs/>
    </w:rPr>
  </w:style>
  <w:style w:type="character" w:styleId="Hyperlink">
    <w:name w:val="Hyperlink"/>
    <w:basedOn w:val="DefaultParagraphFont"/>
    <w:uiPriority w:val="99"/>
    <w:unhideWhenUsed/>
    <w:rsid w:val="00DF1F00"/>
    <w:rPr>
      <w:color w:val="0000FF"/>
      <w:u w:val="single"/>
    </w:rPr>
  </w:style>
  <w:style w:type="character" w:styleId="Strong">
    <w:name w:val="Strong"/>
    <w:basedOn w:val="DefaultParagraphFont"/>
    <w:uiPriority w:val="22"/>
    <w:qFormat/>
    <w:rsid w:val="00DF1F00"/>
    <w:rPr>
      <w:b/>
      <w:bCs/>
    </w:rPr>
  </w:style>
  <w:style w:type="character" w:customStyle="1" w:styleId="blocktitle">
    <w:name w:val="blocktitle"/>
    <w:basedOn w:val="DefaultParagraphFont"/>
    <w:rsid w:val="00DF1F00"/>
  </w:style>
  <w:style w:type="paragraph" w:styleId="z-TopofForm">
    <w:name w:val="HTML Top of Form"/>
    <w:basedOn w:val="Normal"/>
    <w:next w:val="Normal"/>
    <w:link w:val="z-TopofFormChar"/>
    <w:hidden/>
    <w:uiPriority w:val="99"/>
    <w:semiHidden/>
    <w:unhideWhenUsed/>
    <w:rsid w:val="00DF1F00"/>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DF1F00"/>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DF1F00"/>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DF1F00"/>
    <w:rPr>
      <w:rFonts w:ascii="Arial" w:eastAsia="Times New Roman" w:hAnsi="Arial" w:cs="Arial"/>
      <w:vanish/>
      <w:sz w:val="16"/>
      <w:szCs w:val="16"/>
      <w:lang w:eastAsia="en-AU"/>
    </w:rPr>
  </w:style>
  <w:style w:type="character" w:customStyle="1" w:styleId="blocksubtitle">
    <w:name w:val="blocksubtitle"/>
    <w:basedOn w:val="DefaultParagraphFont"/>
    <w:rsid w:val="00DF1F00"/>
  </w:style>
  <w:style w:type="character" w:customStyle="1" w:styleId="style1">
    <w:name w:val="style1"/>
    <w:basedOn w:val="DefaultParagraphFont"/>
    <w:rsid w:val="00DF1F00"/>
  </w:style>
  <w:style w:type="character" w:customStyle="1" w:styleId="style8">
    <w:name w:val="style8"/>
    <w:basedOn w:val="DefaultParagraphFont"/>
    <w:rsid w:val="00DF1F00"/>
  </w:style>
  <w:style w:type="character" w:customStyle="1" w:styleId="style55">
    <w:name w:val="style55"/>
    <w:basedOn w:val="DefaultParagraphFont"/>
    <w:rsid w:val="00DF1F00"/>
  </w:style>
  <w:style w:type="paragraph" w:customStyle="1" w:styleId="style9">
    <w:name w:val="style9"/>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56">
    <w:name w:val="style56"/>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0">
    <w:name w:val="style20"/>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3">
    <w:name w:val="style23"/>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yle29">
    <w:name w:val="style29"/>
    <w:basedOn w:val="DefaultParagraphFont"/>
    <w:rsid w:val="00DF1F00"/>
  </w:style>
  <w:style w:type="paragraph" w:styleId="BalloonText">
    <w:name w:val="Balloon Text"/>
    <w:basedOn w:val="Normal"/>
    <w:link w:val="BalloonTextChar"/>
    <w:uiPriority w:val="99"/>
    <w:semiHidden/>
    <w:unhideWhenUsed/>
    <w:rsid w:val="00353F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3F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00"/>
  </w:style>
  <w:style w:type="paragraph" w:styleId="Heading1">
    <w:name w:val="heading 1"/>
    <w:basedOn w:val="Normal"/>
    <w:link w:val="Heading1Char"/>
    <w:uiPriority w:val="9"/>
    <w:qFormat/>
    <w:rsid w:val="00DF1F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4">
    <w:name w:val="heading 4"/>
    <w:basedOn w:val="Normal"/>
    <w:next w:val="Normal"/>
    <w:link w:val="Heading4Char"/>
    <w:uiPriority w:val="9"/>
    <w:semiHidden/>
    <w:unhideWhenUsed/>
    <w:qFormat/>
    <w:rsid w:val="00DF1F0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00"/>
    <w:rPr>
      <w:rFonts w:ascii="Times New Roman" w:eastAsia="Times New Roman" w:hAnsi="Times New Roman" w:cs="Times New Roman"/>
      <w:b/>
      <w:bCs/>
      <w:kern w:val="36"/>
      <w:sz w:val="48"/>
      <w:szCs w:val="48"/>
      <w:lang w:eastAsia="en-AU"/>
    </w:rPr>
  </w:style>
  <w:style w:type="character" w:customStyle="1" w:styleId="Heading4Char">
    <w:name w:val="Heading 4 Char"/>
    <w:basedOn w:val="DefaultParagraphFont"/>
    <w:link w:val="Heading4"/>
    <w:uiPriority w:val="9"/>
    <w:semiHidden/>
    <w:rsid w:val="00DF1F00"/>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DF1F00"/>
    <w:rPr>
      <w:i/>
      <w:iCs/>
    </w:rPr>
  </w:style>
  <w:style w:type="character" w:styleId="Hyperlink">
    <w:name w:val="Hyperlink"/>
    <w:basedOn w:val="DefaultParagraphFont"/>
    <w:uiPriority w:val="99"/>
    <w:unhideWhenUsed/>
    <w:rsid w:val="00DF1F00"/>
    <w:rPr>
      <w:color w:val="0000FF"/>
      <w:u w:val="single"/>
    </w:rPr>
  </w:style>
  <w:style w:type="character" w:styleId="Strong">
    <w:name w:val="Strong"/>
    <w:basedOn w:val="DefaultParagraphFont"/>
    <w:uiPriority w:val="22"/>
    <w:qFormat/>
    <w:rsid w:val="00DF1F00"/>
    <w:rPr>
      <w:b/>
      <w:bCs/>
    </w:rPr>
  </w:style>
  <w:style w:type="character" w:customStyle="1" w:styleId="blocktitle">
    <w:name w:val="blocktitle"/>
    <w:basedOn w:val="DefaultParagraphFont"/>
    <w:rsid w:val="00DF1F00"/>
  </w:style>
  <w:style w:type="paragraph" w:styleId="z-TopofForm">
    <w:name w:val="HTML Top of Form"/>
    <w:basedOn w:val="Normal"/>
    <w:next w:val="Normal"/>
    <w:link w:val="z-TopofFormChar"/>
    <w:hidden/>
    <w:uiPriority w:val="99"/>
    <w:semiHidden/>
    <w:unhideWhenUsed/>
    <w:rsid w:val="00DF1F00"/>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DF1F00"/>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DF1F00"/>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DF1F00"/>
    <w:rPr>
      <w:rFonts w:ascii="Arial" w:eastAsia="Times New Roman" w:hAnsi="Arial" w:cs="Arial"/>
      <w:vanish/>
      <w:sz w:val="16"/>
      <w:szCs w:val="16"/>
      <w:lang w:eastAsia="en-AU"/>
    </w:rPr>
  </w:style>
  <w:style w:type="character" w:customStyle="1" w:styleId="blocksubtitle">
    <w:name w:val="blocksubtitle"/>
    <w:basedOn w:val="DefaultParagraphFont"/>
    <w:rsid w:val="00DF1F00"/>
  </w:style>
  <w:style w:type="character" w:customStyle="1" w:styleId="style1">
    <w:name w:val="style1"/>
    <w:basedOn w:val="DefaultParagraphFont"/>
    <w:rsid w:val="00DF1F00"/>
  </w:style>
  <w:style w:type="character" w:customStyle="1" w:styleId="style8">
    <w:name w:val="style8"/>
    <w:basedOn w:val="DefaultParagraphFont"/>
    <w:rsid w:val="00DF1F00"/>
  </w:style>
  <w:style w:type="character" w:customStyle="1" w:styleId="style55">
    <w:name w:val="style55"/>
    <w:basedOn w:val="DefaultParagraphFont"/>
    <w:rsid w:val="00DF1F00"/>
  </w:style>
  <w:style w:type="paragraph" w:customStyle="1" w:styleId="style9">
    <w:name w:val="style9"/>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56">
    <w:name w:val="style56"/>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0">
    <w:name w:val="style20"/>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3">
    <w:name w:val="style23"/>
    <w:basedOn w:val="Normal"/>
    <w:rsid w:val="00DF1F0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yle29">
    <w:name w:val="style29"/>
    <w:basedOn w:val="DefaultParagraphFont"/>
    <w:rsid w:val="00DF1F00"/>
  </w:style>
  <w:style w:type="paragraph" w:styleId="BalloonText">
    <w:name w:val="Balloon Text"/>
    <w:basedOn w:val="Normal"/>
    <w:link w:val="BalloonTextChar"/>
    <w:uiPriority w:val="99"/>
    <w:semiHidden/>
    <w:unhideWhenUsed/>
    <w:rsid w:val="00353F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3F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b.latrobe.edu.au/ojs/index.php/tlg/article/view/227/225" TargetMode="External"/><Relationship Id="rId13" Type="http://schemas.openxmlformats.org/officeDocument/2006/relationships/hyperlink" Target="https://www.lib.latrobe.edu.au/ojs/index.php/tlg/article/view/227/225"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b.latrobe.edu.au/ojs/index.php/tlg/article/view/227/225" TargetMode="External"/><Relationship Id="rId12" Type="http://schemas.openxmlformats.org/officeDocument/2006/relationships/hyperlink" Target="https://www.lib.latrobe.edu.au/ojs/index.php/tlg/article/view/227/225" TargetMode="External"/><Relationship Id="rId17" Type="http://schemas.openxmlformats.org/officeDocument/2006/relationships/hyperlink" Target="https://www.lib.latrobe.edu.au/ojs/index.php/tlg/article/view/227/225" TargetMode="External"/><Relationship Id="rId2" Type="http://schemas.openxmlformats.org/officeDocument/2006/relationships/styles" Target="styles.xml"/><Relationship Id="rId16" Type="http://schemas.openxmlformats.org/officeDocument/2006/relationships/hyperlink" Target="mailto:editor@the-looking-glass.net" TargetMode="External"/><Relationship Id="rId1" Type="http://schemas.openxmlformats.org/officeDocument/2006/relationships/numbering" Target="numbering.xml"/><Relationship Id="rId6" Type="http://schemas.openxmlformats.org/officeDocument/2006/relationships/hyperlink" Target="https://www.lib.latrobe.edu.au/ojs/index.php/tlg/article/view/227/225" TargetMode="External"/><Relationship Id="rId11" Type="http://schemas.openxmlformats.org/officeDocument/2006/relationships/hyperlink" Target="https://www.lib.latrobe.edu.au/ojs/index.php/tlg/article/view/227/225" TargetMode="External"/><Relationship Id="rId5" Type="http://schemas.openxmlformats.org/officeDocument/2006/relationships/webSettings" Target="webSettings.xml"/><Relationship Id="rId15" Type="http://schemas.openxmlformats.org/officeDocument/2006/relationships/hyperlink" Target="https://www.lib.latrobe.edu.au/ojs/index.php/tlg/article/view/227/225" TargetMode="External"/><Relationship Id="rId10" Type="http://schemas.openxmlformats.org/officeDocument/2006/relationships/hyperlink" Target="https://www.lib.latrobe.edu.au/ojs/index.php/tlg/article/view/227/22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b.latrobe.edu.au/ojs/index.php/tlg/article/view/227/225" TargetMode="External"/><Relationship Id="rId14" Type="http://schemas.openxmlformats.org/officeDocument/2006/relationships/hyperlink" Target="https://www.lib.latrobe.edu.au/ojs/index.php/tlg/article/view/227/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3D5B8552</Template>
  <TotalTime>3</TotalTime>
  <Pages>7</Pages>
  <Words>4661</Words>
  <Characters>26569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4</cp:revision>
  <cp:lastPrinted>2016-03-13T23:56:00Z</cp:lastPrinted>
  <dcterms:created xsi:type="dcterms:W3CDTF">2016-03-13T23:56:00Z</dcterms:created>
  <dcterms:modified xsi:type="dcterms:W3CDTF">2016-03-13T23:58:00Z</dcterms:modified>
</cp:coreProperties>
</file>