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666BF" w:rsidRDefault="00D666BF">
      <w:pPr>
        <w:rPr>
          <w:rFonts w:ascii="Helvetica" w:hAnsi="Helvetica" w:cs="Helvetica"/>
          <w:color w:val="444340"/>
          <w:sz w:val="27"/>
          <w:szCs w:val="27"/>
          <w:shd w:val="clear" w:color="auto" w:fill="FFFFFF"/>
        </w:rPr>
      </w:pPr>
      <w:r>
        <w:rPr>
          <w:rFonts w:ascii="Helvetica" w:hAnsi="Helvetica" w:cs="Helvetica"/>
          <w:color w:val="444340"/>
          <w:sz w:val="27"/>
          <w:szCs w:val="27"/>
          <w:shd w:val="clear" w:color="auto" w:fill="FFFFFF"/>
        </w:rPr>
        <w:t xml:space="preserve">Teaching notes </w:t>
      </w:r>
      <w:bookmarkStart w:id="0" w:name="_GoBack"/>
      <w:bookmarkEnd w:id="0"/>
    </w:p>
    <w:p w:rsidR="00D666BF" w:rsidRDefault="00D666BF">
      <w:pPr>
        <w:rPr>
          <w:rFonts w:ascii="Helvetica" w:hAnsi="Helvetica" w:cs="Helvetica"/>
          <w:color w:val="444340"/>
          <w:sz w:val="27"/>
          <w:szCs w:val="27"/>
          <w:shd w:val="clear" w:color="auto" w:fill="FFFFFF"/>
        </w:rPr>
      </w:pPr>
    </w:p>
    <w:p w:rsidR="003251AC" w:rsidRDefault="00E965CA">
      <w:pPr>
        <w:rPr>
          <w:rStyle w:val="Emphasis"/>
          <w:rFonts w:ascii="Helvetica" w:hAnsi="Helvetica" w:cs="Helvetica"/>
          <w:color w:val="444340"/>
          <w:sz w:val="27"/>
          <w:szCs w:val="27"/>
          <w:bdr w:val="none" w:sz="0" w:space="0" w:color="auto" w:frame="1"/>
          <w:shd w:val="clear" w:color="auto" w:fill="FFFFFF"/>
        </w:rPr>
      </w:pPr>
      <w:r>
        <w:rPr>
          <w:rFonts w:ascii="Helvetica" w:hAnsi="Helvetica" w:cs="Helvetica"/>
          <w:color w:val="444340"/>
          <w:sz w:val="27"/>
          <w:szCs w:val="27"/>
          <w:shd w:val="clear" w:color="auto" w:fill="FFFFFF"/>
        </w:rPr>
        <w:t>An INTERPRETIVE TEXT is de</w:t>
      </w:r>
      <w:r>
        <w:rPr>
          <w:rFonts w:ascii="Helvetica" w:hAnsi="Helvetica" w:cs="Helvetica"/>
          <w:color w:val="444340"/>
          <w:sz w:val="27"/>
          <w:szCs w:val="27"/>
          <w:shd w:val="clear" w:color="auto" w:fill="FFFFFF"/>
        </w:rPr>
        <w:t>fined</w:t>
      </w:r>
      <w:r>
        <w:rPr>
          <w:rFonts w:ascii="Helvetica" w:hAnsi="Helvetica" w:cs="Helvetica"/>
          <w:color w:val="444340"/>
          <w:sz w:val="27"/>
          <w:szCs w:val="27"/>
          <w:shd w:val="clear" w:color="auto" w:fill="FFFFFF"/>
        </w:rPr>
        <w:t xml:space="preserve"> as </w:t>
      </w:r>
      <w:r>
        <w:rPr>
          <w:rStyle w:val="Emphasis"/>
          <w:rFonts w:ascii="Helvetica" w:hAnsi="Helvetica" w:cs="Helvetica"/>
          <w:color w:val="444340"/>
          <w:sz w:val="27"/>
          <w:szCs w:val="27"/>
          <w:bdr w:val="none" w:sz="0" w:space="0" w:color="auto" w:frame="1"/>
          <w:shd w:val="clear" w:color="auto" w:fill="FFFFFF"/>
        </w:rPr>
        <w:t>“texts whose primary purpose is to explain and interpret personalities, events, ideas, representations or concepts. They include autobiography, biography, media feature articles, documentary film and other non-fiction texts.”</w:t>
      </w:r>
    </w:p>
    <w:p w:rsidR="000410BC" w:rsidRDefault="000410BC" w:rsidP="000410BC">
      <w:pPr>
        <w:spacing w:after="60"/>
        <w:rPr>
          <w:iCs/>
          <w:lang w:val="en-GB"/>
        </w:rPr>
      </w:pPr>
      <w:r w:rsidRPr="00CF4C10">
        <w:rPr>
          <w:iCs/>
          <w:lang w:val="en-GB"/>
        </w:rPr>
        <w:t>To interpret a text is to offer an explanation of what it means.</w:t>
      </w:r>
    </w:p>
    <w:p w:rsidR="000410BC" w:rsidRDefault="000410BC" w:rsidP="000410BC">
      <w:pPr>
        <w:spacing w:after="60"/>
        <w:ind w:left="360"/>
        <w:rPr>
          <w:iCs/>
          <w:lang w:val="en-GB"/>
        </w:rPr>
      </w:pPr>
      <w:r>
        <w:rPr>
          <w:iCs/>
          <w:lang w:val="en-GB"/>
        </w:rPr>
        <w:t>An interpretation;</w:t>
      </w:r>
    </w:p>
    <w:p w:rsidR="000410BC" w:rsidRDefault="000410BC" w:rsidP="000410BC">
      <w:pPr>
        <w:pStyle w:val="ListParagraph"/>
        <w:numPr>
          <w:ilvl w:val="0"/>
          <w:numId w:val="1"/>
        </w:numPr>
        <w:spacing w:after="60"/>
        <w:rPr>
          <w:iCs/>
          <w:lang w:val="en-GB"/>
        </w:rPr>
      </w:pPr>
      <w:r>
        <w:rPr>
          <w:iCs/>
          <w:lang w:val="en-GB"/>
        </w:rPr>
        <w:t>draws together the different elements of a text to give a sense of the work as a whole</w:t>
      </w:r>
    </w:p>
    <w:p w:rsidR="000410BC" w:rsidRDefault="000410BC" w:rsidP="000410BC">
      <w:pPr>
        <w:pStyle w:val="ListParagraph"/>
        <w:numPr>
          <w:ilvl w:val="0"/>
          <w:numId w:val="1"/>
        </w:numPr>
        <w:spacing w:after="60"/>
        <w:rPr>
          <w:iCs/>
          <w:lang w:val="en-GB"/>
        </w:rPr>
      </w:pPr>
      <w:r>
        <w:rPr>
          <w:iCs/>
          <w:lang w:val="en-GB"/>
        </w:rPr>
        <w:t>Must always be supported by close reference to, and analysis of, the text itself</w:t>
      </w:r>
    </w:p>
    <w:p w:rsidR="000410BC" w:rsidRDefault="000410BC" w:rsidP="000410BC">
      <w:pPr>
        <w:pStyle w:val="ListParagraph"/>
        <w:numPr>
          <w:ilvl w:val="0"/>
          <w:numId w:val="1"/>
        </w:numPr>
        <w:spacing w:after="60"/>
        <w:rPr>
          <w:iCs/>
          <w:lang w:val="en-GB"/>
        </w:rPr>
      </w:pPr>
      <w:r>
        <w:rPr>
          <w:iCs/>
          <w:lang w:val="en-GB"/>
        </w:rPr>
        <w:t xml:space="preserve">Is coherent – it applies equally well to every part of the text, and it does not contradict its self.’ </w:t>
      </w:r>
      <w:r w:rsidRPr="000410BC">
        <w:rPr>
          <w:iCs/>
          <w:lang w:val="en-GB"/>
        </w:rPr>
        <w:t>(</w:t>
      </w:r>
      <w:proofErr w:type="spellStart"/>
      <w:r w:rsidRPr="000410BC">
        <w:rPr>
          <w:iCs/>
          <w:lang w:val="en-GB"/>
        </w:rPr>
        <w:t>Beardwood</w:t>
      </w:r>
      <w:proofErr w:type="spellEnd"/>
      <w:r w:rsidRPr="000410BC">
        <w:rPr>
          <w:iCs/>
          <w:lang w:val="en-GB"/>
        </w:rPr>
        <w:t xml:space="preserve"> 80)</w:t>
      </w:r>
    </w:p>
    <w:p w:rsidR="001F6D21" w:rsidRDefault="001F6D21" w:rsidP="001F6D21">
      <w:pPr>
        <w:pStyle w:val="ListParagraph"/>
        <w:spacing w:after="60"/>
        <w:rPr>
          <w:iCs/>
          <w:lang w:val="en-GB"/>
        </w:rPr>
      </w:pPr>
    </w:p>
    <w:p w:rsidR="001F6D21" w:rsidRPr="00423ADE" w:rsidRDefault="001F6D21" w:rsidP="001F6D21">
      <w:pPr>
        <w:spacing w:before="120" w:after="60"/>
        <w:rPr>
          <w:b/>
          <w:lang w:val="en-GB"/>
        </w:rPr>
      </w:pPr>
      <w:r w:rsidRPr="009C2090">
        <w:rPr>
          <w:b/>
          <w:lang w:val="en-GB"/>
        </w:rPr>
        <w:t>Point of view</w:t>
      </w:r>
    </w:p>
    <w:p w:rsidR="001F6D21" w:rsidRDefault="001F6D21" w:rsidP="001F6D21">
      <w:pPr>
        <w:spacing w:after="60"/>
        <w:ind w:right="-172"/>
        <w:rPr>
          <w:lang w:val="en-GB"/>
        </w:rPr>
      </w:pPr>
      <w:r>
        <w:rPr>
          <w:lang w:val="en-GB"/>
        </w:rPr>
        <w:t>Both first-person, subjective point of view and third person can be used in an interpretive response. An interpretive response is still an analysis supported by evidence, but it makes more central the role of the interpreter in assembling the argument through interpretation (rather than more ‘empirical’ presentation and analysis of data as in a science project).</w:t>
      </w:r>
    </w:p>
    <w:p w:rsidR="00F27514" w:rsidRDefault="00F27514" w:rsidP="001F6D21">
      <w:pPr>
        <w:spacing w:after="60"/>
        <w:ind w:right="-172"/>
        <w:rPr>
          <w:lang w:val="en-GB"/>
        </w:rPr>
      </w:pPr>
    </w:p>
    <w:p w:rsidR="00F27514" w:rsidRPr="00CF4C10" w:rsidRDefault="00F27514" w:rsidP="00F27514">
      <w:pPr>
        <w:spacing w:after="60"/>
        <w:ind w:right="-172"/>
        <w:rPr>
          <w:b/>
          <w:lang w:val="en-GB"/>
        </w:rPr>
      </w:pPr>
      <w:r>
        <w:rPr>
          <w:b/>
          <w:lang w:val="en-GB"/>
        </w:rPr>
        <w:t>‘</w:t>
      </w:r>
      <w:r w:rsidRPr="00CF4C10">
        <w:rPr>
          <w:b/>
          <w:lang w:val="en-GB"/>
        </w:rPr>
        <w:t>Important elements of an interpretation</w:t>
      </w:r>
    </w:p>
    <w:p w:rsidR="00F27514" w:rsidRDefault="00F27514" w:rsidP="00F27514">
      <w:pPr>
        <w:spacing w:after="60"/>
        <w:ind w:right="-172"/>
      </w:pPr>
      <w:r>
        <w:t>There are several important elements of any interpretation which assist in defining the ‘form’ or ‘genre’ of literary criticism, which combines aspects of a purely personal response to a text which characteristics of an objective statement of fact. These concern:</w:t>
      </w:r>
    </w:p>
    <w:p w:rsidR="00F27514" w:rsidRPr="00530370" w:rsidRDefault="00F27514" w:rsidP="00F27514">
      <w:pPr>
        <w:pStyle w:val="ListParagraph"/>
        <w:numPr>
          <w:ilvl w:val="0"/>
          <w:numId w:val="2"/>
        </w:numPr>
        <w:spacing w:after="60"/>
        <w:ind w:right="-172"/>
        <w:rPr>
          <w:lang w:val="en-AU"/>
        </w:rPr>
      </w:pPr>
      <w:r w:rsidRPr="00530370">
        <w:rPr>
          <w:lang w:val="en-AU"/>
        </w:rPr>
        <w:t>Responding to the text’s view point</w:t>
      </w:r>
    </w:p>
    <w:p w:rsidR="00F27514" w:rsidRPr="00530370" w:rsidRDefault="00F27514" w:rsidP="00F27514">
      <w:pPr>
        <w:pStyle w:val="ListParagraph"/>
        <w:numPr>
          <w:ilvl w:val="0"/>
          <w:numId w:val="2"/>
        </w:numPr>
        <w:spacing w:after="60"/>
        <w:ind w:right="-172"/>
        <w:rPr>
          <w:lang w:val="en-AU"/>
        </w:rPr>
      </w:pPr>
      <w:r w:rsidRPr="00530370">
        <w:rPr>
          <w:lang w:val="en-AU"/>
        </w:rPr>
        <w:t>Recognising that different interpretations are possible</w:t>
      </w:r>
    </w:p>
    <w:p w:rsidR="00F27514" w:rsidRPr="00530370" w:rsidRDefault="00F27514" w:rsidP="00F27514">
      <w:pPr>
        <w:pStyle w:val="ListParagraph"/>
        <w:numPr>
          <w:ilvl w:val="0"/>
          <w:numId w:val="2"/>
        </w:numPr>
        <w:spacing w:after="60"/>
        <w:ind w:right="-172"/>
        <w:rPr>
          <w:lang w:val="en-AU"/>
        </w:rPr>
      </w:pPr>
      <w:r w:rsidRPr="00530370">
        <w:rPr>
          <w:lang w:val="en-AU"/>
        </w:rPr>
        <w:t>Understanding that not every interpretation is valid</w:t>
      </w:r>
    </w:p>
    <w:p w:rsidR="00F27514" w:rsidRPr="00CF4C10" w:rsidRDefault="00F27514" w:rsidP="00F27514">
      <w:pPr>
        <w:pStyle w:val="ListParagraph"/>
        <w:numPr>
          <w:ilvl w:val="0"/>
          <w:numId w:val="1"/>
        </w:numPr>
        <w:spacing w:after="60"/>
        <w:rPr>
          <w:iCs/>
          <w:lang w:val="en-GB"/>
        </w:rPr>
      </w:pPr>
      <w:r w:rsidRPr="00530370">
        <w:rPr>
          <w:lang w:val="en-AU"/>
        </w:rPr>
        <w:t>Justifying personal interpretations</w:t>
      </w:r>
      <w:r>
        <w:rPr>
          <w:lang w:val="en-AU"/>
        </w:rPr>
        <w:t xml:space="preserve">’ </w:t>
      </w:r>
      <w:r>
        <w:rPr>
          <w:iCs/>
          <w:lang w:val="en-GB"/>
        </w:rPr>
        <w:t>(</w:t>
      </w:r>
      <w:proofErr w:type="spellStart"/>
      <w:r>
        <w:rPr>
          <w:iCs/>
          <w:lang w:val="en-GB"/>
        </w:rPr>
        <w:t>Beardwood</w:t>
      </w:r>
      <w:proofErr w:type="spellEnd"/>
      <w:r>
        <w:rPr>
          <w:iCs/>
          <w:lang w:val="en-GB"/>
        </w:rPr>
        <w:t xml:space="preserve"> 81)</w:t>
      </w:r>
    </w:p>
    <w:p w:rsidR="00F27514" w:rsidRDefault="00F27514" w:rsidP="001F6D21">
      <w:pPr>
        <w:spacing w:after="60"/>
        <w:ind w:right="-172"/>
        <w:rPr>
          <w:lang w:val="en-GB"/>
        </w:rPr>
      </w:pPr>
    </w:p>
    <w:p w:rsidR="00885420" w:rsidRPr="00423ADE" w:rsidRDefault="00885420" w:rsidP="00885420">
      <w:pPr>
        <w:spacing w:before="120" w:after="60"/>
        <w:rPr>
          <w:b/>
          <w:bCs/>
          <w:lang w:val="en-GB"/>
        </w:rPr>
      </w:pPr>
      <w:r>
        <w:rPr>
          <w:b/>
          <w:bCs/>
          <w:lang w:val="en-GB"/>
        </w:rPr>
        <w:t>Interpretive Responses</w:t>
      </w:r>
    </w:p>
    <w:p w:rsidR="00885420" w:rsidRDefault="00885420" w:rsidP="00885420">
      <w:pPr>
        <w:spacing w:after="60"/>
        <w:rPr>
          <w:lang w:val="en-GB"/>
        </w:rPr>
      </w:pPr>
      <w:r>
        <w:rPr>
          <w:lang w:val="en-GB"/>
        </w:rPr>
        <w:t>Composition of an interpretive response requires:</w:t>
      </w:r>
    </w:p>
    <w:p w:rsidR="00885420" w:rsidRDefault="00885420" w:rsidP="00885420">
      <w:pPr>
        <w:pStyle w:val="ListParagraph"/>
        <w:numPr>
          <w:ilvl w:val="0"/>
          <w:numId w:val="3"/>
        </w:numPr>
        <w:spacing w:after="60" w:line="252" w:lineRule="auto"/>
        <w:rPr>
          <w:lang w:val="en-GB"/>
        </w:rPr>
      </w:pPr>
      <w:r>
        <w:rPr>
          <w:lang w:val="en-GB"/>
        </w:rPr>
        <w:t>an understanding of the text through a relevant a plausible interpretation</w:t>
      </w:r>
    </w:p>
    <w:p w:rsidR="00885420" w:rsidRDefault="00885420" w:rsidP="00885420">
      <w:pPr>
        <w:pStyle w:val="ListParagraph"/>
        <w:numPr>
          <w:ilvl w:val="0"/>
          <w:numId w:val="3"/>
        </w:numPr>
        <w:spacing w:after="60" w:line="252" w:lineRule="auto"/>
        <w:rPr>
          <w:lang w:val="en-GB"/>
        </w:rPr>
      </w:pPr>
      <w:r>
        <w:rPr>
          <w:lang w:val="en-GB"/>
        </w:rPr>
        <w:t>examination of differing literary interpretations and perspectives of the text</w:t>
      </w:r>
    </w:p>
    <w:p w:rsidR="00885420" w:rsidRDefault="00885420" w:rsidP="00885420">
      <w:pPr>
        <w:pStyle w:val="ListParagraph"/>
        <w:numPr>
          <w:ilvl w:val="0"/>
          <w:numId w:val="3"/>
        </w:numPr>
        <w:spacing w:after="60" w:line="252" w:lineRule="auto"/>
        <w:rPr>
          <w:lang w:val="en-GB"/>
        </w:rPr>
      </w:pPr>
      <w:r>
        <w:rPr>
          <w:lang w:val="en-GB"/>
        </w:rPr>
        <w:t>an understanding of the context, views and values suggested in the text</w:t>
      </w:r>
    </w:p>
    <w:p w:rsidR="00885420" w:rsidRDefault="00885420" w:rsidP="00885420">
      <w:pPr>
        <w:pStyle w:val="ListParagraph"/>
        <w:numPr>
          <w:ilvl w:val="0"/>
          <w:numId w:val="3"/>
        </w:numPr>
        <w:spacing w:after="60" w:line="252" w:lineRule="auto"/>
        <w:rPr>
          <w:lang w:val="en-GB"/>
        </w:rPr>
      </w:pPr>
      <w:r>
        <w:rPr>
          <w:lang w:val="en-GB"/>
        </w:rPr>
        <w:t>analysis of how key passages of the text contribute to an interpretation</w:t>
      </w:r>
    </w:p>
    <w:p w:rsidR="00885420" w:rsidRDefault="00885420" w:rsidP="00885420">
      <w:pPr>
        <w:pStyle w:val="ListParagraph"/>
        <w:numPr>
          <w:ilvl w:val="0"/>
          <w:numId w:val="3"/>
        </w:numPr>
        <w:spacing w:after="60" w:line="252" w:lineRule="auto"/>
        <w:rPr>
          <w:lang w:val="en-GB"/>
        </w:rPr>
      </w:pPr>
      <w:r>
        <w:rPr>
          <w:lang w:val="en-GB"/>
        </w:rPr>
        <w:t>analysis of text features and how they contribute to an interpretation</w:t>
      </w:r>
    </w:p>
    <w:p w:rsidR="00885420" w:rsidRDefault="00885420" w:rsidP="00885420">
      <w:pPr>
        <w:pStyle w:val="ListParagraph"/>
        <w:numPr>
          <w:ilvl w:val="0"/>
          <w:numId w:val="3"/>
        </w:numPr>
        <w:spacing w:after="60" w:line="252" w:lineRule="auto"/>
        <w:rPr>
          <w:lang w:val="en-GB"/>
        </w:rPr>
      </w:pPr>
      <w:r>
        <w:rPr>
          <w:lang w:val="en-GB"/>
        </w:rPr>
        <w:t>analysis and close reading of textual details to support a coherent and detailed interpretation of the text.</w:t>
      </w:r>
    </w:p>
    <w:p w:rsidR="00D666BF" w:rsidRDefault="00D666BF" w:rsidP="00D666BF">
      <w:pPr>
        <w:spacing w:after="60"/>
        <w:rPr>
          <w:lang w:val="en-GB"/>
        </w:rPr>
      </w:pPr>
      <w:r>
        <w:rPr>
          <w:lang w:val="en-GB"/>
        </w:rPr>
        <w:t>Analysis in this context explains:</w:t>
      </w:r>
    </w:p>
    <w:p w:rsidR="00D666BF" w:rsidRDefault="00D666BF" w:rsidP="00D666BF">
      <w:pPr>
        <w:pStyle w:val="ListParagraph"/>
        <w:numPr>
          <w:ilvl w:val="0"/>
          <w:numId w:val="4"/>
        </w:numPr>
        <w:spacing w:after="60" w:line="252" w:lineRule="auto"/>
        <w:rPr>
          <w:lang w:val="en-GB"/>
        </w:rPr>
      </w:pPr>
      <w:r>
        <w:rPr>
          <w:lang w:val="en-GB"/>
        </w:rPr>
        <w:t>the author’s use of language, point of view/ perspective, imagery</w:t>
      </w:r>
    </w:p>
    <w:p w:rsidR="00D666BF" w:rsidRDefault="00D666BF" w:rsidP="00D666BF">
      <w:pPr>
        <w:pStyle w:val="ListParagraph"/>
        <w:numPr>
          <w:ilvl w:val="0"/>
          <w:numId w:val="4"/>
        </w:numPr>
        <w:spacing w:after="60" w:line="252" w:lineRule="auto"/>
        <w:rPr>
          <w:lang w:val="en-GB"/>
        </w:rPr>
      </w:pPr>
      <w:r>
        <w:rPr>
          <w:lang w:val="en-GB"/>
        </w:rPr>
        <w:t>ideas, views and values</w:t>
      </w:r>
    </w:p>
    <w:p w:rsidR="00D666BF" w:rsidRDefault="00D666BF" w:rsidP="00D666BF">
      <w:pPr>
        <w:pStyle w:val="ListParagraph"/>
        <w:numPr>
          <w:ilvl w:val="0"/>
          <w:numId w:val="4"/>
        </w:numPr>
        <w:spacing w:after="60" w:line="252" w:lineRule="auto"/>
        <w:rPr>
          <w:lang w:val="en-GB"/>
        </w:rPr>
      </w:pPr>
      <w:r>
        <w:rPr>
          <w:lang w:val="en-GB"/>
        </w:rPr>
        <w:t xml:space="preserve">why something is </w:t>
      </w:r>
      <w:proofErr w:type="gramStart"/>
      <w:r>
        <w:rPr>
          <w:lang w:val="en-GB"/>
        </w:rPr>
        <w:t>happening  in</w:t>
      </w:r>
      <w:proofErr w:type="gramEnd"/>
      <w:r>
        <w:rPr>
          <w:lang w:val="en-GB"/>
        </w:rPr>
        <w:t xml:space="preserve"> terms of the narrative structure, characterisation, text’s wider concerns and its underlying meaning</w:t>
      </w:r>
    </w:p>
    <w:p w:rsidR="00D666BF" w:rsidRDefault="00D666BF" w:rsidP="00D666BF">
      <w:pPr>
        <w:pStyle w:val="ListParagraph"/>
        <w:numPr>
          <w:ilvl w:val="0"/>
          <w:numId w:val="4"/>
        </w:numPr>
        <w:spacing w:after="60" w:line="252" w:lineRule="auto"/>
        <w:rPr>
          <w:lang w:val="en-GB"/>
        </w:rPr>
      </w:pPr>
      <w:r w:rsidRPr="009C2090">
        <w:rPr>
          <w:lang w:val="en-GB"/>
        </w:rPr>
        <w:lastRenderedPageBreak/>
        <w:t>close analysis/reading concerns examining fine textual detail: effects and nuances of language, punctuation, structure, significance of key passages, connections/relationships between content and structure, voice and perspective and the text and its context.</w:t>
      </w:r>
    </w:p>
    <w:p w:rsidR="00D666BF" w:rsidRPr="008635F8" w:rsidRDefault="00D666BF" w:rsidP="00D666BF">
      <w:pPr>
        <w:pStyle w:val="ListParagraph"/>
        <w:spacing w:after="60" w:line="252" w:lineRule="auto"/>
        <w:rPr>
          <w:lang w:val="en-GB"/>
        </w:rPr>
      </w:pPr>
    </w:p>
    <w:p w:rsidR="00885420" w:rsidRDefault="00885420" w:rsidP="001F6D21">
      <w:pPr>
        <w:spacing w:after="60"/>
        <w:ind w:right="-172"/>
        <w:rPr>
          <w:lang w:val="en-GB"/>
        </w:rPr>
      </w:pPr>
    </w:p>
    <w:p w:rsidR="001F6D21" w:rsidRDefault="001F6D21" w:rsidP="001F6D21">
      <w:pPr>
        <w:spacing w:after="60"/>
        <w:ind w:right="-172"/>
        <w:rPr>
          <w:lang w:val="en-GB"/>
        </w:rPr>
      </w:pPr>
    </w:p>
    <w:p w:rsidR="001F6D21" w:rsidRPr="000410BC" w:rsidRDefault="001F6D21" w:rsidP="001F6D21">
      <w:pPr>
        <w:pStyle w:val="ListParagraph"/>
        <w:spacing w:after="60"/>
        <w:rPr>
          <w:iCs/>
          <w:lang w:val="en-GB"/>
        </w:rPr>
      </w:pPr>
    </w:p>
    <w:p w:rsidR="000410BC" w:rsidRDefault="000410BC" w:rsidP="000410BC">
      <w:pPr>
        <w:spacing w:before="120" w:after="60"/>
        <w:rPr>
          <w:b/>
          <w:lang w:val="en-GB"/>
        </w:rPr>
      </w:pPr>
    </w:p>
    <w:p w:rsidR="000410BC" w:rsidRPr="000410BC" w:rsidRDefault="000410BC"/>
    <w:sectPr w:rsidR="000410BC" w:rsidRPr="000410B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4000ACFF" w:usb2="00000001" w:usb3="00000000" w:csb0="000001FF" w:csb1="00000000"/>
  </w:font>
  <w:font w:name="Gill Sans MT">
    <w:panose1 w:val="020B0502020104020203"/>
    <w:charset w:val="00"/>
    <w:family w:val="swiss"/>
    <w:pitch w:val="variable"/>
    <w:sig w:usb0="00000007" w:usb1="00000000" w:usb2="00000000" w:usb3="00000000" w:csb0="00000003" w:csb1="00000000"/>
  </w:font>
  <w:font w:name="Helvetica">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1042913"/>
    <w:multiLevelType w:val="hybridMultilevel"/>
    <w:tmpl w:val="CF5472CE"/>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 w15:restartNumberingAfterBreak="0">
    <w:nsid w:val="365941D4"/>
    <w:multiLevelType w:val="hybridMultilevel"/>
    <w:tmpl w:val="3C4ED876"/>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2" w15:restartNumberingAfterBreak="0">
    <w:nsid w:val="607A6BD0"/>
    <w:multiLevelType w:val="hybridMultilevel"/>
    <w:tmpl w:val="A31A84E8"/>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abstractNum w:abstractNumId="3" w15:restartNumberingAfterBreak="0">
    <w:nsid w:val="6BC23756"/>
    <w:multiLevelType w:val="hybridMultilevel"/>
    <w:tmpl w:val="3C8AFE3C"/>
    <w:lvl w:ilvl="0" w:tplc="0C090001">
      <w:start w:val="1"/>
      <w:numFmt w:val="bullet"/>
      <w:lvlText w:val=""/>
      <w:lvlJc w:val="left"/>
      <w:pPr>
        <w:ind w:left="720" w:hanging="360"/>
      </w:pPr>
      <w:rPr>
        <w:rFonts w:ascii="Symbol" w:hAnsi="Symbol" w:hint="default"/>
      </w:rPr>
    </w:lvl>
    <w:lvl w:ilvl="1" w:tplc="0C090003">
      <w:start w:val="1"/>
      <w:numFmt w:val="bullet"/>
      <w:lvlText w:val="o"/>
      <w:lvlJc w:val="left"/>
      <w:pPr>
        <w:ind w:left="1440" w:hanging="360"/>
      </w:pPr>
      <w:rPr>
        <w:rFonts w:ascii="Courier New" w:hAnsi="Courier New" w:cs="Courier New" w:hint="default"/>
      </w:rPr>
    </w:lvl>
    <w:lvl w:ilvl="2" w:tplc="0C090005">
      <w:start w:val="1"/>
      <w:numFmt w:val="bullet"/>
      <w:lvlText w:val=""/>
      <w:lvlJc w:val="left"/>
      <w:pPr>
        <w:ind w:left="2160" w:hanging="360"/>
      </w:pPr>
      <w:rPr>
        <w:rFonts w:ascii="Wingdings" w:hAnsi="Wingdings" w:hint="default"/>
      </w:rPr>
    </w:lvl>
    <w:lvl w:ilvl="3" w:tplc="0C090001">
      <w:start w:val="1"/>
      <w:numFmt w:val="bullet"/>
      <w:lvlText w:val=""/>
      <w:lvlJc w:val="left"/>
      <w:pPr>
        <w:ind w:left="2880" w:hanging="360"/>
      </w:pPr>
      <w:rPr>
        <w:rFonts w:ascii="Symbol" w:hAnsi="Symbol" w:hint="default"/>
      </w:rPr>
    </w:lvl>
    <w:lvl w:ilvl="4" w:tplc="0C090003">
      <w:start w:val="1"/>
      <w:numFmt w:val="bullet"/>
      <w:lvlText w:val="o"/>
      <w:lvlJc w:val="left"/>
      <w:pPr>
        <w:ind w:left="3600" w:hanging="360"/>
      </w:pPr>
      <w:rPr>
        <w:rFonts w:ascii="Courier New" w:hAnsi="Courier New" w:cs="Courier New" w:hint="default"/>
      </w:rPr>
    </w:lvl>
    <w:lvl w:ilvl="5" w:tplc="0C090005">
      <w:start w:val="1"/>
      <w:numFmt w:val="bullet"/>
      <w:lvlText w:val=""/>
      <w:lvlJc w:val="left"/>
      <w:pPr>
        <w:ind w:left="4320" w:hanging="360"/>
      </w:pPr>
      <w:rPr>
        <w:rFonts w:ascii="Wingdings" w:hAnsi="Wingdings" w:hint="default"/>
      </w:rPr>
    </w:lvl>
    <w:lvl w:ilvl="6" w:tplc="0C090001">
      <w:start w:val="1"/>
      <w:numFmt w:val="bullet"/>
      <w:lvlText w:val=""/>
      <w:lvlJc w:val="left"/>
      <w:pPr>
        <w:ind w:left="5040" w:hanging="360"/>
      </w:pPr>
      <w:rPr>
        <w:rFonts w:ascii="Symbol" w:hAnsi="Symbol" w:hint="default"/>
      </w:rPr>
    </w:lvl>
    <w:lvl w:ilvl="7" w:tplc="0C090003">
      <w:start w:val="1"/>
      <w:numFmt w:val="bullet"/>
      <w:lvlText w:val="o"/>
      <w:lvlJc w:val="left"/>
      <w:pPr>
        <w:ind w:left="5760" w:hanging="360"/>
      </w:pPr>
      <w:rPr>
        <w:rFonts w:ascii="Courier New" w:hAnsi="Courier New" w:cs="Courier New" w:hint="default"/>
      </w:rPr>
    </w:lvl>
    <w:lvl w:ilvl="8" w:tplc="0C090005">
      <w:start w:val="1"/>
      <w:numFmt w:val="bullet"/>
      <w:lvlText w:val=""/>
      <w:lvlJc w:val="left"/>
      <w:pPr>
        <w:ind w:left="648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965CA"/>
    <w:rsid w:val="000410BC"/>
    <w:rsid w:val="001E36FB"/>
    <w:rsid w:val="001F6D21"/>
    <w:rsid w:val="00885420"/>
    <w:rsid w:val="00D666BF"/>
    <w:rsid w:val="00E965CA"/>
    <w:rsid w:val="00F27514"/>
    <w:rsid w:val="00FC1A82"/>
  </w:rsids>
  <m:mathPr>
    <m:mathFont m:val="Cambria Math"/>
    <m:brkBin m:val="before"/>
    <m:brkBinSub m:val="--"/>
    <m:smallFrac m:val="0"/>
    <m:dispDef/>
    <m:lMargin m:val="0"/>
    <m:rMargin m:val="0"/>
    <m:defJc m:val="centerGroup"/>
    <m:wrapIndent m:val="1440"/>
    <m:intLim m:val="subSup"/>
    <m:naryLim m:val="undOvr"/>
  </m:mathPr>
  <w:themeFontLang w:val="en-A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449618"/>
  <w15:chartTrackingRefBased/>
  <w15:docId w15:val="{5CD18CFC-F98E-4783-8407-9E1052454A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A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E965CA"/>
    <w:rPr>
      <w:i/>
      <w:iCs/>
    </w:rPr>
  </w:style>
  <w:style w:type="paragraph" w:styleId="ListParagraph">
    <w:name w:val="List Paragraph"/>
    <w:basedOn w:val="Normal"/>
    <w:uiPriority w:val="34"/>
    <w:qFormat/>
    <w:rsid w:val="000410BC"/>
    <w:pPr>
      <w:spacing w:after="200" w:line="240" w:lineRule="auto"/>
      <w:ind w:left="720"/>
      <w:contextualSpacing/>
    </w:pPr>
    <w:rPr>
      <w:rFonts w:ascii="Gill Sans MT" w:hAnsi="Gill Sans MT"/>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388</Words>
  <Characters>2218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Department of Education Western Australia</Company>
  <LinksUpToDate>false</LinksUpToDate>
  <CharactersWithSpaces>2601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DATTA ROY Sushmita [Narrogin Senior High School]</dc:creator>
  <cp:keywords/>
  <dc:description/>
  <cp:lastModifiedBy>DATTA ROY Sushmita [Narrogin Senior High School]</cp:lastModifiedBy>
  <cp:revision>6</cp:revision>
  <dcterms:created xsi:type="dcterms:W3CDTF">2020-08-21T01:00:00Z</dcterms:created>
  <dcterms:modified xsi:type="dcterms:W3CDTF">2020-08-21T01:19:00Z</dcterms:modified>
</cp:coreProperties>
</file>