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DB211" w14:textId="77777777" w:rsidR="00FD6B6F" w:rsidRPr="00FD6B6F" w:rsidRDefault="00FD6B6F" w:rsidP="00FD6B6F">
      <w:pPr>
        <w:shd w:val="clear" w:color="auto" w:fill="F8F8F8"/>
        <w:spacing w:after="225" w:line="450" w:lineRule="atLeast"/>
        <w:outlineLvl w:val="1"/>
        <w:rPr>
          <w:rFonts w:ascii="Oswald" w:eastAsia="Times New Roman" w:hAnsi="Oswald" w:cs="Times New Roman"/>
          <w:caps/>
          <w:color w:val="292929"/>
          <w:sz w:val="36"/>
          <w:szCs w:val="36"/>
          <w:lang w:eastAsia="en-AU"/>
        </w:rPr>
      </w:pPr>
      <w:r w:rsidRPr="00FD6B6F">
        <w:rPr>
          <w:rFonts w:ascii="Oswald" w:eastAsia="Times New Roman" w:hAnsi="Oswald" w:cs="Times New Roman"/>
          <w:caps/>
          <w:color w:val="292929"/>
          <w:sz w:val="36"/>
          <w:szCs w:val="36"/>
          <w:lang w:eastAsia="en-AU"/>
        </w:rPr>
        <w:t>KEY TAKEAWAYS</w:t>
      </w:r>
    </w:p>
    <w:p w14:paraId="05852E11" w14:textId="77777777" w:rsidR="00FD6B6F" w:rsidRPr="00FD6B6F" w:rsidRDefault="00FD6B6F" w:rsidP="00FD6B6F">
      <w:pPr>
        <w:numPr>
          <w:ilvl w:val="0"/>
          <w:numId w:val="1"/>
        </w:numPr>
        <w:shd w:val="clear" w:color="auto" w:fill="F8F8F8"/>
        <w:spacing w:before="192" w:after="0" w:line="435" w:lineRule="atLeast"/>
        <w:ind w:left="1248"/>
        <w:rPr>
          <w:rFonts w:ascii="Roboto" w:eastAsia="Times New Roman" w:hAnsi="Roboto" w:cs="Times New Roman"/>
          <w:color w:val="5C5C5C"/>
          <w:sz w:val="21"/>
          <w:szCs w:val="21"/>
          <w:lang w:eastAsia="en-AU"/>
        </w:rPr>
      </w:pPr>
      <w:r w:rsidRPr="00FD6B6F">
        <w:rPr>
          <w:rFonts w:ascii="Roboto" w:eastAsia="Times New Roman" w:hAnsi="Roboto" w:cs="Times New Roman"/>
          <w:color w:val="5C5C5C"/>
          <w:sz w:val="21"/>
          <w:szCs w:val="21"/>
          <w:lang w:eastAsia="en-AU"/>
        </w:rPr>
        <w:t>A key difference between civil &amp; criminal law in Australia is the higher onus of proof in a criminal case is ‘</w:t>
      </w:r>
      <w:r w:rsidRPr="00FD6B6F">
        <w:rPr>
          <w:rFonts w:ascii="Roboto" w:eastAsia="Times New Roman" w:hAnsi="Roboto" w:cs="Times New Roman"/>
          <w:i/>
          <w:iCs/>
          <w:color w:val="5C5C5C"/>
          <w:sz w:val="21"/>
          <w:szCs w:val="21"/>
          <w:lang w:eastAsia="en-AU"/>
        </w:rPr>
        <w:t>beyond reasonable doubt’,</w:t>
      </w:r>
      <w:r w:rsidRPr="00FD6B6F">
        <w:rPr>
          <w:rFonts w:ascii="Roboto" w:eastAsia="Times New Roman" w:hAnsi="Roboto" w:cs="Times New Roman"/>
          <w:color w:val="5C5C5C"/>
          <w:sz w:val="21"/>
          <w:szCs w:val="21"/>
          <w:lang w:eastAsia="en-AU"/>
        </w:rPr>
        <w:t> in comparison, a civil case has a lower onus of proof of ‘</w:t>
      </w:r>
      <w:r w:rsidRPr="00FD6B6F">
        <w:rPr>
          <w:rFonts w:ascii="Roboto" w:eastAsia="Times New Roman" w:hAnsi="Roboto" w:cs="Times New Roman"/>
          <w:i/>
          <w:iCs/>
          <w:color w:val="5C5C5C"/>
          <w:sz w:val="21"/>
          <w:szCs w:val="21"/>
          <w:lang w:eastAsia="en-AU"/>
        </w:rPr>
        <w:t xml:space="preserve">on the balance of </w:t>
      </w:r>
      <w:proofErr w:type="gramStart"/>
      <w:r w:rsidRPr="00FD6B6F">
        <w:rPr>
          <w:rFonts w:ascii="Roboto" w:eastAsia="Times New Roman" w:hAnsi="Roboto" w:cs="Times New Roman"/>
          <w:i/>
          <w:iCs/>
          <w:color w:val="5C5C5C"/>
          <w:sz w:val="21"/>
          <w:szCs w:val="21"/>
          <w:lang w:eastAsia="en-AU"/>
        </w:rPr>
        <w:t>probabilities</w:t>
      </w:r>
      <w:r w:rsidRPr="00FD6B6F">
        <w:rPr>
          <w:rFonts w:ascii="Roboto" w:eastAsia="Times New Roman" w:hAnsi="Roboto" w:cs="Times New Roman"/>
          <w:color w:val="5C5C5C"/>
          <w:sz w:val="21"/>
          <w:szCs w:val="21"/>
          <w:lang w:eastAsia="en-AU"/>
        </w:rPr>
        <w:t>‘</w:t>
      </w:r>
      <w:proofErr w:type="gramEnd"/>
      <w:r w:rsidRPr="00FD6B6F">
        <w:rPr>
          <w:rFonts w:ascii="Roboto" w:eastAsia="Times New Roman" w:hAnsi="Roboto" w:cs="Times New Roman"/>
          <w:color w:val="5C5C5C"/>
          <w:sz w:val="21"/>
          <w:szCs w:val="21"/>
          <w:lang w:eastAsia="en-AU"/>
        </w:rPr>
        <w:t>.</w:t>
      </w:r>
    </w:p>
    <w:p w14:paraId="6144E743" w14:textId="77777777" w:rsidR="00FD6B6F" w:rsidRPr="00FD6B6F" w:rsidRDefault="00FD6B6F" w:rsidP="00FD6B6F">
      <w:pPr>
        <w:numPr>
          <w:ilvl w:val="0"/>
          <w:numId w:val="1"/>
        </w:numPr>
        <w:shd w:val="clear" w:color="auto" w:fill="F8F8F8"/>
        <w:spacing w:before="192" w:after="0" w:line="435" w:lineRule="atLeast"/>
        <w:ind w:left="1248"/>
        <w:rPr>
          <w:rFonts w:ascii="Roboto" w:eastAsia="Times New Roman" w:hAnsi="Roboto" w:cs="Times New Roman"/>
          <w:color w:val="5C5C5C"/>
          <w:sz w:val="21"/>
          <w:szCs w:val="21"/>
          <w:lang w:eastAsia="en-AU"/>
        </w:rPr>
      </w:pPr>
      <w:r w:rsidRPr="00FD6B6F">
        <w:rPr>
          <w:rFonts w:ascii="Roboto" w:eastAsia="Times New Roman" w:hAnsi="Roboto" w:cs="Times New Roman"/>
          <w:color w:val="5C5C5C"/>
          <w:sz w:val="21"/>
          <w:szCs w:val="21"/>
          <w:lang w:eastAsia="en-AU"/>
        </w:rPr>
        <w:t>Differences between civil &amp; criminal law table.</w:t>
      </w:r>
    </w:p>
    <w:p w14:paraId="2B68F22C" w14:textId="77777777" w:rsidR="00FD6B6F" w:rsidRPr="00FD6B6F" w:rsidRDefault="00FD6B6F" w:rsidP="00FD6B6F">
      <w:pPr>
        <w:numPr>
          <w:ilvl w:val="0"/>
          <w:numId w:val="1"/>
        </w:numPr>
        <w:shd w:val="clear" w:color="auto" w:fill="F8F8F8"/>
        <w:spacing w:before="192" w:after="0" w:line="435" w:lineRule="atLeast"/>
        <w:ind w:left="1248"/>
        <w:rPr>
          <w:rFonts w:ascii="Roboto" w:eastAsia="Times New Roman" w:hAnsi="Roboto" w:cs="Times New Roman"/>
          <w:color w:val="5C5C5C"/>
          <w:sz w:val="21"/>
          <w:szCs w:val="21"/>
          <w:lang w:eastAsia="en-AU"/>
        </w:rPr>
      </w:pPr>
      <w:r w:rsidRPr="00FD6B6F">
        <w:rPr>
          <w:rFonts w:ascii="Roboto" w:eastAsia="Times New Roman" w:hAnsi="Roboto" w:cs="Times New Roman"/>
          <w:color w:val="5C5C5C"/>
          <w:sz w:val="21"/>
          <w:szCs w:val="21"/>
          <w:lang w:eastAsia="en-AU"/>
        </w:rPr>
        <w:t>Civil vs Criminal law: Criminal law includes both state and commonwealth as representing the community prosecuting people or corporations involving penalties of imprisonment. Civil law involves disputes and resolutions between people or corporations involving money.</w:t>
      </w:r>
    </w:p>
    <w:p w14:paraId="741F4CFC" w14:textId="77777777" w:rsidR="00FD6B6F" w:rsidRPr="00FD6B6F" w:rsidRDefault="00FD6B6F" w:rsidP="00FD6B6F">
      <w:pPr>
        <w:numPr>
          <w:ilvl w:val="0"/>
          <w:numId w:val="1"/>
        </w:numPr>
        <w:shd w:val="clear" w:color="auto" w:fill="F8F8F8"/>
        <w:spacing w:before="192" w:after="0" w:line="435" w:lineRule="atLeast"/>
        <w:ind w:left="1248"/>
        <w:rPr>
          <w:rFonts w:ascii="Roboto" w:eastAsia="Times New Roman" w:hAnsi="Roboto" w:cs="Times New Roman"/>
          <w:color w:val="5C5C5C"/>
          <w:sz w:val="21"/>
          <w:szCs w:val="21"/>
          <w:lang w:eastAsia="en-AU"/>
        </w:rPr>
      </w:pPr>
      <w:r w:rsidRPr="00FD6B6F">
        <w:rPr>
          <w:rFonts w:ascii="Roboto" w:eastAsia="Times New Roman" w:hAnsi="Roboto" w:cs="Times New Roman"/>
          <w:color w:val="5C5C5C"/>
          <w:sz w:val="21"/>
          <w:szCs w:val="21"/>
          <w:lang w:eastAsia="en-AU"/>
        </w:rPr>
        <w:t>Outline of civil law in Australia.</w:t>
      </w:r>
    </w:p>
    <w:p w14:paraId="6FD958EE" w14:textId="77777777" w:rsidR="00FD6B6F" w:rsidRPr="00FD6B6F" w:rsidRDefault="00FD6B6F" w:rsidP="00FD6B6F">
      <w:pPr>
        <w:numPr>
          <w:ilvl w:val="0"/>
          <w:numId w:val="1"/>
        </w:numPr>
        <w:shd w:val="clear" w:color="auto" w:fill="F8F8F8"/>
        <w:spacing w:before="192" w:after="0" w:line="435" w:lineRule="atLeast"/>
        <w:ind w:left="1248"/>
        <w:rPr>
          <w:rFonts w:ascii="Roboto" w:eastAsia="Times New Roman" w:hAnsi="Roboto" w:cs="Times New Roman"/>
          <w:color w:val="5C5C5C"/>
          <w:sz w:val="21"/>
          <w:szCs w:val="21"/>
          <w:lang w:eastAsia="en-AU"/>
        </w:rPr>
      </w:pPr>
      <w:r w:rsidRPr="00FD6B6F">
        <w:rPr>
          <w:rFonts w:ascii="Roboto" w:eastAsia="Times New Roman" w:hAnsi="Roboto" w:cs="Times New Roman"/>
          <w:color w:val="5C5C5C"/>
          <w:sz w:val="21"/>
          <w:szCs w:val="21"/>
          <w:lang w:eastAsia="en-AU"/>
        </w:rPr>
        <w:t>Outline of criminal law in Australia.</w:t>
      </w:r>
    </w:p>
    <w:p w14:paraId="00358632" w14:textId="77777777" w:rsidR="00FD6B6F" w:rsidRPr="00FD6B6F" w:rsidRDefault="00FD6B6F" w:rsidP="00FD6B6F">
      <w:pPr>
        <w:numPr>
          <w:ilvl w:val="0"/>
          <w:numId w:val="1"/>
        </w:numPr>
        <w:shd w:val="clear" w:color="auto" w:fill="F8F8F8"/>
        <w:spacing w:before="192" w:after="0" w:line="435" w:lineRule="atLeast"/>
        <w:ind w:left="1248"/>
        <w:rPr>
          <w:rFonts w:ascii="Roboto" w:eastAsia="Times New Roman" w:hAnsi="Roboto" w:cs="Times New Roman"/>
          <w:color w:val="5C5C5C"/>
          <w:sz w:val="21"/>
          <w:szCs w:val="21"/>
          <w:lang w:eastAsia="en-AU"/>
        </w:rPr>
      </w:pPr>
      <w:r w:rsidRPr="00FD6B6F">
        <w:rPr>
          <w:rFonts w:ascii="Roboto" w:eastAsia="Times New Roman" w:hAnsi="Roboto" w:cs="Times New Roman"/>
          <w:color w:val="5C5C5C"/>
          <w:sz w:val="21"/>
          <w:szCs w:val="21"/>
          <w:lang w:eastAsia="en-AU"/>
        </w:rPr>
        <w:t>Civil vs Common Law: civil law is based on roman law which has been developed by legislature. The courts then interpret this in cases. Common law is developed and applies by courts in cases.</w:t>
      </w:r>
    </w:p>
    <w:p w14:paraId="2069D6A7" w14:textId="77777777" w:rsidR="00FD6B6F" w:rsidRPr="00FD6B6F" w:rsidRDefault="00FD6B6F" w:rsidP="00FD6B6F">
      <w:pPr>
        <w:numPr>
          <w:ilvl w:val="0"/>
          <w:numId w:val="1"/>
        </w:numPr>
        <w:shd w:val="clear" w:color="auto" w:fill="F8F8F8"/>
        <w:spacing w:before="192" w:after="0" w:line="435" w:lineRule="atLeast"/>
        <w:ind w:left="1248"/>
        <w:rPr>
          <w:rFonts w:ascii="Roboto" w:eastAsia="Times New Roman" w:hAnsi="Roboto" w:cs="Times New Roman"/>
          <w:color w:val="5C5C5C"/>
          <w:sz w:val="21"/>
          <w:szCs w:val="21"/>
          <w:lang w:eastAsia="en-AU"/>
        </w:rPr>
      </w:pPr>
      <w:r w:rsidRPr="00FD6B6F">
        <w:rPr>
          <w:rFonts w:ascii="Roboto" w:eastAsia="Times New Roman" w:hAnsi="Roboto" w:cs="Times New Roman"/>
          <w:color w:val="5C5C5C"/>
          <w:sz w:val="21"/>
          <w:szCs w:val="21"/>
          <w:lang w:eastAsia="en-AU"/>
        </w:rPr>
        <w:t>Outline on the types of civil law in Australia.</w:t>
      </w:r>
    </w:p>
    <w:p w14:paraId="175C77C6" w14:textId="77777777" w:rsidR="00FD6B6F" w:rsidRPr="00FD6B6F" w:rsidRDefault="00FD6B6F" w:rsidP="00FD6B6F">
      <w:pPr>
        <w:numPr>
          <w:ilvl w:val="0"/>
          <w:numId w:val="1"/>
        </w:numPr>
        <w:shd w:val="clear" w:color="auto" w:fill="F8F8F8"/>
        <w:spacing w:before="192" w:after="0" w:line="435" w:lineRule="atLeast"/>
        <w:ind w:left="1248"/>
        <w:rPr>
          <w:rFonts w:ascii="Roboto" w:eastAsia="Times New Roman" w:hAnsi="Roboto" w:cs="Times New Roman"/>
          <w:color w:val="5C5C5C"/>
          <w:sz w:val="21"/>
          <w:szCs w:val="21"/>
          <w:lang w:eastAsia="en-AU"/>
        </w:rPr>
      </w:pPr>
      <w:r w:rsidRPr="00FD6B6F">
        <w:rPr>
          <w:rFonts w:ascii="Roboto" w:eastAsia="Times New Roman" w:hAnsi="Roboto" w:cs="Times New Roman"/>
          <w:color w:val="5C5C5C"/>
          <w:sz w:val="21"/>
          <w:szCs w:val="21"/>
          <w:lang w:eastAsia="en-AU"/>
        </w:rPr>
        <w:t xml:space="preserve">Outline on the similarities between civil and criminal law: Each party have a burden of proof with a standard of proof to establish requisite elements; each party have a right to legal representation; each party may negotiate to resolve the dispute; trials and hearings in court run in a similar fashion; common law is used across both types of law to apply </w:t>
      </w:r>
      <w:proofErr w:type="gramStart"/>
      <w:r w:rsidRPr="00FD6B6F">
        <w:rPr>
          <w:rFonts w:ascii="Roboto" w:eastAsia="Times New Roman" w:hAnsi="Roboto" w:cs="Times New Roman"/>
          <w:color w:val="5C5C5C"/>
          <w:sz w:val="21"/>
          <w:szCs w:val="21"/>
          <w:lang w:eastAsia="en-AU"/>
        </w:rPr>
        <w:t>in particular cases</w:t>
      </w:r>
      <w:proofErr w:type="gramEnd"/>
      <w:r w:rsidRPr="00FD6B6F">
        <w:rPr>
          <w:rFonts w:ascii="Roboto" w:eastAsia="Times New Roman" w:hAnsi="Roboto" w:cs="Times New Roman"/>
          <w:color w:val="5C5C5C"/>
          <w:sz w:val="21"/>
          <w:szCs w:val="21"/>
          <w:lang w:eastAsia="en-AU"/>
        </w:rPr>
        <w:t>.</w:t>
      </w:r>
    </w:p>
    <w:p w14:paraId="516BA425" w14:textId="77777777" w:rsidR="00FD6B6F" w:rsidRPr="00FD6B6F" w:rsidRDefault="00FD6B6F" w:rsidP="00FD6B6F">
      <w:pPr>
        <w:shd w:val="clear" w:color="auto" w:fill="F8F8F8"/>
        <w:spacing w:before="100" w:beforeAutospacing="1" w:after="100" w:afterAutospacing="1" w:line="405" w:lineRule="atLeast"/>
        <w:rPr>
          <w:rFonts w:ascii="Roboto" w:eastAsia="Times New Roman" w:hAnsi="Roboto" w:cs="Times New Roman"/>
          <w:b/>
          <w:bCs/>
          <w:color w:val="52504A"/>
          <w:sz w:val="23"/>
          <w:szCs w:val="23"/>
          <w:lang w:eastAsia="en-AU"/>
        </w:rPr>
      </w:pPr>
      <w:r w:rsidRPr="00FD6B6F">
        <w:rPr>
          <w:rFonts w:ascii="Roboto" w:eastAsia="Times New Roman" w:hAnsi="Roboto" w:cs="Times New Roman"/>
          <w:b/>
          <w:bCs/>
          <w:color w:val="52504A"/>
          <w:sz w:val="23"/>
          <w:szCs w:val="23"/>
          <w:lang w:eastAsia="en-AU"/>
        </w:rPr>
        <w:t> </w:t>
      </w:r>
    </w:p>
    <w:p w14:paraId="298508A4" w14:textId="77777777" w:rsidR="00FD6B6F" w:rsidRPr="00FD6B6F" w:rsidRDefault="00FD6B6F" w:rsidP="00FD6B6F">
      <w:pPr>
        <w:shd w:val="clear" w:color="auto" w:fill="FFFFFF"/>
        <w:spacing w:before="100" w:beforeAutospacing="1" w:after="100" w:afterAutospacing="1" w:line="435" w:lineRule="atLeast"/>
        <w:rPr>
          <w:rFonts w:ascii="Roboto" w:eastAsia="Times New Roman" w:hAnsi="Roboto" w:cs="Times New Roman"/>
          <w:color w:val="5C5C5C"/>
          <w:sz w:val="23"/>
          <w:szCs w:val="23"/>
          <w:lang w:eastAsia="en-AU"/>
        </w:rPr>
      </w:pPr>
      <w:r w:rsidRPr="00FD6B6F">
        <w:rPr>
          <w:rFonts w:ascii="Roboto" w:eastAsia="Times New Roman" w:hAnsi="Roboto" w:cs="Times New Roman"/>
          <w:color w:val="5C5C5C"/>
          <w:sz w:val="23"/>
          <w:szCs w:val="23"/>
          <w:lang w:eastAsia="en-AU"/>
        </w:rPr>
        <w:t xml:space="preserve">The fundamental difference between civil and criminal law in Australia is that the onus of proof and the standard of proof is generally always on the prosecution who must prove its case against the accused to a high standard of ‘beyond reasonable doubt’ in court. Failing that, the charges will be dismissed. In contrast, a civil law case is required to be proven by the plaintiff to a lower standard of proof of ‘on the balance of </w:t>
      </w:r>
      <w:proofErr w:type="gramStart"/>
      <w:r w:rsidRPr="00FD6B6F">
        <w:rPr>
          <w:rFonts w:ascii="Roboto" w:eastAsia="Times New Roman" w:hAnsi="Roboto" w:cs="Times New Roman"/>
          <w:color w:val="5C5C5C"/>
          <w:sz w:val="23"/>
          <w:szCs w:val="23"/>
          <w:lang w:eastAsia="en-AU"/>
        </w:rPr>
        <w:t>probabilities’</w:t>
      </w:r>
      <w:proofErr w:type="gramEnd"/>
      <w:r w:rsidRPr="00FD6B6F">
        <w:rPr>
          <w:rFonts w:ascii="Roboto" w:eastAsia="Times New Roman" w:hAnsi="Roboto" w:cs="Times New Roman"/>
          <w:color w:val="5C5C5C"/>
          <w:sz w:val="23"/>
          <w:szCs w:val="23"/>
          <w:lang w:eastAsia="en-AU"/>
        </w:rPr>
        <w:t>.</w:t>
      </w:r>
    </w:p>
    <w:p w14:paraId="6FA95650" w14:textId="77777777" w:rsidR="00FD6B6F" w:rsidRPr="00FD6B6F" w:rsidRDefault="00FD6B6F" w:rsidP="00FD6B6F">
      <w:pPr>
        <w:shd w:val="clear" w:color="auto" w:fill="FFFFFF"/>
        <w:spacing w:before="100" w:beforeAutospacing="1" w:after="100" w:afterAutospacing="1" w:line="435" w:lineRule="atLeast"/>
        <w:rPr>
          <w:rFonts w:ascii="Roboto" w:eastAsia="Times New Roman" w:hAnsi="Roboto" w:cs="Times New Roman"/>
          <w:color w:val="5C5C5C"/>
          <w:sz w:val="23"/>
          <w:szCs w:val="23"/>
          <w:lang w:eastAsia="en-AU"/>
        </w:rPr>
      </w:pPr>
      <w:r w:rsidRPr="00FD6B6F">
        <w:rPr>
          <w:rFonts w:ascii="Roboto" w:eastAsia="Times New Roman" w:hAnsi="Roboto" w:cs="Times New Roman"/>
          <w:color w:val="5C5C5C"/>
          <w:sz w:val="23"/>
          <w:szCs w:val="23"/>
          <w:lang w:eastAsia="en-AU"/>
        </w:rPr>
        <w:lastRenderedPageBreak/>
        <w:t>What is the difference between civil and criminal law? The difference between civil and criminal law in Australia is outlined in the difference between civil and criminal law table below.</w:t>
      </w:r>
    </w:p>
    <w:p w14:paraId="4E6139FE" w14:textId="77777777" w:rsidR="00FD6B6F" w:rsidRPr="00FD6B6F" w:rsidRDefault="00FD6B6F" w:rsidP="00FD6B6F">
      <w:pPr>
        <w:shd w:val="clear" w:color="auto" w:fill="FFFFFF"/>
        <w:spacing w:before="225" w:after="225" w:line="450" w:lineRule="atLeast"/>
        <w:outlineLvl w:val="1"/>
        <w:rPr>
          <w:rFonts w:ascii="Oswald" w:eastAsia="Times New Roman" w:hAnsi="Oswald" w:cs="Times New Roman"/>
          <w:caps/>
          <w:color w:val="292929"/>
          <w:sz w:val="36"/>
          <w:szCs w:val="36"/>
          <w:lang w:eastAsia="en-AU"/>
        </w:rPr>
      </w:pPr>
      <w:r w:rsidRPr="00FD6B6F">
        <w:rPr>
          <w:rFonts w:ascii="Oswald" w:eastAsia="Times New Roman" w:hAnsi="Oswald" w:cs="Times New Roman"/>
          <w:caps/>
          <w:color w:val="292929"/>
          <w:sz w:val="36"/>
          <w:szCs w:val="36"/>
          <w:lang w:eastAsia="en-AU"/>
        </w:rPr>
        <w:t>DIFFERENCE BETWEEN CIVIL AND CRIMINAL LAW TABLE</w:t>
      </w:r>
    </w:p>
    <w:p w14:paraId="02FA93BA" w14:textId="77777777" w:rsidR="00FD6B6F" w:rsidRPr="00FD6B6F" w:rsidRDefault="00FD6B6F" w:rsidP="00FD6B6F">
      <w:pPr>
        <w:shd w:val="clear" w:color="auto" w:fill="FFFFFF"/>
        <w:spacing w:before="100" w:beforeAutospacing="1" w:after="100" w:afterAutospacing="1" w:line="435" w:lineRule="atLeast"/>
        <w:rPr>
          <w:rFonts w:ascii="Roboto" w:eastAsia="Times New Roman" w:hAnsi="Roboto" w:cs="Times New Roman"/>
          <w:color w:val="5C5C5C"/>
          <w:sz w:val="23"/>
          <w:szCs w:val="23"/>
          <w:lang w:eastAsia="en-AU"/>
        </w:rPr>
      </w:pPr>
      <w:r w:rsidRPr="00FD6B6F">
        <w:rPr>
          <w:rFonts w:ascii="Roboto" w:eastAsia="Times New Roman" w:hAnsi="Roboto" w:cs="Times New Roman"/>
          <w:color w:val="5C5C5C"/>
          <w:sz w:val="23"/>
          <w:szCs w:val="23"/>
          <w:lang w:eastAsia="en-AU"/>
        </w:rPr>
        <w:t>Differences between civil and criminal law table</w:t>
      </w:r>
    </w:p>
    <w:tbl>
      <w:tblPr>
        <w:tblW w:w="9915" w:type="dxa"/>
        <w:shd w:val="clear" w:color="auto" w:fill="FFFFFF"/>
        <w:tblCellMar>
          <w:top w:w="15" w:type="dxa"/>
          <w:left w:w="15" w:type="dxa"/>
          <w:bottom w:w="15" w:type="dxa"/>
          <w:right w:w="15" w:type="dxa"/>
        </w:tblCellMar>
        <w:tblLook w:val="04A0" w:firstRow="1" w:lastRow="0" w:firstColumn="1" w:lastColumn="0" w:noHBand="0" w:noVBand="1"/>
      </w:tblPr>
      <w:tblGrid>
        <w:gridCol w:w="2007"/>
        <w:gridCol w:w="3902"/>
        <w:gridCol w:w="4006"/>
      </w:tblGrid>
      <w:tr w:rsidR="00FD6B6F" w:rsidRPr="00FD6B6F" w14:paraId="23077896" w14:textId="77777777" w:rsidTr="004D37E2">
        <w:tc>
          <w:tcPr>
            <w:tcW w:w="0" w:type="auto"/>
            <w:tcBorders>
              <w:top w:val="single" w:sz="6" w:space="0" w:color="EEEEEE"/>
              <w:left w:val="single" w:sz="6" w:space="0" w:color="EEEEEE"/>
              <w:bottom w:val="single" w:sz="6" w:space="0" w:color="EEEEEE"/>
              <w:right w:val="single" w:sz="6" w:space="0" w:color="EEEEEE"/>
            </w:tcBorders>
            <w:shd w:val="clear" w:color="auto" w:fill="FFFFFF"/>
            <w:tcMar>
              <w:top w:w="150" w:type="dxa"/>
              <w:left w:w="60" w:type="dxa"/>
              <w:bottom w:w="150" w:type="dxa"/>
              <w:right w:w="60" w:type="dxa"/>
            </w:tcMar>
            <w:vAlign w:val="center"/>
            <w:hideMark/>
          </w:tcPr>
          <w:p w14:paraId="620200DD" w14:textId="77777777" w:rsidR="00FD6B6F" w:rsidRPr="00FD6B6F" w:rsidRDefault="00FD6B6F" w:rsidP="00FD6B6F">
            <w:pPr>
              <w:spacing w:after="0" w:line="240" w:lineRule="auto"/>
              <w:rPr>
                <w:rFonts w:ascii="Roboto" w:eastAsia="Times New Roman" w:hAnsi="Roboto" w:cs="Times New Roman"/>
                <w:color w:val="5C5C5C"/>
                <w:sz w:val="23"/>
                <w:szCs w:val="23"/>
                <w:lang w:eastAsia="en-AU"/>
              </w:rPr>
            </w:pP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50" w:type="dxa"/>
              <w:left w:w="60" w:type="dxa"/>
              <w:bottom w:w="150" w:type="dxa"/>
              <w:right w:w="60" w:type="dxa"/>
            </w:tcMar>
            <w:vAlign w:val="center"/>
            <w:hideMark/>
          </w:tcPr>
          <w:p w14:paraId="01E80445" w14:textId="77777777" w:rsidR="00FD6B6F" w:rsidRPr="00FD6B6F" w:rsidRDefault="00FD6B6F" w:rsidP="00FD6B6F">
            <w:pPr>
              <w:spacing w:after="0" w:line="375" w:lineRule="atLeast"/>
              <w:jc w:val="center"/>
              <w:rPr>
                <w:rFonts w:ascii="Roboto" w:eastAsia="Times New Roman" w:hAnsi="Roboto" w:cs="Times New Roman"/>
                <w:color w:val="000000"/>
                <w:sz w:val="21"/>
                <w:szCs w:val="21"/>
                <w:lang w:eastAsia="en-AU"/>
              </w:rPr>
            </w:pPr>
            <w:r w:rsidRPr="00FD6B6F">
              <w:rPr>
                <w:rFonts w:ascii="Roboto" w:eastAsia="Times New Roman" w:hAnsi="Roboto" w:cs="Times New Roman"/>
                <w:color w:val="000000"/>
                <w:sz w:val="21"/>
                <w:szCs w:val="21"/>
                <w:lang w:eastAsia="en-AU"/>
              </w:rPr>
              <w:t>Criminal Law</w:t>
            </w:r>
          </w:p>
        </w:tc>
        <w:tc>
          <w:tcPr>
            <w:tcW w:w="4006" w:type="dxa"/>
            <w:tcBorders>
              <w:top w:val="single" w:sz="6" w:space="0" w:color="EEEEEE"/>
              <w:left w:val="single" w:sz="6" w:space="0" w:color="EEEEEE"/>
              <w:bottom w:val="single" w:sz="6" w:space="0" w:color="EEEEEE"/>
              <w:right w:val="single" w:sz="6" w:space="0" w:color="EEEEEE"/>
            </w:tcBorders>
            <w:shd w:val="clear" w:color="auto" w:fill="FFFFFF"/>
            <w:tcMar>
              <w:top w:w="150" w:type="dxa"/>
              <w:left w:w="60" w:type="dxa"/>
              <w:bottom w:w="150" w:type="dxa"/>
              <w:right w:w="60" w:type="dxa"/>
            </w:tcMar>
            <w:vAlign w:val="center"/>
            <w:hideMark/>
          </w:tcPr>
          <w:p w14:paraId="3CF87759" w14:textId="77777777" w:rsidR="00FD6B6F" w:rsidRPr="00FD6B6F" w:rsidRDefault="00FD6B6F" w:rsidP="00FD6B6F">
            <w:pPr>
              <w:spacing w:after="0" w:line="375" w:lineRule="atLeast"/>
              <w:jc w:val="center"/>
              <w:rPr>
                <w:rFonts w:ascii="Roboto" w:eastAsia="Times New Roman" w:hAnsi="Roboto" w:cs="Times New Roman"/>
                <w:color w:val="000000"/>
                <w:sz w:val="21"/>
                <w:szCs w:val="21"/>
                <w:lang w:eastAsia="en-AU"/>
              </w:rPr>
            </w:pPr>
            <w:r w:rsidRPr="00FD6B6F">
              <w:rPr>
                <w:rFonts w:ascii="Roboto" w:eastAsia="Times New Roman" w:hAnsi="Roboto" w:cs="Times New Roman"/>
                <w:color w:val="000000"/>
                <w:sz w:val="21"/>
                <w:szCs w:val="21"/>
                <w:lang w:eastAsia="en-AU"/>
              </w:rPr>
              <w:t>Civil Law</w:t>
            </w:r>
          </w:p>
        </w:tc>
      </w:tr>
      <w:tr w:rsidR="00FD6B6F" w:rsidRPr="00FD6B6F" w14:paraId="67FF26CA" w14:textId="77777777" w:rsidTr="004D37E2">
        <w:tc>
          <w:tcPr>
            <w:tcW w:w="0" w:type="auto"/>
            <w:tcBorders>
              <w:top w:val="single" w:sz="6" w:space="0" w:color="EEEEEE"/>
              <w:left w:val="single" w:sz="6" w:space="0" w:color="EEEEEE"/>
              <w:bottom w:val="single" w:sz="6" w:space="0" w:color="EEEEEE"/>
              <w:right w:val="single" w:sz="6" w:space="0" w:color="EEEEEE"/>
            </w:tcBorders>
            <w:shd w:val="clear" w:color="auto" w:fill="FFFFFF"/>
            <w:tcMar>
              <w:top w:w="150" w:type="dxa"/>
              <w:left w:w="120" w:type="dxa"/>
              <w:bottom w:w="150" w:type="dxa"/>
              <w:right w:w="120" w:type="dxa"/>
            </w:tcMar>
            <w:vAlign w:val="center"/>
            <w:hideMark/>
          </w:tcPr>
          <w:p w14:paraId="70A9E882"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Parties involves</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50" w:type="dxa"/>
              <w:left w:w="120" w:type="dxa"/>
              <w:bottom w:w="150" w:type="dxa"/>
              <w:right w:w="120" w:type="dxa"/>
            </w:tcMar>
            <w:vAlign w:val="center"/>
            <w:hideMark/>
          </w:tcPr>
          <w:p w14:paraId="4149B126"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Criminal law involves the prosecutor on behalf of the NSW Police or DPP who brings charges against an accused person/defendant.</w:t>
            </w:r>
          </w:p>
        </w:tc>
        <w:tc>
          <w:tcPr>
            <w:tcW w:w="4006" w:type="dxa"/>
            <w:tcBorders>
              <w:top w:val="single" w:sz="6" w:space="0" w:color="EEEEEE"/>
              <w:left w:val="single" w:sz="6" w:space="0" w:color="EEEEEE"/>
              <w:bottom w:val="single" w:sz="6" w:space="0" w:color="EEEEEE"/>
              <w:right w:val="single" w:sz="6" w:space="0" w:color="EEEEEE"/>
            </w:tcBorders>
            <w:shd w:val="clear" w:color="auto" w:fill="FFFFFF"/>
            <w:tcMar>
              <w:top w:w="150" w:type="dxa"/>
              <w:left w:w="120" w:type="dxa"/>
              <w:bottom w:w="150" w:type="dxa"/>
              <w:right w:w="120" w:type="dxa"/>
            </w:tcMar>
            <w:vAlign w:val="center"/>
            <w:hideMark/>
          </w:tcPr>
          <w:p w14:paraId="431DC443"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Civil law involves disputes between people and/or companies over money/compensation/damages</w:t>
            </w:r>
          </w:p>
        </w:tc>
      </w:tr>
      <w:tr w:rsidR="00FD6B6F" w:rsidRPr="00FD6B6F" w14:paraId="23959B35" w14:textId="77777777" w:rsidTr="004D37E2">
        <w:tc>
          <w:tcPr>
            <w:tcW w:w="0" w:type="auto"/>
            <w:tcBorders>
              <w:top w:val="single" w:sz="6" w:space="0" w:color="EEEEEE"/>
              <w:left w:val="single" w:sz="6" w:space="0" w:color="EEEEEE"/>
              <w:bottom w:val="single" w:sz="6" w:space="0" w:color="EEEEEE"/>
              <w:right w:val="single" w:sz="6" w:space="0" w:color="EEEEEE"/>
            </w:tcBorders>
            <w:shd w:val="clear" w:color="auto" w:fill="F7F7F7"/>
            <w:tcMar>
              <w:top w:w="150" w:type="dxa"/>
              <w:left w:w="120" w:type="dxa"/>
              <w:bottom w:w="150" w:type="dxa"/>
              <w:right w:w="120" w:type="dxa"/>
            </w:tcMar>
            <w:vAlign w:val="center"/>
            <w:hideMark/>
          </w:tcPr>
          <w:p w14:paraId="427FF52A"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Purposes &amp; Outcomes</w:t>
            </w:r>
          </w:p>
        </w:tc>
        <w:tc>
          <w:tcPr>
            <w:tcW w:w="0" w:type="auto"/>
            <w:tcBorders>
              <w:top w:val="single" w:sz="6" w:space="0" w:color="EEEEEE"/>
              <w:left w:val="single" w:sz="6" w:space="0" w:color="EEEEEE"/>
              <w:bottom w:val="single" w:sz="6" w:space="0" w:color="EEEEEE"/>
              <w:right w:val="single" w:sz="6" w:space="0" w:color="EEEEEE"/>
            </w:tcBorders>
            <w:shd w:val="clear" w:color="auto" w:fill="F7F7F7"/>
            <w:tcMar>
              <w:top w:w="150" w:type="dxa"/>
              <w:left w:w="120" w:type="dxa"/>
              <w:bottom w:w="150" w:type="dxa"/>
              <w:right w:w="120" w:type="dxa"/>
            </w:tcMar>
            <w:vAlign w:val="center"/>
            <w:hideMark/>
          </w:tcPr>
          <w:p w14:paraId="41ED27AC"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 xml:space="preserve">Criminal law involves prosecuting individuals or corporations for committing criminal offences. The </w:t>
            </w:r>
            <w:proofErr w:type="gramStart"/>
            <w:r w:rsidRPr="00FD6B6F">
              <w:rPr>
                <w:rFonts w:ascii="Roboto" w:eastAsia="Times New Roman" w:hAnsi="Roboto" w:cs="Times New Roman"/>
                <w:color w:val="48494B"/>
                <w:sz w:val="23"/>
                <w:szCs w:val="23"/>
                <w:lang w:eastAsia="en-AU"/>
              </w:rPr>
              <w:t>purposes</w:t>
            </w:r>
            <w:proofErr w:type="gramEnd"/>
            <w:r w:rsidRPr="00FD6B6F">
              <w:rPr>
                <w:rFonts w:ascii="Roboto" w:eastAsia="Times New Roman" w:hAnsi="Roboto" w:cs="Times New Roman"/>
                <w:color w:val="48494B"/>
                <w:sz w:val="23"/>
                <w:szCs w:val="23"/>
                <w:lang w:eastAsia="en-AU"/>
              </w:rPr>
              <w:t xml:space="preserve"> in criminal justice is to punish, deter, retribution and reform. This is achieved by the court imposing an appropriate penalty on sentence, which may be imprisonment, fine, or even a non-conviction sentence. If a person is found not guilty, then the charges are dismissed.</w:t>
            </w:r>
          </w:p>
        </w:tc>
        <w:tc>
          <w:tcPr>
            <w:tcW w:w="4006" w:type="dxa"/>
            <w:tcBorders>
              <w:top w:val="single" w:sz="6" w:space="0" w:color="EEEEEE"/>
              <w:left w:val="single" w:sz="6" w:space="0" w:color="EEEEEE"/>
              <w:bottom w:val="single" w:sz="6" w:space="0" w:color="EEEEEE"/>
              <w:right w:val="single" w:sz="6" w:space="0" w:color="EEEEEE"/>
            </w:tcBorders>
            <w:shd w:val="clear" w:color="auto" w:fill="F7F7F7"/>
            <w:tcMar>
              <w:top w:w="150" w:type="dxa"/>
              <w:left w:w="120" w:type="dxa"/>
              <w:bottom w:w="150" w:type="dxa"/>
              <w:right w:w="120" w:type="dxa"/>
            </w:tcMar>
            <w:vAlign w:val="center"/>
            <w:hideMark/>
          </w:tcPr>
          <w:p w14:paraId="4217BC0A"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Civil law claims require monetary remedies. Losing party will usually be court ordered to pay money to winning party for compensation. There is no jail time.</w:t>
            </w:r>
          </w:p>
        </w:tc>
      </w:tr>
      <w:tr w:rsidR="00FD6B6F" w:rsidRPr="00FD6B6F" w14:paraId="1AA0D3EF" w14:textId="77777777" w:rsidTr="004D37E2">
        <w:tc>
          <w:tcPr>
            <w:tcW w:w="0" w:type="auto"/>
            <w:tcBorders>
              <w:top w:val="single" w:sz="6" w:space="0" w:color="EEEEEE"/>
              <w:left w:val="single" w:sz="6" w:space="0" w:color="EEEEEE"/>
              <w:bottom w:val="single" w:sz="6" w:space="0" w:color="EEEEEE"/>
              <w:right w:val="single" w:sz="6" w:space="0" w:color="EEEEEE"/>
            </w:tcBorders>
            <w:shd w:val="clear" w:color="auto" w:fill="FFFFFF"/>
            <w:tcMar>
              <w:top w:w="150" w:type="dxa"/>
              <w:left w:w="120" w:type="dxa"/>
              <w:bottom w:w="150" w:type="dxa"/>
              <w:right w:w="120" w:type="dxa"/>
            </w:tcMar>
            <w:vAlign w:val="center"/>
            <w:hideMark/>
          </w:tcPr>
          <w:p w14:paraId="3D701659"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Standard of Proof and Burden of Proof</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50" w:type="dxa"/>
              <w:left w:w="120" w:type="dxa"/>
              <w:bottom w:w="150" w:type="dxa"/>
              <w:right w:w="120" w:type="dxa"/>
            </w:tcMar>
            <w:vAlign w:val="center"/>
            <w:hideMark/>
          </w:tcPr>
          <w:p w14:paraId="101622DC"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The prosecution is required to prove the criminal allegations against the accused in court beyond reasonable doubt.</w:t>
            </w:r>
          </w:p>
        </w:tc>
        <w:tc>
          <w:tcPr>
            <w:tcW w:w="4006" w:type="dxa"/>
            <w:tcBorders>
              <w:top w:val="single" w:sz="6" w:space="0" w:color="EEEEEE"/>
              <w:left w:val="single" w:sz="6" w:space="0" w:color="EEEEEE"/>
              <w:bottom w:val="single" w:sz="6" w:space="0" w:color="EEEEEE"/>
              <w:right w:val="single" w:sz="6" w:space="0" w:color="EEEEEE"/>
            </w:tcBorders>
            <w:shd w:val="clear" w:color="auto" w:fill="FFFFFF"/>
            <w:tcMar>
              <w:top w:w="150" w:type="dxa"/>
              <w:left w:w="120" w:type="dxa"/>
              <w:bottom w:w="150" w:type="dxa"/>
              <w:right w:w="120" w:type="dxa"/>
            </w:tcMar>
            <w:vAlign w:val="center"/>
            <w:hideMark/>
          </w:tcPr>
          <w:p w14:paraId="3C44132F"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Party making the claim is usually required to prove its allegations against the defendant to the court on the balance of probability.</w:t>
            </w:r>
          </w:p>
        </w:tc>
      </w:tr>
      <w:tr w:rsidR="00FD6B6F" w:rsidRPr="00FD6B6F" w14:paraId="371FF338" w14:textId="77777777" w:rsidTr="004D37E2">
        <w:tc>
          <w:tcPr>
            <w:tcW w:w="0" w:type="auto"/>
            <w:tcBorders>
              <w:top w:val="single" w:sz="6" w:space="0" w:color="EEEEEE"/>
              <w:left w:val="single" w:sz="6" w:space="0" w:color="EEEEEE"/>
              <w:bottom w:val="single" w:sz="6" w:space="0" w:color="EEEEEE"/>
              <w:right w:val="single" w:sz="6" w:space="0" w:color="EEEEEE"/>
            </w:tcBorders>
            <w:shd w:val="clear" w:color="auto" w:fill="F7F7F7"/>
            <w:tcMar>
              <w:top w:w="150" w:type="dxa"/>
              <w:left w:w="120" w:type="dxa"/>
              <w:bottom w:w="150" w:type="dxa"/>
              <w:right w:w="120" w:type="dxa"/>
            </w:tcMar>
            <w:vAlign w:val="center"/>
            <w:hideMark/>
          </w:tcPr>
          <w:p w14:paraId="26EF33D8"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lastRenderedPageBreak/>
              <w:t>Court process- giving evidence in court</w:t>
            </w:r>
          </w:p>
        </w:tc>
        <w:tc>
          <w:tcPr>
            <w:tcW w:w="0" w:type="auto"/>
            <w:tcBorders>
              <w:top w:val="single" w:sz="6" w:space="0" w:color="EEEEEE"/>
              <w:left w:val="single" w:sz="6" w:space="0" w:color="EEEEEE"/>
              <w:bottom w:val="single" w:sz="6" w:space="0" w:color="EEEEEE"/>
              <w:right w:val="single" w:sz="6" w:space="0" w:color="EEEEEE"/>
            </w:tcBorders>
            <w:shd w:val="clear" w:color="auto" w:fill="F7F7F7"/>
            <w:tcMar>
              <w:top w:w="150" w:type="dxa"/>
              <w:left w:w="120" w:type="dxa"/>
              <w:bottom w:w="150" w:type="dxa"/>
              <w:right w:w="120" w:type="dxa"/>
            </w:tcMar>
            <w:vAlign w:val="center"/>
            <w:hideMark/>
          </w:tcPr>
          <w:p w14:paraId="41A4ABE7"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 xml:space="preserve">Criminal case hearings in court require the prosecution witnesses to give evidence </w:t>
            </w:r>
            <w:proofErr w:type="gramStart"/>
            <w:r w:rsidRPr="00FD6B6F">
              <w:rPr>
                <w:rFonts w:ascii="Roboto" w:eastAsia="Times New Roman" w:hAnsi="Roboto" w:cs="Times New Roman"/>
                <w:color w:val="48494B"/>
                <w:sz w:val="23"/>
                <w:szCs w:val="23"/>
                <w:lang w:eastAsia="en-AU"/>
              </w:rPr>
              <w:t>in order to</w:t>
            </w:r>
            <w:proofErr w:type="gramEnd"/>
            <w:r w:rsidRPr="00FD6B6F">
              <w:rPr>
                <w:rFonts w:ascii="Roboto" w:eastAsia="Times New Roman" w:hAnsi="Roboto" w:cs="Times New Roman"/>
                <w:color w:val="48494B"/>
                <w:sz w:val="23"/>
                <w:szCs w:val="23"/>
                <w:lang w:eastAsia="en-AU"/>
              </w:rPr>
              <w:t xml:space="preserve"> prove the police case. These witnesses are required to give evidence in chief in the witness box in court without the assistance of their previously written statements. The defence witnesses are not required to give </w:t>
            </w:r>
            <w:proofErr w:type="gramStart"/>
            <w:r w:rsidRPr="00FD6B6F">
              <w:rPr>
                <w:rFonts w:ascii="Roboto" w:eastAsia="Times New Roman" w:hAnsi="Roboto" w:cs="Times New Roman"/>
                <w:color w:val="48494B"/>
                <w:sz w:val="23"/>
                <w:szCs w:val="23"/>
                <w:lang w:eastAsia="en-AU"/>
              </w:rPr>
              <w:t>evidence, but</w:t>
            </w:r>
            <w:proofErr w:type="gramEnd"/>
            <w:r w:rsidRPr="00FD6B6F">
              <w:rPr>
                <w:rFonts w:ascii="Roboto" w:eastAsia="Times New Roman" w:hAnsi="Roboto" w:cs="Times New Roman"/>
                <w:color w:val="48494B"/>
                <w:sz w:val="23"/>
                <w:szCs w:val="23"/>
                <w:lang w:eastAsia="en-AU"/>
              </w:rPr>
              <w:t xml:space="preserve"> can if the defence wishes.</w:t>
            </w:r>
          </w:p>
        </w:tc>
        <w:tc>
          <w:tcPr>
            <w:tcW w:w="4006" w:type="dxa"/>
            <w:tcBorders>
              <w:top w:val="single" w:sz="6" w:space="0" w:color="EEEEEE"/>
              <w:left w:val="single" w:sz="6" w:space="0" w:color="EEEEEE"/>
              <w:bottom w:val="single" w:sz="6" w:space="0" w:color="EEEEEE"/>
              <w:right w:val="single" w:sz="6" w:space="0" w:color="EEEEEE"/>
            </w:tcBorders>
            <w:shd w:val="clear" w:color="auto" w:fill="F7F7F7"/>
            <w:tcMar>
              <w:top w:w="150" w:type="dxa"/>
              <w:left w:w="120" w:type="dxa"/>
              <w:bottom w:w="150" w:type="dxa"/>
              <w:right w:w="120" w:type="dxa"/>
            </w:tcMar>
            <w:vAlign w:val="center"/>
            <w:hideMark/>
          </w:tcPr>
          <w:p w14:paraId="65638CDD"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Civil case court hearing involves each witness giving evidence in chief via a written statement or affidavit which is read on the record. The witness is not required to give this evidence without the assistance of his/her statement in front of them.</w:t>
            </w:r>
          </w:p>
        </w:tc>
      </w:tr>
      <w:tr w:rsidR="00FD6B6F" w:rsidRPr="00FD6B6F" w14:paraId="42667EF5" w14:textId="77777777" w:rsidTr="004D37E2">
        <w:tc>
          <w:tcPr>
            <w:tcW w:w="0" w:type="auto"/>
            <w:tcBorders>
              <w:top w:val="single" w:sz="6" w:space="0" w:color="EEEEEE"/>
              <w:left w:val="single" w:sz="6" w:space="0" w:color="EEEEEE"/>
              <w:bottom w:val="single" w:sz="6" w:space="0" w:color="EEEEEE"/>
              <w:right w:val="single" w:sz="6" w:space="0" w:color="EEEEEE"/>
            </w:tcBorders>
            <w:shd w:val="clear" w:color="auto" w:fill="FFFFFF"/>
            <w:tcMar>
              <w:top w:w="150" w:type="dxa"/>
              <w:left w:w="120" w:type="dxa"/>
              <w:bottom w:w="150" w:type="dxa"/>
              <w:right w:w="120" w:type="dxa"/>
            </w:tcMar>
            <w:vAlign w:val="center"/>
            <w:hideMark/>
          </w:tcPr>
          <w:p w14:paraId="5FC28BA0"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Commencing Proceedings</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50" w:type="dxa"/>
              <w:left w:w="120" w:type="dxa"/>
              <w:bottom w:w="150" w:type="dxa"/>
              <w:right w:w="120" w:type="dxa"/>
            </w:tcMar>
            <w:vAlign w:val="center"/>
            <w:hideMark/>
          </w:tcPr>
          <w:p w14:paraId="457362A0"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To commence a prosecution against someone, the police on behalf of the State will file a ‘Court Attendance Notice’ at the court registry which must then be served on the accused person by police. Once served, that person is then formally charged. The CAN is normally filed by the police, but can also be done privately by an individual (</w:t>
            </w:r>
            <w:proofErr w:type="gramStart"/>
            <w:r w:rsidRPr="00FD6B6F">
              <w:rPr>
                <w:rFonts w:ascii="Roboto" w:eastAsia="Times New Roman" w:hAnsi="Roboto" w:cs="Times New Roman"/>
                <w:color w:val="48494B"/>
                <w:sz w:val="23"/>
                <w:szCs w:val="23"/>
                <w:lang w:eastAsia="en-AU"/>
              </w:rPr>
              <w:t>i.e.</w:t>
            </w:r>
            <w:proofErr w:type="gramEnd"/>
            <w:r w:rsidRPr="00FD6B6F">
              <w:rPr>
                <w:rFonts w:ascii="Roboto" w:eastAsia="Times New Roman" w:hAnsi="Roboto" w:cs="Times New Roman"/>
                <w:color w:val="48494B"/>
                <w:sz w:val="23"/>
                <w:szCs w:val="23"/>
                <w:lang w:eastAsia="en-AU"/>
              </w:rPr>
              <w:t xml:space="preserve"> private prosecution).</w:t>
            </w:r>
          </w:p>
        </w:tc>
        <w:tc>
          <w:tcPr>
            <w:tcW w:w="4006" w:type="dxa"/>
            <w:tcBorders>
              <w:top w:val="single" w:sz="6" w:space="0" w:color="EEEEEE"/>
              <w:left w:val="single" w:sz="6" w:space="0" w:color="EEEEEE"/>
              <w:bottom w:val="single" w:sz="6" w:space="0" w:color="EEEEEE"/>
              <w:right w:val="single" w:sz="6" w:space="0" w:color="EEEEEE"/>
            </w:tcBorders>
            <w:shd w:val="clear" w:color="auto" w:fill="FFFFFF"/>
            <w:tcMar>
              <w:top w:w="150" w:type="dxa"/>
              <w:left w:w="120" w:type="dxa"/>
              <w:bottom w:w="150" w:type="dxa"/>
              <w:right w:w="120" w:type="dxa"/>
            </w:tcMar>
            <w:vAlign w:val="center"/>
            <w:hideMark/>
          </w:tcPr>
          <w:p w14:paraId="769B645F"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To commence a civil claim against a person/business or company must file, at the court, an initiating process called a statement of claims. The person making the civil claims must then serve a copy to the other party.</w:t>
            </w:r>
          </w:p>
        </w:tc>
      </w:tr>
      <w:tr w:rsidR="00FD6B6F" w:rsidRPr="00FD6B6F" w14:paraId="186112CC" w14:textId="77777777" w:rsidTr="004D37E2">
        <w:tc>
          <w:tcPr>
            <w:tcW w:w="0" w:type="auto"/>
            <w:tcBorders>
              <w:top w:val="single" w:sz="6" w:space="0" w:color="EEEEEE"/>
              <w:left w:val="single" w:sz="6" w:space="0" w:color="EEEEEE"/>
              <w:bottom w:val="single" w:sz="6" w:space="0" w:color="EEEEEE"/>
              <w:right w:val="single" w:sz="6" w:space="0" w:color="EEEEEE"/>
            </w:tcBorders>
            <w:shd w:val="clear" w:color="auto" w:fill="F7F7F7"/>
            <w:tcMar>
              <w:top w:w="150" w:type="dxa"/>
              <w:left w:w="120" w:type="dxa"/>
              <w:bottom w:w="150" w:type="dxa"/>
              <w:right w:w="120" w:type="dxa"/>
            </w:tcMar>
            <w:vAlign w:val="center"/>
            <w:hideMark/>
          </w:tcPr>
          <w:p w14:paraId="71214CF3"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Types of Cases</w:t>
            </w:r>
          </w:p>
        </w:tc>
        <w:tc>
          <w:tcPr>
            <w:tcW w:w="0" w:type="auto"/>
            <w:tcBorders>
              <w:top w:val="single" w:sz="6" w:space="0" w:color="EEEEEE"/>
              <w:left w:val="single" w:sz="6" w:space="0" w:color="EEEEEE"/>
              <w:bottom w:val="single" w:sz="6" w:space="0" w:color="EEEEEE"/>
              <w:right w:val="single" w:sz="6" w:space="0" w:color="EEEEEE"/>
            </w:tcBorders>
            <w:shd w:val="clear" w:color="auto" w:fill="F7F7F7"/>
            <w:tcMar>
              <w:top w:w="150" w:type="dxa"/>
              <w:left w:w="120" w:type="dxa"/>
              <w:bottom w:w="150" w:type="dxa"/>
              <w:right w:w="120" w:type="dxa"/>
            </w:tcMar>
            <w:vAlign w:val="center"/>
            <w:hideMark/>
          </w:tcPr>
          <w:p w14:paraId="2591FF37"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 xml:space="preserve">Criminal law cases include murder, assaults, fraud, white-collar crime, corporate crime, sexual assault, larceny, drink driving, negligent and dangerous driving, drug supply and importation, firearms, domestic violence, break and enter. These cases are heard in the local, district and supreme courts in the </w:t>
            </w:r>
            <w:proofErr w:type="gramStart"/>
            <w:r w:rsidRPr="00FD6B6F">
              <w:rPr>
                <w:rFonts w:ascii="Roboto" w:eastAsia="Times New Roman" w:hAnsi="Roboto" w:cs="Times New Roman"/>
                <w:color w:val="48494B"/>
                <w:sz w:val="23"/>
                <w:szCs w:val="23"/>
                <w:lang w:eastAsia="en-AU"/>
              </w:rPr>
              <w:t>courts</w:t>
            </w:r>
            <w:proofErr w:type="gramEnd"/>
            <w:r w:rsidRPr="00FD6B6F">
              <w:rPr>
                <w:rFonts w:ascii="Roboto" w:eastAsia="Times New Roman" w:hAnsi="Roboto" w:cs="Times New Roman"/>
                <w:color w:val="48494B"/>
                <w:sz w:val="23"/>
                <w:szCs w:val="23"/>
                <w:lang w:eastAsia="en-AU"/>
              </w:rPr>
              <w:t xml:space="preserve"> criminal jurisdiction.</w:t>
            </w:r>
          </w:p>
        </w:tc>
        <w:tc>
          <w:tcPr>
            <w:tcW w:w="4006" w:type="dxa"/>
            <w:tcBorders>
              <w:top w:val="single" w:sz="6" w:space="0" w:color="EEEEEE"/>
              <w:left w:val="single" w:sz="6" w:space="0" w:color="EEEEEE"/>
              <w:bottom w:val="single" w:sz="6" w:space="0" w:color="EEEEEE"/>
              <w:right w:val="single" w:sz="6" w:space="0" w:color="EEEEEE"/>
            </w:tcBorders>
            <w:shd w:val="clear" w:color="auto" w:fill="F7F7F7"/>
            <w:tcMar>
              <w:top w:w="150" w:type="dxa"/>
              <w:left w:w="120" w:type="dxa"/>
              <w:bottom w:w="150" w:type="dxa"/>
              <w:right w:w="120" w:type="dxa"/>
            </w:tcMar>
            <w:vAlign w:val="center"/>
            <w:hideMark/>
          </w:tcPr>
          <w:p w14:paraId="6CF89B0C"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 xml:space="preserve">Civil law cases include claims of negligence and torts, breaches of contract, breaches of civil rights, family court proceedings including disputes about property, </w:t>
            </w:r>
            <w:proofErr w:type="gramStart"/>
            <w:r w:rsidRPr="00FD6B6F">
              <w:rPr>
                <w:rFonts w:ascii="Roboto" w:eastAsia="Times New Roman" w:hAnsi="Roboto" w:cs="Times New Roman"/>
                <w:color w:val="48494B"/>
                <w:sz w:val="23"/>
                <w:szCs w:val="23"/>
                <w:lang w:eastAsia="en-AU"/>
              </w:rPr>
              <w:t>divorce</w:t>
            </w:r>
            <w:proofErr w:type="gramEnd"/>
            <w:r w:rsidRPr="00FD6B6F">
              <w:rPr>
                <w:rFonts w:ascii="Roboto" w:eastAsia="Times New Roman" w:hAnsi="Roboto" w:cs="Times New Roman"/>
                <w:color w:val="48494B"/>
                <w:sz w:val="23"/>
                <w:szCs w:val="23"/>
                <w:lang w:eastAsia="en-AU"/>
              </w:rPr>
              <w:t xml:space="preserve"> and child custody.</w:t>
            </w:r>
          </w:p>
        </w:tc>
      </w:tr>
      <w:tr w:rsidR="00FD6B6F" w:rsidRPr="00FD6B6F" w14:paraId="52C8F17E" w14:textId="77777777" w:rsidTr="004D37E2">
        <w:tc>
          <w:tcPr>
            <w:tcW w:w="0" w:type="auto"/>
            <w:tcBorders>
              <w:top w:val="single" w:sz="6" w:space="0" w:color="EEEEEE"/>
              <w:left w:val="single" w:sz="6" w:space="0" w:color="EEEEEE"/>
              <w:bottom w:val="single" w:sz="6" w:space="0" w:color="EEEEEE"/>
              <w:right w:val="single" w:sz="6" w:space="0" w:color="EEEEEE"/>
            </w:tcBorders>
            <w:shd w:val="clear" w:color="auto" w:fill="FFFFFF"/>
            <w:tcMar>
              <w:top w:w="150" w:type="dxa"/>
              <w:left w:w="120" w:type="dxa"/>
              <w:bottom w:w="150" w:type="dxa"/>
              <w:right w:w="120" w:type="dxa"/>
            </w:tcMar>
            <w:vAlign w:val="center"/>
            <w:hideMark/>
          </w:tcPr>
          <w:p w14:paraId="5F1AE444"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lastRenderedPageBreak/>
              <w:t>Legal Rights</w:t>
            </w:r>
          </w:p>
        </w:tc>
        <w:tc>
          <w:tcPr>
            <w:tcW w:w="0" w:type="auto"/>
            <w:tcBorders>
              <w:top w:val="single" w:sz="6" w:space="0" w:color="EEEEEE"/>
              <w:left w:val="single" w:sz="6" w:space="0" w:color="EEEEEE"/>
              <w:bottom w:val="single" w:sz="6" w:space="0" w:color="EEEEEE"/>
              <w:right w:val="single" w:sz="6" w:space="0" w:color="EEEEEE"/>
            </w:tcBorders>
            <w:shd w:val="clear" w:color="auto" w:fill="FFFFFF"/>
            <w:tcMar>
              <w:top w:w="150" w:type="dxa"/>
              <w:left w:w="120" w:type="dxa"/>
              <w:bottom w:w="150" w:type="dxa"/>
              <w:right w:w="120" w:type="dxa"/>
            </w:tcMar>
            <w:vAlign w:val="center"/>
            <w:hideMark/>
          </w:tcPr>
          <w:p w14:paraId="25B3DB79"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Criminal law cases provide the accused/defendants with many rights, including the right to silence with police and the criminal court process. This includes the right to not give evidence in court without it being used against the accused in court.</w:t>
            </w:r>
          </w:p>
        </w:tc>
        <w:tc>
          <w:tcPr>
            <w:tcW w:w="4006" w:type="dxa"/>
            <w:tcBorders>
              <w:top w:val="single" w:sz="6" w:space="0" w:color="EEEEEE"/>
              <w:left w:val="single" w:sz="6" w:space="0" w:color="EEEEEE"/>
              <w:bottom w:val="single" w:sz="6" w:space="0" w:color="EEEEEE"/>
              <w:right w:val="single" w:sz="6" w:space="0" w:color="EEEEEE"/>
            </w:tcBorders>
            <w:shd w:val="clear" w:color="auto" w:fill="FFFFFF"/>
            <w:tcMar>
              <w:top w:w="150" w:type="dxa"/>
              <w:left w:w="120" w:type="dxa"/>
              <w:bottom w:w="150" w:type="dxa"/>
              <w:right w:w="120" w:type="dxa"/>
            </w:tcMar>
            <w:vAlign w:val="center"/>
            <w:hideMark/>
          </w:tcPr>
          <w:p w14:paraId="7FF77177"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 xml:space="preserve">Civil law cases do not have any right to silence or self-incrimination protections. A </w:t>
            </w:r>
            <w:proofErr w:type="gramStart"/>
            <w:r w:rsidRPr="00FD6B6F">
              <w:rPr>
                <w:rFonts w:ascii="Roboto" w:eastAsia="Times New Roman" w:hAnsi="Roboto" w:cs="Times New Roman"/>
                <w:color w:val="48494B"/>
                <w:sz w:val="23"/>
                <w:szCs w:val="23"/>
                <w:lang w:eastAsia="en-AU"/>
              </w:rPr>
              <w:t>parties</w:t>
            </w:r>
            <w:proofErr w:type="gramEnd"/>
            <w:r w:rsidRPr="00FD6B6F">
              <w:rPr>
                <w:rFonts w:ascii="Roboto" w:eastAsia="Times New Roman" w:hAnsi="Roboto" w:cs="Times New Roman"/>
                <w:color w:val="48494B"/>
                <w:sz w:val="23"/>
                <w:szCs w:val="23"/>
                <w:lang w:eastAsia="en-AU"/>
              </w:rPr>
              <w:t xml:space="preserve"> choice to refuse to talk, disclose or answer questions can be then used against him/her in court.</w:t>
            </w:r>
          </w:p>
        </w:tc>
      </w:tr>
      <w:tr w:rsidR="00FD6B6F" w:rsidRPr="00FD6B6F" w14:paraId="2B19047E" w14:textId="77777777" w:rsidTr="004D37E2">
        <w:tc>
          <w:tcPr>
            <w:tcW w:w="0" w:type="auto"/>
            <w:tcBorders>
              <w:top w:val="single" w:sz="6" w:space="0" w:color="EEEEEE"/>
              <w:left w:val="single" w:sz="6" w:space="0" w:color="EEEEEE"/>
              <w:bottom w:val="single" w:sz="6" w:space="0" w:color="EEEEEE"/>
              <w:right w:val="single" w:sz="6" w:space="0" w:color="EEEEEE"/>
            </w:tcBorders>
            <w:shd w:val="clear" w:color="auto" w:fill="F7F7F7"/>
            <w:tcMar>
              <w:top w:w="150" w:type="dxa"/>
              <w:left w:w="120" w:type="dxa"/>
              <w:bottom w:w="150" w:type="dxa"/>
              <w:right w:w="120" w:type="dxa"/>
            </w:tcMar>
            <w:vAlign w:val="center"/>
            <w:hideMark/>
          </w:tcPr>
          <w:p w14:paraId="01E55401"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Legal Representatives</w:t>
            </w:r>
          </w:p>
        </w:tc>
        <w:tc>
          <w:tcPr>
            <w:tcW w:w="0" w:type="auto"/>
            <w:tcBorders>
              <w:top w:val="single" w:sz="6" w:space="0" w:color="EEEEEE"/>
              <w:left w:val="single" w:sz="6" w:space="0" w:color="EEEEEE"/>
              <w:bottom w:val="single" w:sz="6" w:space="0" w:color="EEEEEE"/>
              <w:right w:val="single" w:sz="6" w:space="0" w:color="EEEEEE"/>
            </w:tcBorders>
            <w:shd w:val="clear" w:color="auto" w:fill="F7F7F7"/>
            <w:tcMar>
              <w:top w:w="150" w:type="dxa"/>
              <w:left w:w="120" w:type="dxa"/>
              <w:bottom w:w="150" w:type="dxa"/>
              <w:right w:w="120" w:type="dxa"/>
            </w:tcMar>
            <w:vAlign w:val="center"/>
            <w:hideMark/>
          </w:tcPr>
          <w:p w14:paraId="55D46D0C"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Criminal cases involve a criminal defence lawyer for the accused person who represents the accused person in court and advises and guides him/her throughout the criminal justice process. The prosecution will have either a local court prosecutor or Director of Public Prosecution lawyer who will be prosecuting the accused in court.</w:t>
            </w:r>
          </w:p>
        </w:tc>
        <w:tc>
          <w:tcPr>
            <w:tcW w:w="4006" w:type="dxa"/>
            <w:tcBorders>
              <w:top w:val="single" w:sz="6" w:space="0" w:color="EEEEEE"/>
              <w:left w:val="single" w:sz="6" w:space="0" w:color="EEEEEE"/>
              <w:bottom w:val="single" w:sz="6" w:space="0" w:color="EEEEEE"/>
              <w:right w:val="single" w:sz="6" w:space="0" w:color="EEEEEE"/>
            </w:tcBorders>
            <w:shd w:val="clear" w:color="auto" w:fill="F7F7F7"/>
            <w:tcMar>
              <w:top w:w="150" w:type="dxa"/>
              <w:left w:w="120" w:type="dxa"/>
              <w:bottom w:w="150" w:type="dxa"/>
              <w:right w:w="120" w:type="dxa"/>
            </w:tcMar>
            <w:vAlign w:val="center"/>
            <w:hideMark/>
          </w:tcPr>
          <w:p w14:paraId="51685887" w14:textId="77777777" w:rsidR="00FD6B6F" w:rsidRPr="00FD6B6F" w:rsidRDefault="00FD6B6F" w:rsidP="00FD6B6F">
            <w:pPr>
              <w:spacing w:after="0" w:line="375" w:lineRule="atLeast"/>
              <w:rPr>
                <w:rFonts w:ascii="Roboto" w:eastAsia="Times New Roman" w:hAnsi="Roboto" w:cs="Times New Roman"/>
                <w:color w:val="48494B"/>
                <w:sz w:val="23"/>
                <w:szCs w:val="23"/>
                <w:lang w:eastAsia="en-AU"/>
              </w:rPr>
            </w:pPr>
            <w:r w:rsidRPr="00FD6B6F">
              <w:rPr>
                <w:rFonts w:ascii="Roboto" w:eastAsia="Times New Roman" w:hAnsi="Roboto" w:cs="Times New Roman"/>
                <w:color w:val="48494B"/>
                <w:sz w:val="23"/>
                <w:szCs w:val="23"/>
                <w:lang w:eastAsia="en-AU"/>
              </w:rPr>
              <w:t>Civil cases involve private lawyers for each side/party in the case, who each have their legal fees.</w:t>
            </w:r>
          </w:p>
        </w:tc>
      </w:tr>
    </w:tbl>
    <w:p w14:paraId="79CE1A41" w14:textId="77777777" w:rsidR="00FD6B6F" w:rsidRPr="00FD6B6F" w:rsidRDefault="00FD6B6F" w:rsidP="00FD6B6F">
      <w:pPr>
        <w:shd w:val="clear" w:color="auto" w:fill="FFFFFF"/>
        <w:spacing w:before="100" w:beforeAutospacing="1" w:after="100" w:afterAutospacing="1" w:line="435" w:lineRule="atLeast"/>
        <w:rPr>
          <w:rFonts w:ascii="Roboto" w:eastAsia="Times New Roman" w:hAnsi="Roboto" w:cs="Times New Roman"/>
          <w:color w:val="5C5C5C"/>
          <w:sz w:val="23"/>
          <w:szCs w:val="23"/>
          <w:lang w:eastAsia="en-AU"/>
        </w:rPr>
      </w:pPr>
      <w:r w:rsidRPr="00FD6B6F">
        <w:rPr>
          <w:rFonts w:ascii="Roboto" w:eastAsia="Times New Roman" w:hAnsi="Roboto" w:cs="Times New Roman"/>
          <w:color w:val="5C5C5C"/>
          <w:sz w:val="23"/>
          <w:szCs w:val="23"/>
          <w:lang w:eastAsia="en-AU"/>
        </w:rPr>
        <w:t>If the plaintiff in a civil law case fails to prove its case on the balance of probabilities against the defendant, the plaintiff will likely have to pay the other sides legal costs. The civil standard of proof is easier to prove than the criminal standard of proof of beyond reasonable doubt. In criminal law, the losing party normally don’t end up paying the legal costs for the winning party.</w:t>
      </w:r>
    </w:p>
    <w:p w14:paraId="72D23090" w14:textId="77777777" w:rsidR="00FD6B6F" w:rsidRPr="00FD6B6F" w:rsidRDefault="00FD6B6F" w:rsidP="00FD6B6F">
      <w:pPr>
        <w:shd w:val="clear" w:color="auto" w:fill="FFFFFF"/>
        <w:spacing w:before="100" w:beforeAutospacing="1" w:after="100" w:afterAutospacing="1" w:line="435" w:lineRule="atLeast"/>
        <w:rPr>
          <w:rFonts w:ascii="Roboto" w:eastAsia="Times New Roman" w:hAnsi="Roboto" w:cs="Times New Roman"/>
          <w:color w:val="5C5C5C"/>
          <w:sz w:val="23"/>
          <w:szCs w:val="23"/>
          <w:lang w:eastAsia="en-AU"/>
        </w:rPr>
      </w:pPr>
      <w:r w:rsidRPr="00FD6B6F">
        <w:rPr>
          <w:rFonts w:ascii="Roboto" w:eastAsia="Times New Roman" w:hAnsi="Roboto" w:cs="Times New Roman"/>
          <w:color w:val="5C5C5C"/>
          <w:sz w:val="23"/>
          <w:szCs w:val="23"/>
          <w:lang w:eastAsia="en-AU"/>
        </w:rPr>
        <w:t>The accused person in a criminal law case has the benefit of the doubt. He/she is presumed innocent until/unless proven guilty by the court.</w:t>
      </w:r>
    </w:p>
    <w:p w14:paraId="049DF562" w14:textId="77777777" w:rsidR="00FD6B6F" w:rsidRPr="00FD6B6F" w:rsidRDefault="00FD6B6F" w:rsidP="00FD6B6F">
      <w:pPr>
        <w:shd w:val="clear" w:color="auto" w:fill="FFFFFF"/>
        <w:spacing w:before="100" w:beforeAutospacing="1" w:after="100" w:afterAutospacing="1" w:line="435" w:lineRule="atLeast"/>
        <w:rPr>
          <w:rFonts w:ascii="Roboto" w:eastAsia="Times New Roman" w:hAnsi="Roboto" w:cs="Times New Roman"/>
          <w:color w:val="5C5C5C"/>
          <w:sz w:val="23"/>
          <w:szCs w:val="23"/>
          <w:lang w:eastAsia="en-AU"/>
        </w:rPr>
      </w:pPr>
      <w:r w:rsidRPr="00FD6B6F">
        <w:rPr>
          <w:rFonts w:ascii="Roboto" w:eastAsia="Times New Roman" w:hAnsi="Roboto" w:cs="Times New Roman"/>
          <w:color w:val="5C5C5C"/>
          <w:sz w:val="23"/>
          <w:szCs w:val="23"/>
          <w:lang w:eastAsia="en-AU"/>
        </w:rPr>
        <w:t> </w:t>
      </w:r>
    </w:p>
    <w:p w14:paraId="3A7B1B7E" w14:textId="1319AC39" w:rsidR="009A709E" w:rsidRDefault="004D37E2">
      <w:hyperlink r:id="rId5" w:history="1">
        <w:r>
          <w:rPr>
            <w:rStyle w:val="Hyperlink"/>
          </w:rPr>
          <w:t xml:space="preserve">Civil vs criminal law </w:t>
        </w:r>
        <w:proofErr w:type="spellStart"/>
        <w:r>
          <w:rPr>
            <w:rStyle w:val="Hyperlink"/>
          </w:rPr>
          <w:t>australia</w:t>
        </w:r>
        <w:proofErr w:type="spellEnd"/>
        <w:r>
          <w:rPr>
            <w:rStyle w:val="Hyperlink"/>
          </w:rPr>
          <w:t xml:space="preserve"> - Search (bing.com)</w:t>
        </w:r>
      </w:hyperlink>
    </w:p>
    <w:sectPr w:rsidR="009A70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swald">
    <w:charset w:val="00"/>
    <w:family w:val="auto"/>
    <w:pitch w:val="variable"/>
    <w:sig w:usb0="2000020F" w:usb1="00000000" w:usb2="00000000" w:usb3="00000000" w:csb0="00000197"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2F4181"/>
    <w:multiLevelType w:val="multilevel"/>
    <w:tmpl w:val="69926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B6F"/>
    <w:rsid w:val="001B04ED"/>
    <w:rsid w:val="00461D08"/>
    <w:rsid w:val="004D37E2"/>
    <w:rsid w:val="009A709E"/>
    <w:rsid w:val="00FD6B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A80EB"/>
  <w15:chartTrackingRefBased/>
  <w15:docId w15:val="{392469D9-27D2-4408-8131-BFB7DFCBB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D6B6F"/>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6B6F"/>
    <w:rPr>
      <w:rFonts w:ascii="Times New Roman" w:eastAsia="Times New Roman" w:hAnsi="Times New Roman" w:cs="Times New Roman"/>
      <w:b/>
      <w:bCs/>
      <w:sz w:val="36"/>
      <w:szCs w:val="36"/>
      <w:lang w:eastAsia="en-AU"/>
    </w:rPr>
  </w:style>
  <w:style w:type="character" w:styleId="Emphasis">
    <w:name w:val="Emphasis"/>
    <w:basedOn w:val="DefaultParagraphFont"/>
    <w:uiPriority w:val="20"/>
    <w:qFormat/>
    <w:rsid w:val="00FD6B6F"/>
    <w:rPr>
      <w:i/>
      <w:iCs/>
    </w:rPr>
  </w:style>
  <w:style w:type="paragraph" w:styleId="NormalWeb">
    <w:name w:val="Normal (Web)"/>
    <w:basedOn w:val="Normal"/>
    <w:uiPriority w:val="99"/>
    <w:semiHidden/>
    <w:unhideWhenUsed/>
    <w:rsid w:val="00FD6B6F"/>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4D37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3440596">
      <w:bodyDiv w:val="1"/>
      <w:marLeft w:val="0"/>
      <w:marRight w:val="0"/>
      <w:marTop w:val="0"/>
      <w:marBottom w:val="0"/>
      <w:divBdr>
        <w:top w:val="none" w:sz="0" w:space="0" w:color="auto"/>
        <w:left w:val="none" w:sz="0" w:space="0" w:color="auto"/>
        <w:bottom w:val="none" w:sz="0" w:space="0" w:color="auto"/>
        <w:right w:val="none" w:sz="0" w:space="0" w:color="auto"/>
      </w:divBdr>
      <w:divsChild>
        <w:div w:id="1278567184">
          <w:marLeft w:val="0"/>
          <w:marRight w:val="0"/>
          <w:marTop w:val="0"/>
          <w:marBottom w:val="31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ng.com/search?q=Civil+vs+criminal+law+australia&amp;qs=n&amp;form=QBRE&amp;sp=-1&amp;ghc=1&amp;lq=0&amp;pq=civil+vs+criminal+law+australia&amp;sc=11-31&amp;sk=&amp;cvid=4D4E3DBB5D2542098D72143B852AD3B0&amp;ghsh=0&amp;ghacc=0&amp;ghp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986</Words>
  <Characters>5623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WELLS Janette [Narrogin Senior High School]</dc:creator>
  <cp:keywords/>
  <dc:description/>
  <cp:lastModifiedBy>WELLS Janette [Narrogin Senior High School]</cp:lastModifiedBy>
  <cp:revision>2</cp:revision>
  <cp:lastPrinted>2023-05-02T04:15:00Z</cp:lastPrinted>
  <dcterms:created xsi:type="dcterms:W3CDTF">2023-05-02T04:11:00Z</dcterms:created>
  <dcterms:modified xsi:type="dcterms:W3CDTF">2023-05-02T04:21:00Z</dcterms:modified>
</cp:coreProperties>
</file>