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1740" w:rsidRDefault="00AA1740" w:rsidP="00AC0AEC">
      <w:pPr>
        <w:spacing w:before="240" w:after="60" w:line="264" w:lineRule="auto"/>
        <w:jc w:val="center"/>
        <w:rPr>
          <w:rFonts w:ascii="Calibri" w:eastAsia="Times New Roman" w:hAnsi="Calibri"/>
          <w:b/>
          <w:bCs/>
          <w:color w:val="595959"/>
          <w:sz w:val="28"/>
          <w:szCs w:val="28"/>
        </w:rPr>
      </w:pPr>
      <w:bookmarkStart w:id="0" w:name="_GoBack"/>
      <w:bookmarkEnd w:id="0"/>
      <w:r w:rsidRPr="00AC0AEC">
        <w:rPr>
          <w:rFonts w:ascii="Calibri" w:eastAsia="Times New Roman" w:hAnsi="Calibri"/>
          <w:b/>
          <w:bCs/>
          <w:color w:val="595959"/>
          <w:sz w:val="28"/>
          <w:szCs w:val="28"/>
        </w:rPr>
        <w:t xml:space="preserve">Elective 1: </w:t>
      </w:r>
      <w:r w:rsidRPr="00AC0AEC">
        <w:rPr>
          <w:rFonts w:ascii="Calibri" w:eastAsia="Times New Roman" w:hAnsi="Calibri"/>
          <w:b/>
          <w:bCs/>
          <w:color w:val="595959"/>
          <w:sz w:val="28"/>
          <w:szCs w:val="28"/>
          <w:u w:val="single"/>
        </w:rPr>
        <w:t>Australia 1918–1955</w:t>
      </w:r>
      <w:r w:rsidRPr="00AC0AEC">
        <w:rPr>
          <w:rFonts w:ascii="Calibri" w:eastAsia="Times New Roman" w:hAnsi="Calibri"/>
          <w:b/>
          <w:bCs/>
          <w:color w:val="595959"/>
          <w:sz w:val="28"/>
          <w:szCs w:val="28"/>
        </w:rPr>
        <w:t xml:space="preserve"> (the end of World War I to the ALP Split)</w:t>
      </w:r>
    </w:p>
    <w:p w:rsidR="00AC0AEC" w:rsidRPr="00AC0AEC" w:rsidRDefault="00AC0AEC" w:rsidP="00AC0AEC">
      <w:pPr>
        <w:spacing w:before="240" w:after="60" w:line="264" w:lineRule="auto"/>
        <w:jc w:val="center"/>
        <w:rPr>
          <w:rFonts w:ascii="Calibri" w:eastAsia="Times New Roman" w:hAnsi="Calibri"/>
          <w:b/>
          <w:bCs/>
          <w:color w:val="595959"/>
          <w:sz w:val="28"/>
          <w:szCs w:val="28"/>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an overview of Australia in 1918 as background for more intensive study of the period</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significant ideas of the period, including mateship and the Anzac legend, unionism, communism, Aboriginal and Torres Strait Islander activism, and nationalism</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A1740" w:rsidRPr="00AA1740" w:rsidRDefault="00AA1740" w:rsidP="00AC0AEC">
      <w:p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 xml:space="preserve"> </w:t>
      </w: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adjustment of national priorities in the 1920s, including the tensions between urbanisation, industrialisation and rural development; the difficulties of soldier settlement; the exclusion of Aboriginal and Torres Strait Islander Peoples; and the changing role of women</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impact of the Great Depression on different groups within Australian society; the political responses to the Great Depression; and the effectiveness of the political responses to the crisis</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 xml:space="preserve">the changing politics of the period, including ‘Men, money, markets’; the rise of the Country Party; the Depression and the </w:t>
      </w:r>
      <w:proofErr w:type="spellStart"/>
      <w:r w:rsidRPr="00AA1740">
        <w:rPr>
          <w:rFonts w:ascii="Calibri" w:eastAsia="Franklin Gothic Book" w:hAnsi="Calibri" w:cs="Franklin Gothic Book"/>
          <w:sz w:val="22"/>
          <w:szCs w:val="22"/>
          <w:lang w:eastAsia="en-AU"/>
        </w:rPr>
        <w:t>Labor</w:t>
      </w:r>
      <w:proofErr w:type="spellEnd"/>
      <w:r w:rsidRPr="00AA1740">
        <w:rPr>
          <w:rFonts w:ascii="Calibri" w:eastAsia="Franklin Gothic Book" w:hAnsi="Calibri" w:cs="Franklin Gothic Book"/>
          <w:sz w:val="22"/>
          <w:szCs w:val="22"/>
          <w:lang w:eastAsia="en-AU"/>
        </w:rPr>
        <w:t xml:space="preserve"> Split; the formation of the Liberal Party; the Light on the Hill; and the ALP/DLP Split</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changing nature and significance of Australia’s foreign policy from 1918–1955, including the Peace Conference of 1919; membership of the League of Nations; the 1926 Imperial Conference and the Statute of Westminster; relations with Japan; World War II, in particular the war in the Pacific and the alliance with America; the Korean War; and Australia’s role in the United Nations Organisation (UNO), the Australia, New Zealand, United States Security Treaty (ANZUS) and the South East Asia Treaty Organisation (SEATO)</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nature and scope of Australia’s war effort in Europe, Asia and the Pacific (1939–1945) and on the home front</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the key features of post-war reconstruction, including industrialisation, suburbanisation and immigration; the provision of social welfare; and attitudes and policies towards Aboriginal and Torres Strait Islander Peoples, migrants and women</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Default="00AA1740" w:rsidP="00AA1740">
      <w:pPr>
        <w:numPr>
          <w:ilvl w:val="0"/>
          <w:numId w:val="1"/>
        </w:numPr>
        <w:spacing w:before="120" w:after="120" w:line="276" w:lineRule="auto"/>
        <w:rPr>
          <w:rFonts w:ascii="Calibri" w:eastAsia="Franklin Gothic Book" w:hAnsi="Calibri" w:cs="Franklin Gothic Book"/>
          <w:sz w:val="22"/>
          <w:szCs w:val="22"/>
          <w:lang w:eastAsia="en-AU"/>
        </w:rPr>
      </w:pPr>
      <w:r w:rsidRPr="00AA1740">
        <w:rPr>
          <w:rFonts w:ascii="Calibri" w:eastAsia="Franklin Gothic Book" w:hAnsi="Calibri" w:cs="Franklin Gothic Book"/>
          <w:sz w:val="22"/>
          <w:szCs w:val="22"/>
          <w:lang w:eastAsia="en-AU"/>
        </w:rPr>
        <w:t xml:space="preserve">the impact of the rise of communism, its influence on the election of Robert Menzies and the Coalition in 1949, and the contrasting economic and social policies offered at the 1949 election, the 1951 referendum, and the </w:t>
      </w:r>
      <w:proofErr w:type="spellStart"/>
      <w:r w:rsidRPr="00AA1740">
        <w:rPr>
          <w:rFonts w:ascii="Calibri" w:eastAsia="Franklin Gothic Book" w:hAnsi="Calibri" w:cs="Franklin Gothic Book"/>
          <w:sz w:val="22"/>
          <w:szCs w:val="22"/>
          <w:lang w:eastAsia="en-AU"/>
        </w:rPr>
        <w:t>Petrov</w:t>
      </w:r>
      <w:proofErr w:type="spellEnd"/>
      <w:r w:rsidRPr="00AA1740">
        <w:rPr>
          <w:rFonts w:ascii="Calibri" w:eastAsia="Franklin Gothic Book" w:hAnsi="Calibri" w:cs="Franklin Gothic Book"/>
          <w:sz w:val="22"/>
          <w:szCs w:val="22"/>
          <w:lang w:eastAsia="en-AU"/>
        </w:rPr>
        <w:t xml:space="preserve"> affair and its impact on the ALP</w:t>
      </w: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Default="00AC0AEC" w:rsidP="00AC0AEC">
      <w:pPr>
        <w:spacing w:before="120" w:after="120" w:line="276" w:lineRule="auto"/>
        <w:rPr>
          <w:rFonts w:ascii="Calibri" w:eastAsia="Franklin Gothic Book" w:hAnsi="Calibri" w:cs="Franklin Gothic Book"/>
          <w:sz w:val="22"/>
          <w:szCs w:val="22"/>
          <w:lang w:eastAsia="en-AU"/>
        </w:rPr>
      </w:pPr>
    </w:p>
    <w:p w:rsidR="00AC0AEC" w:rsidRPr="00AA1740" w:rsidRDefault="00AC0AEC" w:rsidP="00AC0AEC">
      <w:pPr>
        <w:spacing w:before="120" w:after="120" w:line="276" w:lineRule="auto"/>
        <w:rPr>
          <w:rFonts w:ascii="Calibri" w:eastAsia="Franklin Gothic Book" w:hAnsi="Calibri" w:cs="Franklin Gothic Book"/>
          <w:sz w:val="22"/>
          <w:szCs w:val="22"/>
          <w:lang w:eastAsia="en-AU"/>
        </w:rPr>
      </w:pPr>
    </w:p>
    <w:p w:rsidR="00AA1740" w:rsidRPr="00AA1740" w:rsidRDefault="00AA1740" w:rsidP="00AA1740">
      <w:pPr>
        <w:numPr>
          <w:ilvl w:val="0"/>
          <w:numId w:val="1"/>
        </w:numPr>
        <w:spacing w:before="120" w:after="120" w:line="276" w:lineRule="auto"/>
        <w:rPr>
          <w:rFonts w:ascii="Calibri" w:eastAsia="Franklin Gothic Book" w:hAnsi="Calibri" w:cs="Arial"/>
          <w:b/>
          <w:sz w:val="22"/>
          <w:szCs w:val="22"/>
          <w:lang w:eastAsia="en-AU"/>
        </w:rPr>
      </w:pPr>
      <w:r w:rsidRPr="00AA1740">
        <w:rPr>
          <w:rFonts w:ascii="Calibri" w:eastAsia="Franklin Gothic Book" w:hAnsi="Calibri" w:cs="Franklin Gothic Book"/>
          <w:sz w:val="22"/>
          <w:szCs w:val="22"/>
          <w:lang w:eastAsia="en-AU"/>
        </w:rPr>
        <w:t>the role and impact of significant individuals in the period, including political, military and social/cultural leaders</w:t>
      </w:r>
    </w:p>
    <w:p w:rsidR="002B1A5D" w:rsidRDefault="002B1A5D"/>
    <w:sectPr w:rsidR="002B1A5D" w:rsidSect="00AA17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C10FA3"/>
    <w:multiLevelType w:val="hybridMultilevel"/>
    <w:tmpl w:val="44ACDDA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740"/>
    <w:rsid w:val="002B1A5D"/>
    <w:rsid w:val="00AA1740"/>
    <w:rsid w:val="00AC0AEC"/>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F6A3F70F</Template>
  <TotalTime>0</TotalTime>
  <Pages>2</Pages>
  <Words>347</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2017-05-29T04:17:00Z</cp:lastPrinted>
  <dcterms:created xsi:type="dcterms:W3CDTF">2017-05-29T04:25:00Z</dcterms:created>
  <dcterms:modified xsi:type="dcterms:W3CDTF">2017-05-29T04:25:00Z</dcterms:modified>
</cp:coreProperties>
</file>