
<file path=[Content_Types].xml><?xml version="1.0" encoding="utf-8"?>
<Types xmlns="http://schemas.openxmlformats.org/package/2006/content-types">
  <Default Extension="bin" ContentType="application/vnd.ms-office.activeX"/>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165E9" w:rsidRPr="002165E9" w:rsidRDefault="002165E9" w:rsidP="002165E9">
      <w:pPr>
        <w:spacing w:before="100" w:beforeAutospacing="1" w:after="100" w:afterAutospacing="1" w:line="240" w:lineRule="auto"/>
        <w:outlineLvl w:val="0"/>
        <w:rPr>
          <w:rFonts w:ascii="Times New Roman" w:eastAsia="Times New Roman" w:hAnsi="Times New Roman" w:cs="Times New Roman"/>
          <w:b/>
          <w:bCs/>
          <w:kern w:val="36"/>
          <w:sz w:val="48"/>
          <w:szCs w:val="48"/>
          <w:lang w:val="en" w:eastAsia="en-AU"/>
        </w:rPr>
      </w:pPr>
      <w:r w:rsidRPr="002165E9">
        <w:rPr>
          <w:rFonts w:ascii="Times New Roman" w:eastAsia="Times New Roman" w:hAnsi="Times New Roman" w:cs="Times New Roman"/>
          <w:b/>
          <w:bCs/>
          <w:kern w:val="36"/>
          <w:sz w:val="48"/>
          <w:szCs w:val="48"/>
          <w:lang w:val="en" w:eastAsia="en-AU"/>
        </w:rPr>
        <w:t xml:space="preserve">Why a population of, say, 15 million makes sense for Australia </w:t>
      </w:r>
    </w:p>
    <w:p w:rsidR="002165E9" w:rsidRPr="002165E9" w:rsidRDefault="002165E9" w:rsidP="002165E9">
      <w:pPr>
        <w:spacing w:before="100" w:beforeAutospacing="1" w:after="0"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Population growth has profound impacts and sorting myths from facts can be difficult. In a new series, the Conversation looks at the issue </w:t>
      </w:r>
      <w:bookmarkStart w:id="0" w:name="_GoBack"/>
      <w:bookmarkEnd w:id="0"/>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16"/>
          <w:szCs w:val="16"/>
          <w:lang w:val="en" w:eastAsia="en-AU"/>
        </w:rPr>
      </w:pPr>
      <w:r w:rsidRPr="002165E9">
        <w:rPr>
          <w:rFonts w:ascii="Times New Roman" w:eastAsia="Times New Roman" w:hAnsi="Times New Roman" w:cs="Times New Roman"/>
          <w:sz w:val="16"/>
          <w:szCs w:val="16"/>
          <w:lang w:val="en" w:eastAsia="en-AU"/>
        </w:rPr>
        <w:t>Peter Martin, James Ward and Paul Sutton for the Conversation</w:t>
      </w:r>
      <w:r>
        <w:rPr>
          <w:rFonts w:ascii="Times New Roman" w:eastAsia="Times New Roman" w:hAnsi="Times New Roman" w:cs="Times New Roman"/>
          <w:sz w:val="16"/>
          <w:szCs w:val="16"/>
          <w:lang w:val="en" w:eastAsia="en-AU"/>
        </w:rPr>
        <w:t xml:space="preserve">          </w:t>
      </w:r>
      <w:r w:rsidRPr="002165E9">
        <w:rPr>
          <w:rFonts w:ascii="Times New Roman" w:eastAsia="Times New Roman" w:hAnsi="Times New Roman" w:cs="Times New Roman"/>
          <w:sz w:val="16"/>
          <w:szCs w:val="16"/>
          <w:lang w:val="en" w:eastAsia="en-AU"/>
        </w:rPr>
        <w:t xml:space="preserve">Tue 11 Jul 2017 14.54 AEST Last modified on Wed 14 Mar 2018 03.15 AEDT </w:t>
      </w:r>
    </w:p>
    <w:p w:rsidR="002165E9" w:rsidRPr="002165E9" w:rsidRDefault="002165E9" w:rsidP="002165E9">
      <w:pPr>
        <w:spacing w:after="0" w:line="240" w:lineRule="auto"/>
        <w:rPr>
          <w:rFonts w:ascii="Times New Roman" w:eastAsia="Times New Roman" w:hAnsi="Times New Roman" w:cs="Times New Roman"/>
          <w:color w:val="0000FF"/>
          <w:sz w:val="24"/>
          <w:szCs w:val="24"/>
          <w:u w:val="single"/>
          <w:lang w:eastAsia="en-AU"/>
        </w:rPr>
      </w:pPr>
      <w:r w:rsidRPr="002165E9">
        <w:rPr>
          <w:rFonts w:ascii="Times New Roman" w:eastAsia="Times New Roman" w:hAnsi="Times New Roman" w:cs="Times New Roman"/>
          <w:sz w:val="24"/>
          <w:szCs w:val="24"/>
          <w:lang w:val="en" w:eastAsia="en-AU"/>
        </w:rPr>
        <w:fldChar w:fldCharType="begin"/>
      </w:r>
      <w:r w:rsidRPr="002165E9">
        <w:rPr>
          <w:rFonts w:ascii="Times New Roman" w:eastAsia="Times New Roman" w:hAnsi="Times New Roman" w:cs="Times New Roman"/>
          <w:sz w:val="24"/>
          <w:szCs w:val="24"/>
          <w:lang w:val="en" w:eastAsia="en-AU"/>
        </w:rPr>
        <w:instrText xml:space="preserve"> HYPERLINK "https://www.theguardian.com/business/2017/jul/11/why-a-population-of-say-15-million-makes-sense-for-australia" \l "img-1" </w:instrText>
      </w:r>
      <w:r w:rsidRPr="002165E9">
        <w:rPr>
          <w:rFonts w:ascii="Times New Roman" w:eastAsia="Times New Roman" w:hAnsi="Times New Roman" w:cs="Times New Roman"/>
          <w:sz w:val="24"/>
          <w:szCs w:val="24"/>
          <w:lang w:val="en" w:eastAsia="en-AU"/>
        </w:rPr>
        <w:fldChar w:fldCharType="separate"/>
      </w:r>
    </w:p>
    <w:p w:rsidR="002165E9" w:rsidRPr="002165E9" w:rsidRDefault="002165E9" w:rsidP="002165E9">
      <w:pPr>
        <w:spacing w:after="0" w:line="240" w:lineRule="auto"/>
        <w:jc w:val="center"/>
        <w:rPr>
          <w:rFonts w:ascii="Times New Roman" w:eastAsia="Times New Roman" w:hAnsi="Times New Roman" w:cs="Times New Roman"/>
          <w:sz w:val="24"/>
          <w:szCs w:val="24"/>
          <w:lang w:eastAsia="en-AU"/>
        </w:rPr>
      </w:pPr>
      <w:r w:rsidRPr="002165E9">
        <w:rPr>
          <w:rFonts w:ascii="Times New Roman" w:eastAsia="Times New Roman" w:hAnsi="Times New Roman" w:cs="Times New Roman"/>
          <w:noProof/>
          <w:color w:val="0000FF"/>
          <w:sz w:val="24"/>
          <w:szCs w:val="24"/>
          <w:lang w:eastAsia="en-AU"/>
        </w:rPr>
        <w:drawing>
          <wp:inline distT="0" distB="0" distL="0" distR="0" wp14:anchorId="75919A34" wp14:editId="38FD2CBC">
            <wp:extent cx="4667250" cy="2800350"/>
            <wp:effectExtent l="0" t="0" r="0" b="0"/>
            <wp:docPr id="1" name="Picture 1" descr="Crowds gather for the 1973 opening of the Sydney Opera House">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rowds gather for the 1973 opening of the Sydney Opera House">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67250" cy="2800350"/>
                    </a:xfrm>
                    <a:prstGeom prst="rect">
                      <a:avLst/>
                    </a:prstGeom>
                    <a:noFill/>
                    <a:ln>
                      <a:noFill/>
                    </a:ln>
                  </pic:spPr>
                </pic:pic>
              </a:graphicData>
            </a:graphic>
          </wp:inline>
        </w:drawing>
      </w:r>
    </w:p>
    <w:p w:rsidR="002165E9" w:rsidRDefault="002165E9" w:rsidP="002165E9">
      <w:pPr>
        <w:spacing w:after="0" w:line="240" w:lineRule="auto"/>
        <w:jc w:val="center"/>
        <w:rPr>
          <w:rFonts w:ascii="Times New Roman" w:eastAsia="Times New Roman" w:hAnsi="Times New Roman" w:cs="Times New Roman"/>
          <w:sz w:val="18"/>
          <w:szCs w:val="18"/>
          <w:lang w:val="en" w:eastAsia="en-AU"/>
        </w:rPr>
      </w:pPr>
      <w:r w:rsidRPr="002165E9">
        <w:rPr>
          <w:rFonts w:ascii="Times New Roman" w:eastAsia="Times New Roman" w:hAnsi="Times New Roman" w:cs="Times New Roman"/>
          <w:sz w:val="24"/>
          <w:szCs w:val="24"/>
          <w:lang w:val="en" w:eastAsia="en-AU"/>
        </w:rPr>
        <w:fldChar w:fldCharType="end"/>
      </w:r>
      <w:r w:rsidRPr="002165E9">
        <w:rPr>
          <w:rFonts w:ascii="Times New Roman" w:eastAsia="Times New Roman" w:hAnsi="Times New Roman" w:cs="Times New Roman"/>
          <w:sz w:val="24"/>
          <w:szCs w:val="24"/>
          <w:lang w:val="en" w:eastAsia="en-A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20.25pt;height:17.25pt" o:ole="">
            <v:imagedata r:id="rId7" o:title=""/>
          </v:shape>
          <w:control r:id="rId8" w:name="DefaultOcxName" w:shapeid="_x0000_i1030"/>
        </w:object>
      </w:r>
      <w:r w:rsidRPr="002165E9">
        <w:rPr>
          <w:rFonts w:ascii="Times New Roman" w:eastAsia="Times New Roman" w:hAnsi="Times New Roman" w:cs="Times New Roman"/>
          <w:sz w:val="18"/>
          <w:szCs w:val="18"/>
          <w:lang w:val="en" w:eastAsia="en-AU"/>
        </w:rPr>
        <w:t xml:space="preserve">Crowds gather for the 1973 opening of the Sydney Opera House. Genuine progress in Australia peaked the following year. </w:t>
      </w:r>
    </w:p>
    <w:p w:rsidR="002165E9" w:rsidRDefault="002165E9" w:rsidP="002165E9">
      <w:pPr>
        <w:spacing w:after="0" w:line="240" w:lineRule="auto"/>
        <w:jc w:val="center"/>
        <w:rPr>
          <w:rFonts w:ascii="Times New Roman" w:eastAsia="Times New Roman" w:hAnsi="Times New Roman" w:cs="Times New Roman"/>
          <w:sz w:val="18"/>
          <w:szCs w:val="18"/>
          <w:lang w:val="en" w:eastAsia="en-AU"/>
        </w:rPr>
      </w:pPr>
      <w:r w:rsidRPr="002165E9">
        <w:rPr>
          <w:rFonts w:ascii="Times New Roman" w:eastAsia="Times New Roman" w:hAnsi="Times New Roman" w:cs="Times New Roman"/>
          <w:sz w:val="18"/>
          <w:szCs w:val="18"/>
          <w:lang w:val="en" w:eastAsia="en-AU"/>
        </w:rPr>
        <w:t>Photograph: Keystone/Getty Images</w:t>
      </w:r>
    </w:p>
    <w:p w:rsidR="002165E9" w:rsidRPr="002165E9" w:rsidRDefault="002165E9" w:rsidP="002165E9">
      <w:pPr>
        <w:spacing w:after="0" w:line="240" w:lineRule="auto"/>
        <w:jc w:val="center"/>
        <w:rPr>
          <w:rFonts w:ascii="Times New Roman" w:eastAsia="Times New Roman" w:hAnsi="Times New Roman" w:cs="Times New Roman"/>
          <w:sz w:val="18"/>
          <w:szCs w:val="18"/>
          <w:lang w:val="en" w:eastAsia="en-AU"/>
        </w:rPr>
      </w:pPr>
    </w:p>
    <w:p w:rsidR="002165E9" w:rsidRPr="002165E9" w:rsidRDefault="002165E9" w:rsidP="002165E9">
      <w:pPr>
        <w:spacing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Neither of Australia’s two main political parties believes population is an issue worth discussion, and neither now has a policy about it. The Greens </w:t>
      </w:r>
      <w:hyperlink r:id="rId9" w:history="1">
        <w:r w:rsidRPr="002165E9">
          <w:rPr>
            <w:rFonts w:ascii="Times New Roman" w:eastAsia="Times New Roman" w:hAnsi="Times New Roman" w:cs="Times New Roman"/>
            <w:color w:val="0000FF"/>
            <w:sz w:val="24"/>
            <w:szCs w:val="24"/>
            <w:u w:val="single"/>
            <w:lang w:val="en" w:eastAsia="en-AU"/>
          </w:rPr>
          <w:t>think population is an issue</w:t>
        </w:r>
      </w:hyperlink>
      <w:r w:rsidRPr="002165E9">
        <w:rPr>
          <w:rFonts w:ascii="Times New Roman" w:eastAsia="Times New Roman" w:hAnsi="Times New Roman" w:cs="Times New Roman"/>
          <w:sz w:val="24"/>
          <w:szCs w:val="24"/>
          <w:lang w:val="en" w:eastAsia="en-AU"/>
        </w:rPr>
        <w:t xml:space="preserve"> but can’t come at actually suggesting a target.</w:t>
      </w:r>
    </w:p>
    <w:p w:rsidR="002165E9" w:rsidRPr="002165E9" w:rsidRDefault="002165E9" w:rsidP="002165E9">
      <w:pPr>
        <w:spacing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Even those who acknowledge that numbers are relevant are often quick to say that it’s our consumption patterns, and not our population size, that really matter when we talk about environmental impact. But common sense, not to mention the laws of physics, says that size and scale matter, especially on a finite planet.</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In the meantime the country has a bipartisan default population policy, which is one of </w:t>
      </w:r>
      <w:hyperlink r:id="rId10" w:history="1">
        <w:r w:rsidRPr="002165E9">
          <w:rPr>
            <w:rFonts w:ascii="Times New Roman" w:eastAsia="Times New Roman" w:hAnsi="Times New Roman" w:cs="Times New Roman"/>
            <w:color w:val="0000FF"/>
            <w:sz w:val="24"/>
            <w:szCs w:val="24"/>
            <w:u w:val="single"/>
            <w:lang w:val="en" w:eastAsia="en-AU"/>
          </w:rPr>
          <w:t>rapid growth</w:t>
        </w:r>
      </w:hyperlink>
      <w:r w:rsidRPr="002165E9">
        <w:rPr>
          <w:rFonts w:ascii="Times New Roman" w:eastAsia="Times New Roman" w:hAnsi="Times New Roman" w:cs="Times New Roman"/>
          <w:sz w:val="24"/>
          <w:szCs w:val="24"/>
          <w:lang w:val="en" w:eastAsia="en-AU"/>
        </w:rPr>
        <w:t>. This is in response to the demands of what is effectively a coalition of major corporate players and lobby groups.</w:t>
      </w:r>
    </w:p>
    <w:p w:rsidR="002165E9" w:rsidRPr="002165E9" w:rsidRDefault="002165E9" w:rsidP="002165E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2165E9">
        <w:rPr>
          <w:rFonts w:ascii="Times New Roman" w:eastAsia="Times New Roman" w:hAnsi="Times New Roman" w:cs="Times New Roman"/>
          <w:b/>
          <w:bCs/>
          <w:sz w:val="36"/>
          <w:szCs w:val="36"/>
          <w:lang w:val="en" w:eastAsia="en-AU"/>
        </w:rPr>
        <w:t>Migration pushing Australia to 'third-world style population growth rate'</w:t>
      </w:r>
    </w:p>
    <w:p w:rsidR="002165E9" w:rsidRPr="002165E9" w:rsidRDefault="002165E9" w:rsidP="002165E9">
      <w:pPr>
        <w:spacing w:after="0"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Read more </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Solid neoliberals all, they see all growth as good, especially for their bottom line. They include the banks and financial sector, real estate developers, the housing industry, major retailers, the media and other major players for whom an endless increase in customers is possible and profitable.</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But Australians stubbornly </w:t>
      </w:r>
      <w:hyperlink r:id="rId11" w:history="1">
        <w:r w:rsidRPr="002165E9">
          <w:rPr>
            <w:rFonts w:ascii="Times New Roman" w:eastAsia="Times New Roman" w:hAnsi="Times New Roman" w:cs="Times New Roman"/>
            <w:color w:val="0000FF"/>
            <w:sz w:val="24"/>
            <w:szCs w:val="24"/>
            <w:u w:val="single"/>
            <w:lang w:val="en" w:eastAsia="en-AU"/>
          </w:rPr>
          <w:t>continue to have small families</w:t>
        </w:r>
      </w:hyperlink>
      <w:r w:rsidRPr="002165E9">
        <w:rPr>
          <w:rFonts w:ascii="Times New Roman" w:eastAsia="Times New Roman" w:hAnsi="Times New Roman" w:cs="Times New Roman"/>
          <w:sz w:val="24"/>
          <w:szCs w:val="24"/>
          <w:lang w:val="en" w:eastAsia="en-AU"/>
        </w:rPr>
        <w:t xml:space="preserve">. The endless growth coalition responds by demanding the government imports hundreds of thousands of new consumers annually, otherwise known as the </w:t>
      </w:r>
      <w:hyperlink r:id="rId12" w:history="1">
        <w:r w:rsidRPr="002165E9">
          <w:rPr>
            <w:rFonts w:ascii="Times New Roman" w:eastAsia="Times New Roman" w:hAnsi="Times New Roman" w:cs="Times New Roman"/>
            <w:color w:val="0000FF"/>
            <w:sz w:val="24"/>
            <w:szCs w:val="24"/>
            <w:u w:val="single"/>
            <w:lang w:val="en" w:eastAsia="en-AU"/>
          </w:rPr>
          <w:t>migration intake</w:t>
        </w:r>
      </w:hyperlink>
      <w:r w:rsidRPr="002165E9">
        <w:rPr>
          <w:rFonts w:ascii="Times New Roman" w:eastAsia="Times New Roman" w:hAnsi="Times New Roman" w:cs="Times New Roman"/>
          <w:sz w:val="24"/>
          <w:szCs w:val="24"/>
          <w:lang w:val="en" w:eastAsia="en-AU"/>
        </w:rPr>
        <w:t>.</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lastRenderedPageBreak/>
        <w:t xml:space="preserve">The growth coalition has no real interest in the cumulative social or environmental downside effects of this growth, nor the actual welfare of the immigrants. It fully expects to capture the profit of this growth program, while the disadvantages – such as </w:t>
      </w:r>
      <w:hyperlink r:id="rId13" w:history="1">
        <w:r w:rsidRPr="002165E9">
          <w:rPr>
            <w:rFonts w:ascii="Times New Roman" w:eastAsia="Times New Roman" w:hAnsi="Times New Roman" w:cs="Times New Roman"/>
            <w:color w:val="0000FF"/>
            <w:sz w:val="24"/>
            <w:szCs w:val="24"/>
            <w:u w:val="single"/>
            <w:lang w:val="en" w:eastAsia="en-AU"/>
          </w:rPr>
          <w:t>traffic congestion</w:t>
        </w:r>
      </w:hyperlink>
      <w:r w:rsidRPr="002165E9">
        <w:rPr>
          <w:rFonts w:ascii="Times New Roman" w:eastAsia="Times New Roman" w:hAnsi="Times New Roman" w:cs="Times New Roman"/>
          <w:sz w:val="24"/>
          <w:szCs w:val="24"/>
          <w:lang w:val="en" w:eastAsia="en-AU"/>
        </w:rPr>
        <w:t xml:space="preserve">, </w:t>
      </w:r>
      <w:hyperlink r:id="rId14" w:history="1">
        <w:r w:rsidRPr="002165E9">
          <w:rPr>
            <w:rFonts w:ascii="Times New Roman" w:eastAsia="Times New Roman" w:hAnsi="Times New Roman" w:cs="Times New Roman"/>
            <w:color w:val="0000FF"/>
            <w:sz w:val="24"/>
            <w:szCs w:val="24"/>
            <w:u w:val="single"/>
            <w:lang w:val="en" w:eastAsia="en-AU"/>
          </w:rPr>
          <w:t>rising house prices</w:t>
        </w:r>
      </w:hyperlink>
      <w:r w:rsidRPr="002165E9">
        <w:rPr>
          <w:rFonts w:ascii="Times New Roman" w:eastAsia="Times New Roman" w:hAnsi="Times New Roman" w:cs="Times New Roman"/>
          <w:sz w:val="24"/>
          <w:szCs w:val="24"/>
          <w:lang w:val="en" w:eastAsia="en-AU"/>
        </w:rPr>
        <w:t xml:space="preserve"> and government </w:t>
      </w:r>
      <w:hyperlink r:id="rId15" w:history="1">
        <w:r w:rsidRPr="002165E9">
          <w:rPr>
            <w:rFonts w:ascii="Times New Roman" w:eastAsia="Times New Roman" w:hAnsi="Times New Roman" w:cs="Times New Roman"/>
            <w:color w:val="0000FF"/>
            <w:sz w:val="24"/>
            <w:szCs w:val="24"/>
            <w:u w:val="single"/>
            <w:lang w:val="en" w:eastAsia="en-AU"/>
          </w:rPr>
          <w:t>revenue diverted for infrastructure catch-up</w:t>
        </w:r>
      </w:hyperlink>
      <w:r w:rsidRPr="002165E9">
        <w:rPr>
          <w:rFonts w:ascii="Times New Roman" w:eastAsia="Times New Roman" w:hAnsi="Times New Roman" w:cs="Times New Roman"/>
          <w:sz w:val="24"/>
          <w:szCs w:val="24"/>
          <w:lang w:val="en" w:eastAsia="en-AU"/>
        </w:rPr>
        <w:t xml:space="preserve"> – are all </w:t>
      </w:r>
      <w:proofErr w:type="spellStart"/>
      <w:r w:rsidRPr="002165E9">
        <w:rPr>
          <w:rFonts w:ascii="Times New Roman" w:eastAsia="Times New Roman" w:hAnsi="Times New Roman" w:cs="Times New Roman"/>
          <w:sz w:val="24"/>
          <w:szCs w:val="24"/>
          <w:lang w:val="en" w:eastAsia="en-AU"/>
        </w:rPr>
        <w:t>socialised</w:t>
      </w:r>
      <w:proofErr w:type="spellEnd"/>
      <w:r w:rsidRPr="002165E9">
        <w:rPr>
          <w:rFonts w:ascii="Times New Roman" w:eastAsia="Times New Roman" w:hAnsi="Times New Roman" w:cs="Times New Roman"/>
          <w:sz w:val="24"/>
          <w:szCs w:val="24"/>
          <w:lang w:val="en" w:eastAsia="en-AU"/>
        </w:rPr>
        <w:t>. That is, the taxpayer pays.</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The leaders of this well-heeled group are insulated personally from the downsides of growth that the rest of us deal with daily.</w:t>
      </w:r>
    </w:p>
    <w:p w:rsidR="002165E9" w:rsidRPr="002165E9" w:rsidRDefault="002165E9" w:rsidP="002165E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2165E9">
        <w:rPr>
          <w:rFonts w:ascii="Times New Roman" w:eastAsia="Times New Roman" w:hAnsi="Times New Roman" w:cs="Times New Roman"/>
          <w:b/>
          <w:bCs/>
          <w:sz w:val="36"/>
          <w:szCs w:val="36"/>
          <w:lang w:val="en" w:eastAsia="en-AU"/>
        </w:rPr>
        <w:t>A better measure of wellbeing than GDP</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The idea that population growth is essential to boost GDP, and that this is good for everyone, is ubiquitous and goes largely unchallenged. For example, according to the Treasury’s </w:t>
      </w:r>
      <w:hyperlink r:id="rId16" w:history="1">
        <w:r w:rsidRPr="002165E9">
          <w:rPr>
            <w:rFonts w:ascii="Times New Roman" w:eastAsia="Times New Roman" w:hAnsi="Times New Roman" w:cs="Times New Roman"/>
            <w:color w:val="0000FF"/>
            <w:sz w:val="24"/>
            <w:szCs w:val="24"/>
            <w:u w:val="single"/>
            <w:lang w:val="en" w:eastAsia="en-AU"/>
          </w:rPr>
          <w:t>2010 intergenerational report</w:t>
        </w:r>
      </w:hyperlink>
      <w:r w:rsidRPr="002165E9">
        <w:rPr>
          <w:rFonts w:ascii="Times New Roman" w:eastAsia="Times New Roman" w:hAnsi="Times New Roman" w:cs="Times New Roman"/>
          <w:sz w:val="24"/>
          <w:szCs w:val="24"/>
          <w:lang w:val="en" w:eastAsia="en-AU"/>
        </w:rPr>
        <w:t>:</w:t>
      </w:r>
    </w:p>
    <w:p w:rsidR="002165E9" w:rsidRPr="002165E9" w:rsidRDefault="002165E9" w:rsidP="002165E9">
      <w:pPr>
        <w:spacing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Economic growth will be supported by sound policies that support productivity, participation and population — the ‘3Ps’.</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If one defines “economic growth” in the first place by saying that’s what happens when you have more and more people consuming, then obviously more and more people produce growth.</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The fact that GDP, our main measure of growth, might be an utterly </w:t>
      </w:r>
      <w:hyperlink r:id="rId17" w:history="1">
        <w:r w:rsidRPr="002165E9">
          <w:rPr>
            <w:rFonts w:ascii="Times New Roman" w:eastAsia="Times New Roman" w:hAnsi="Times New Roman" w:cs="Times New Roman"/>
            <w:color w:val="0000FF"/>
            <w:sz w:val="24"/>
            <w:szCs w:val="24"/>
            <w:u w:val="single"/>
            <w:lang w:val="en" w:eastAsia="en-AU"/>
          </w:rPr>
          <w:t>inadequate and inappropriate yardstick</w:t>
        </w:r>
      </w:hyperlink>
      <w:r w:rsidRPr="002165E9">
        <w:rPr>
          <w:rFonts w:ascii="Times New Roman" w:eastAsia="Times New Roman" w:hAnsi="Times New Roman" w:cs="Times New Roman"/>
          <w:sz w:val="24"/>
          <w:szCs w:val="24"/>
          <w:lang w:val="en" w:eastAsia="en-AU"/>
        </w:rPr>
        <w:t xml:space="preserve"> for our times remains a kooky idea to most economists, both in business and government.</w:t>
      </w:r>
    </w:p>
    <w:p w:rsidR="002165E9" w:rsidRPr="002165E9" w:rsidRDefault="002165E9" w:rsidP="002165E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2165E9">
        <w:rPr>
          <w:rFonts w:ascii="Times New Roman" w:eastAsia="Times New Roman" w:hAnsi="Times New Roman" w:cs="Times New Roman"/>
          <w:b/>
          <w:bCs/>
          <w:sz w:val="36"/>
          <w:szCs w:val="36"/>
          <w:lang w:val="en" w:eastAsia="en-AU"/>
        </w:rPr>
        <w:t>Genuine progress peaked 40 years ago</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One of the oldest and best-researched alternative measures is the </w:t>
      </w:r>
      <w:hyperlink r:id="rId18" w:history="1">
        <w:r w:rsidRPr="002165E9">
          <w:rPr>
            <w:rFonts w:ascii="Times New Roman" w:eastAsia="Times New Roman" w:hAnsi="Times New Roman" w:cs="Times New Roman"/>
            <w:color w:val="0000FF"/>
            <w:sz w:val="24"/>
            <w:szCs w:val="24"/>
            <w:u w:val="single"/>
            <w:lang w:val="en" w:eastAsia="en-AU"/>
          </w:rPr>
          <w:t>genuine progress indicator</w:t>
        </w:r>
      </w:hyperlink>
      <w:r w:rsidRPr="002165E9">
        <w:rPr>
          <w:rFonts w:ascii="Times New Roman" w:eastAsia="Times New Roman" w:hAnsi="Times New Roman" w:cs="Times New Roman"/>
          <w:sz w:val="24"/>
          <w:szCs w:val="24"/>
          <w:lang w:val="en" w:eastAsia="en-AU"/>
        </w:rPr>
        <w:t>. Based on the work of the US economist Herman Daly in the 1970s and 80s, GPI takes into account different measures of human wellbeing, grouped into economic, environmental and social categories.</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Examples on the negative side of the ledger include income inequality, CO</w:t>
      </w:r>
      <w:r w:rsidRPr="002165E9">
        <w:rPr>
          <w:rFonts w:ascii="Times New Roman" w:eastAsia="Times New Roman" w:hAnsi="Times New Roman" w:cs="Times New Roman"/>
          <w:sz w:val="24"/>
          <w:szCs w:val="24"/>
          <w:vertAlign w:val="subscript"/>
          <w:lang w:val="en" w:eastAsia="en-AU"/>
        </w:rPr>
        <w:t>2</w:t>
      </w:r>
      <w:r w:rsidRPr="002165E9">
        <w:rPr>
          <w:rFonts w:ascii="Times New Roman" w:eastAsia="Times New Roman" w:hAnsi="Times New Roman" w:cs="Times New Roman"/>
          <w:sz w:val="24"/>
          <w:szCs w:val="24"/>
          <w:lang w:val="en" w:eastAsia="en-AU"/>
        </w:rPr>
        <w:t xml:space="preserve"> emissions, water pollution, loss of biodiversity and the misery of car accidents.</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On the positive side, and also left out of GDP, are the value of household work, parenting, unpaid child and aged care, volunteer work, the quality of education, the value of consumer goods lasting longer, and so on. The overall GPI measure, expressed in dollars, takes 26 such factors into account.</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Since it is grounded in the real world and our real experience, GPI is a better indicator than GDP of how satisfactory we find our daily lives, of our level of contentment and of our general level of wellbeing.</w:t>
      </w:r>
    </w:p>
    <w:p w:rsidR="002165E9" w:rsidRPr="002165E9" w:rsidRDefault="002165E9" w:rsidP="002165E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2165E9">
        <w:rPr>
          <w:rFonts w:ascii="Times New Roman" w:eastAsia="Times New Roman" w:hAnsi="Times New Roman" w:cs="Times New Roman"/>
          <w:b/>
          <w:bCs/>
          <w:sz w:val="36"/>
          <w:szCs w:val="36"/>
          <w:lang w:val="en" w:eastAsia="en-AU"/>
        </w:rPr>
        <w:t>Australian population to hit 24 million as migration from overseas drives growth</w:t>
      </w:r>
    </w:p>
    <w:p w:rsidR="002165E9" w:rsidRPr="002165E9" w:rsidRDefault="002165E9" w:rsidP="002165E9">
      <w:pPr>
        <w:spacing w:after="0"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Read more </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As it happens, there is quite good data on GPI going back decades for some countries. While global GDP (and GDP per capita) continued to grow strongly after the second world war, and continues today, global GPI basically stalled in 1970 and has </w:t>
      </w:r>
      <w:hyperlink r:id="rId19" w:history="1">
        <w:r w:rsidRPr="002165E9">
          <w:rPr>
            <w:rFonts w:ascii="Times New Roman" w:eastAsia="Times New Roman" w:hAnsi="Times New Roman" w:cs="Times New Roman"/>
            <w:color w:val="0000FF"/>
            <w:sz w:val="24"/>
            <w:szCs w:val="24"/>
            <w:u w:val="single"/>
            <w:lang w:val="en" w:eastAsia="en-AU"/>
          </w:rPr>
          <w:t>barely improved since</w:t>
        </w:r>
      </w:hyperlink>
      <w:r w:rsidRPr="002165E9">
        <w:rPr>
          <w:rFonts w:ascii="Times New Roman" w:eastAsia="Times New Roman" w:hAnsi="Times New Roman" w:cs="Times New Roman"/>
          <w:sz w:val="24"/>
          <w:szCs w:val="24"/>
          <w:lang w:val="en" w:eastAsia="en-AU"/>
        </w:rPr>
        <w:t>.</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In Australia the stall point </w:t>
      </w:r>
      <w:hyperlink r:id="rId20" w:history="1">
        <w:r w:rsidRPr="002165E9">
          <w:rPr>
            <w:rFonts w:ascii="Times New Roman" w:eastAsia="Times New Roman" w:hAnsi="Times New Roman" w:cs="Times New Roman"/>
            <w:color w:val="0000FF"/>
            <w:sz w:val="24"/>
            <w:szCs w:val="24"/>
            <w:u w:val="single"/>
            <w:lang w:val="en" w:eastAsia="en-AU"/>
          </w:rPr>
          <w:t>appears to be about 1974</w:t>
        </w:r>
      </w:hyperlink>
      <w:r w:rsidRPr="002165E9">
        <w:rPr>
          <w:rFonts w:ascii="Times New Roman" w:eastAsia="Times New Roman" w:hAnsi="Times New Roman" w:cs="Times New Roman"/>
          <w:sz w:val="24"/>
          <w:szCs w:val="24"/>
          <w:lang w:val="en" w:eastAsia="en-AU"/>
        </w:rPr>
        <w:t>. GPI is now lower than for any period since the early 1960s. That is, our wellbeing – if we accept that GPI is a fair measure of the things that make life most worthwhile – has been going backwards for decades.</w:t>
      </w:r>
    </w:p>
    <w:p w:rsidR="002165E9" w:rsidRPr="002165E9" w:rsidRDefault="002165E9" w:rsidP="002165E9">
      <w:pPr>
        <w:spacing w:before="100" w:beforeAutospacing="1" w:after="100" w:afterAutospacing="1" w:line="240" w:lineRule="auto"/>
        <w:outlineLvl w:val="1"/>
        <w:rPr>
          <w:rFonts w:ascii="Times New Roman" w:eastAsia="Times New Roman" w:hAnsi="Times New Roman" w:cs="Times New Roman"/>
          <w:b/>
          <w:bCs/>
          <w:sz w:val="36"/>
          <w:szCs w:val="36"/>
          <w:lang w:val="en" w:eastAsia="en-AU"/>
        </w:rPr>
      </w:pPr>
      <w:r w:rsidRPr="002165E9">
        <w:rPr>
          <w:rFonts w:ascii="Times New Roman" w:eastAsia="Times New Roman" w:hAnsi="Times New Roman" w:cs="Times New Roman"/>
          <w:b/>
          <w:bCs/>
          <w:sz w:val="36"/>
          <w:szCs w:val="36"/>
          <w:lang w:val="en" w:eastAsia="en-AU"/>
        </w:rPr>
        <w:t>What has all the growth been for?</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lastRenderedPageBreak/>
        <w:t>It is reasonable to ask, therefore, what exactly has been the point of the huge growth in GDP and population in Australia since that time if our level of wellbeing has declined.</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What is an economy for, if not to improve our wellbeing? Why exactly have we done so much damage to our water resources, soil, the </w:t>
      </w:r>
      <w:proofErr w:type="spellStart"/>
      <w:r w:rsidRPr="002165E9">
        <w:rPr>
          <w:rFonts w:ascii="Times New Roman" w:eastAsia="Times New Roman" w:hAnsi="Times New Roman" w:cs="Times New Roman"/>
          <w:sz w:val="24"/>
          <w:szCs w:val="24"/>
          <w:lang w:val="en" w:eastAsia="en-AU"/>
        </w:rPr>
        <w:t>liveability</w:t>
      </w:r>
      <w:proofErr w:type="spellEnd"/>
      <w:r w:rsidRPr="002165E9">
        <w:rPr>
          <w:rFonts w:ascii="Times New Roman" w:eastAsia="Times New Roman" w:hAnsi="Times New Roman" w:cs="Times New Roman"/>
          <w:sz w:val="24"/>
          <w:szCs w:val="24"/>
          <w:lang w:val="en" w:eastAsia="en-AU"/>
        </w:rPr>
        <w:t xml:space="preserve"> of our cities and to the other species with which we share this continent if we haven’t really improved our lives by doing it?</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As alluded to earlier, the answer lies to a large extent in the disastrous neoliberal experiment foisted upon us. Yet many Australians understand that it is entirely valid to measure the success of our society by the wellbeing of its citizens and its careful husbandry of natural capital.</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At the peak of GPI in Australia in the mid-1970s our population was </w:t>
      </w:r>
      <w:hyperlink r:id="rId21" w:history="1">
        <w:r w:rsidRPr="002165E9">
          <w:rPr>
            <w:rFonts w:ascii="Times New Roman" w:eastAsia="Times New Roman" w:hAnsi="Times New Roman" w:cs="Times New Roman"/>
            <w:color w:val="0000FF"/>
            <w:sz w:val="24"/>
            <w:szCs w:val="24"/>
            <w:u w:val="single"/>
            <w:lang w:val="en" w:eastAsia="en-AU"/>
          </w:rPr>
          <w:t>under 15 million</w:t>
        </w:r>
      </w:hyperlink>
      <w:r w:rsidRPr="002165E9">
        <w:rPr>
          <w:rFonts w:ascii="Times New Roman" w:eastAsia="Times New Roman" w:hAnsi="Times New Roman" w:cs="Times New Roman"/>
          <w:sz w:val="24"/>
          <w:szCs w:val="24"/>
          <w:lang w:val="en" w:eastAsia="en-AU"/>
        </w:rPr>
        <w:t>. Here then, perhaps, is a sensible, optimal population size for Australia operating under the current economic system, since any larger number simply fails to deliver a net benefit to most citizens.</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It suggests that we have just had 40 years of unnecessary, ideologically driven growth at an immense and unjustifiable cost to our natural and social capital. In addition, all indications are that this path is unsustainable.</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 xml:space="preserve">With Australian female fertility sitting well below replacement level, we can achieve a slow and natural return to a lower population of our choice without any drastic or coercive policies. This can be done simply by winding back the large and expensive program of importing consumers to generate GDP growth – now </w:t>
      </w:r>
      <w:hyperlink r:id="rId22" w:history="1">
        <w:r w:rsidRPr="002165E9">
          <w:rPr>
            <w:rFonts w:ascii="Times New Roman" w:eastAsia="Times New Roman" w:hAnsi="Times New Roman" w:cs="Times New Roman"/>
            <w:color w:val="0000FF"/>
            <w:sz w:val="24"/>
            <w:szCs w:val="24"/>
            <w:u w:val="single"/>
            <w:lang w:val="en" w:eastAsia="en-AU"/>
          </w:rPr>
          <w:t>about 200,000 people a year</w:t>
        </w:r>
      </w:hyperlink>
      <w:r w:rsidRPr="002165E9">
        <w:rPr>
          <w:rFonts w:ascii="Times New Roman" w:eastAsia="Times New Roman" w:hAnsi="Times New Roman" w:cs="Times New Roman"/>
          <w:sz w:val="24"/>
          <w:szCs w:val="24"/>
          <w:lang w:val="en" w:eastAsia="en-AU"/>
        </w:rPr>
        <w:t xml:space="preserve"> and forecast to increase to almost 250,000 by 2020.</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sz w:val="24"/>
          <w:szCs w:val="24"/>
          <w:lang w:val="en" w:eastAsia="en-AU"/>
        </w:rPr>
        <w:t>Despite endless political and media obfuscation, this is an entirely different issue from assisting refugees, to whom we can afford to be much more generous.</w:t>
      </w:r>
    </w:p>
    <w:p w:rsidR="002165E9" w:rsidRPr="002165E9" w:rsidRDefault="002165E9" w:rsidP="002165E9">
      <w:pPr>
        <w:spacing w:before="100" w:beforeAutospacing="1" w:after="100" w:afterAutospacing="1" w:line="240" w:lineRule="auto"/>
        <w:rPr>
          <w:rFonts w:ascii="Times New Roman" w:eastAsia="Times New Roman" w:hAnsi="Times New Roman" w:cs="Times New Roman"/>
          <w:sz w:val="24"/>
          <w:szCs w:val="24"/>
          <w:lang w:val="en" w:eastAsia="en-AU"/>
        </w:rPr>
      </w:pPr>
      <w:r w:rsidRPr="002165E9">
        <w:rPr>
          <w:rFonts w:ascii="Times New Roman" w:eastAsia="Times New Roman" w:hAnsi="Times New Roman" w:cs="Times New Roman"/>
          <w:i/>
          <w:iCs/>
          <w:sz w:val="24"/>
          <w:szCs w:val="24"/>
          <w:lang w:val="en" w:eastAsia="en-AU"/>
        </w:rPr>
        <w:t xml:space="preserve">• </w:t>
      </w:r>
      <w:hyperlink r:id="rId23" w:history="1">
        <w:r w:rsidRPr="002165E9">
          <w:rPr>
            <w:rFonts w:ascii="Times New Roman" w:eastAsia="Times New Roman" w:hAnsi="Times New Roman" w:cs="Times New Roman"/>
            <w:i/>
            <w:iCs/>
            <w:color w:val="0000FF"/>
            <w:sz w:val="24"/>
            <w:szCs w:val="24"/>
            <w:u w:val="single"/>
            <w:lang w:val="en" w:eastAsia="en-AU"/>
          </w:rPr>
          <w:t>Peter Martin</w:t>
        </w:r>
      </w:hyperlink>
      <w:r w:rsidRPr="002165E9">
        <w:rPr>
          <w:rFonts w:ascii="Times New Roman" w:eastAsia="Times New Roman" w:hAnsi="Times New Roman" w:cs="Times New Roman"/>
          <w:i/>
          <w:iCs/>
          <w:sz w:val="24"/>
          <w:szCs w:val="24"/>
          <w:lang w:val="en" w:eastAsia="en-AU"/>
        </w:rPr>
        <w:t xml:space="preserve"> is a lecturer at the school of natural and built environments at the University of South Australia, </w:t>
      </w:r>
      <w:hyperlink r:id="rId24" w:history="1">
        <w:r w:rsidRPr="002165E9">
          <w:rPr>
            <w:rFonts w:ascii="Times New Roman" w:eastAsia="Times New Roman" w:hAnsi="Times New Roman" w:cs="Times New Roman"/>
            <w:i/>
            <w:iCs/>
            <w:color w:val="0000FF"/>
            <w:sz w:val="24"/>
            <w:szCs w:val="24"/>
            <w:u w:val="single"/>
            <w:lang w:val="en" w:eastAsia="en-AU"/>
          </w:rPr>
          <w:t>James Ward</w:t>
        </w:r>
      </w:hyperlink>
      <w:r w:rsidRPr="002165E9">
        <w:rPr>
          <w:rFonts w:ascii="Times New Roman" w:eastAsia="Times New Roman" w:hAnsi="Times New Roman" w:cs="Times New Roman"/>
          <w:i/>
          <w:iCs/>
          <w:sz w:val="24"/>
          <w:szCs w:val="24"/>
          <w:lang w:val="en" w:eastAsia="en-AU"/>
        </w:rPr>
        <w:t xml:space="preserve"> is a lecturer in water and environmental engineering at the University of South Australia and </w:t>
      </w:r>
      <w:hyperlink r:id="rId25" w:history="1">
        <w:r w:rsidRPr="002165E9">
          <w:rPr>
            <w:rFonts w:ascii="Times New Roman" w:eastAsia="Times New Roman" w:hAnsi="Times New Roman" w:cs="Times New Roman"/>
            <w:i/>
            <w:iCs/>
            <w:color w:val="0000FF"/>
            <w:sz w:val="24"/>
            <w:szCs w:val="24"/>
            <w:u w:val="single"/>
            <w:lang w:val="en" w:eastAsia="en-AU"/>
          </w:rPr>
          <w:t>Paul Sutton</w:t>
        </w:r>
      </w:hyperlink>
      <w:r w:rsidRPr="002165E9">
        <w:rPr>
          <w:rFonts w:ascii="Times New Roman" w:eastAsia="Times New Roman" w:hAnsi="Times New Roman" w:cs="Times New Roman"/>
          <w:i/>
          <w:iCs/>
          <w:sz w:val="24"/>
          <w:szCs w:val="24"/>
          <w:lang w:val="en" w:eastAsia="en-AU"/>
        </w:rPr>
        <w:t xml:space="preserve"> is a professor at the department of geography and the environment at the University of Denver. This article has been republished from the Conversation and is part of the series </w:t>
      </w:r>
      <w:hyperlink r:id="rId26" w:history="1">
        <w:r w:rsidRPr="002165E9">
          <w:rPr>
            <w:rFonts w:ascii="Times New Roman" w:eastAsia="Times New Roman" w:hAnsi="Times New Roman" w:cs="Times New Roman"/>
            <w:i/>
            <w:iCs/>
            <w:color w:val="0000FF"/>
            <w:sz w:val="24"/>
            <w:szCs w:val="24"/>
            <w:u w:val="single"/>
            <w:lang w:val="en" w:eastAsia="en-AU"/>
          </w:rPr>
          <w:t>Is Australia Full?</w:t>
        </w:r>
      </w:hyperlink>
      <w:r w:rsidRPr="002165E9">
        <w:rPr>
          <w:rFonts w:ascii="Times New Roman" w:eastAsia="Times New Roman" w:hAnsi="Times New Roman" w:cs="Times New Roman"/>
          <w:i/>
          <w:iCs/>
          <w:sz w:val="24"/>
          <w:szCs w:val="24"/>
          <w:lang w:val="en" w:eastAsia="en-AU"/>
        </w:rPr>
        <w:t xml:space="preserve"> which aims to help inform a wide-ranging and often emotive debate. Other articles in the series can be read </w:t>
      </w:r>
      <w:hyperlink r:id="rId27" w:history="1">
        <w:r w:rsidRPr="002165E9">
          <w:rPr>
            <w:rFonts w:ascii="Times New Roman" w:eastAsia="Times New Roman" w:hAnsi="Times New Roman" w:cs="Times New Roman"/>
            <w:i/>
            <w:iCs/>
            <w:color w:val="0000FF"/>
            <w:sz w:val="24"/>
            <w:szCs w:val="24"/>
            <w:u w:val="single"/>
            <w:lang w:val="en" w:eastAsia="en-AU"/>
          </w:rPr>
          <w:t>here</w:t>
        </w:r>
      </w:hyperlink>
    </w:p>
    <w:p w:rsidR="00EA60C7" w:rsidRDefault="00EA60C7"/>
    <w:sectPr w:rsidR="00EA60C7" w:rsidSect="002165E9">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3C01748"/>
    <w:multiLevelType w:val="multilevel"/>
    <w:tmpl w:val="8F8EA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65E9"/>
    <w:rsid w:val="002165E9"/>
    <w:rsid w:val="00EA60C7"/>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7A2CE1"/>
  <w15:chartTrackingRefBased/>
  <w15:docId w15:val="{D44478A8-859E-4C57-8BF7-1CC41D26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7875135">
      <w:bodyDiv w:val="1"/>
      <w:marLeft w:val="0"/>
      <w:marRight w:val="0"/>
      <w:marTop w:val="0"/>
      <w:marBottom w:val="0"/>
      <w:divBdr>
        <w:top w:val="none" w:sz="0" w:space="0" w:color="auto"/>
        <w:left w:val="none" w:sz="0" w:space="0" w:color="auto"/>
        <w:bottom w:val="none" w:sz="0" w:space="0" w:color="auto"/>
        <w:right w:val="none" w:sz="0" w:space="0" w:color="auto"/>
      </w:divBdr>
      <w:divsChild>
        <w:div w:id="2129927697">
          <w:marLeft w:val="0"/>
          <w:marRight w:val="0"/>
          <w:marTop w:val="0"/>
          <w:marBottom w:val="0"/>
          <w:divBdr>
            <w:top w:val="none" w:sz="0" w:space="0" w:color="auto"/>
            <w:left w:val="none" w:sz="0" w:space="0" w:color="auto"/>
            <w:bottom w:val="none" w:sz="0" w:space="0" w:color="auto"/>
            <w:right w:val="none" w:sz="0" w:space="0" w:color="auto"/>
          </w:divBdr>
          <w:divsChild>
            <w:div w:id="1147164845">
              <w:marLeft w:val="0"/>
              <w:marRight w:val="0"/>
              <w:marTop w:val="0"/>
              <w:marBottom w:val="0"/>
              <w:divBdr>
                <w:top w:val="none" w:sz="0" w:space="0" w:color="auto"/>
                <w:left w:val="none" w:sz="0" w:space="0" w:color="auto"/>
                <w:bottom w:val="none" w:sz="0" w:space="0" w:color="auto"/>
                <w:right w:val="none" w:sz="0" w:space="0" w:color="auto"/>
              </w:divBdr>
              <w:divsChild>
                <w:div w:id="1018700901">
                  <w:marLeft w:val="0"/>
                  <w:marRight w:val="0"/>
                  <w:marTop w:val="0"/>
                  <w:marBottom w:val="0"/>
                  <w:divBdr>
                    <w:top w:val="none" w:sz="0" w:space="0" w:color="auto"/>
                    <w:left w:val="none" w:sz="0" w:space="0" w:color="auto"/>
                    <w:bottom w:val="none" w:sz="0" w:space="0" w:color="auto"/>
                    <w:right w:val="none" w:sz="0" w:space="0" w:color="auto"/>
                  </w:divBdr>
                  <w:divsChild>
                    <w:div w:id="2122264030">
                      <w:marLeft w:val="0"/>
                      <w:marRight w:val="0"/>
                      <w:marTop w:val="0"/>
                      <w:marBottom w:val="0"/>
                      <w:divBdr>
                        <w:top w:val="none" w:sz="0" w:space="0" w:color="auto"/>
                        <w:left w:val="none" w:sz="0" w:space="0" w:color="auto"/>
                        <w:bottom w:val="none" w:sz="0" w:space="0" w:color="auto"/>
                        <w:right w:val="none" w:sz="0" w:space="0" w:color="auto"/>
                      </w:divBdr>
                      <w:divsChild>
                        <w:div w:id="1972126075">
                          <w:marLeft w:val="0"/>
                          <w:marRight w:val="0"/>
                          <w:marTop w:val="0"/>
                          <w:marBottom w:val="0"/>
                          <w:divBdr>
                            <w:top w:val="none" w:sz="0" w:space="0" w:color="auto"/>
                            <w:left w:val="none" w:sz="0" w:space="0" w:color="auto"/>
                            <w:bottom w:val="none" w:sz="0" w:space="0" w:color="auto"/>
                            <w:right w:val="none" w:sz="0" w:space="0" w:color="auto"/>
                          </w:divBdr>
                          <w:divsChild>
                            <w:div w:id="837428780">
                              <w:marLeft w:val="0"/>
                              <w:marRight w:val="0"/>
                              <w:marTop w:val="0"/>
                              <w:marBottom w:val="0"/>
                              <w:divBdr>
                                <w:top w:val="none" w:sz="0" w:space="0" w:color="auto"/>
                                <w:left w:val="none" w:sz="0" w:space="0" w:color="auto"/>
                                <w:bottom w:val="none" w:sz="0" w:space="0" w:color="auto"/>
                                <w:right w:val="none" w:sz="0" w:space="0" w:color="auto"/>
                              </w:divBdr>
                            </w:div>
                          </w:divsChild>
                        </w:div>
                        <w:div w:id="623924284">
                          <w:marLeft w:val="0"/>
                          <w:marRight w:val="0"/>
                          <w:marTop w:val="0"/>
                          <w:marBottom w:val="0"/>
                          <w:divBdr>
                            <w:top w:val="none" w:sz="0" w:space="0" w:color="auto"/>
                            <w:left w:val="none" w:sz="0" w:space="0" w:color="auto"/>
                            <w:bottom w:val="none" w:sz="0" w:space="0" w:color="auto"/>
                            <w:right w:val="none" w:sz="0" w:space="0" w:color="auto"/>
                          </w:divBdr>
                          <w:divsChild>
                            <w:div w:id="633606653">
                              <w:marLeft w:val="0"/>
                              <w:marRight w:val="0"/>
                              <w:marTop w:val="0"/>
                              <w:marBottom w:val="0"/>
                              <w:divBdr>
                                <w:top w:val="none" w:sz="0" w:space="0" w:color="auto"/>
                                <w:left w:val="none" w:sz="0" w:space="0" w:color="auto"/>
                                <w:bottom w:val="none" w:sz="0" w:space="0" w:color="auto"/>
                                <w:right w:val="none" w:sz="0" w:space="0" w:color="auto"/>
                              </w:divBdr>
                            </w:div>
                          </w:divsChild>
                        </w:div>
                        <w:div w:id="495875823">
                          <w:marLeft w:val="0"/>
                          <w:marRight w:val="0"/>
                          <w:marTop w:val="0"/>
                          <w:marBottom w:val="0"/>
                          <w:divBdr>
                            <w:top w:val="none" w:sz="0" w:space="0" w:color="auto"/>
                            <w:left w:val="none" w:sz="0" w:space="0" w:color="auto"/>
                            <w:bottom w:val="none" w:sz="0" w:space="0" w:color="auto"/>
                            <w:right w:val="none" w:sz="0" w:space="0" w:color="auto"/>
                          </w:divBdr>
                          <w:divsChild>
                            <w:div w:id="544566766">
                              <w:marLeft w:val="0"/>
                              <w:marRight w:val="0"/>
                              <w:marTop w:val="0"/>
                              <w:marBottom w:val="0"/>
                              <w:divBdr>
                                <w:top w:val="none" w:sz="0" w:space="0" w:color="auto"/>
                                <w:left w:val="none" w:sz="0" w:space="0" w:color="auto"/>
                                <w:bottom w:val="none" w:sz="0" w:space="0" w:color="auto"/>
                                <w:right w:val="none" w:sz="0" w:space="0" w:color="auto"/>
                              </w:divBdr>
                            </w:div>
                            <w:div w:id="874855606">
                              <w:marLeft w:val="0"/>
                              <w:marRight w:val="0"/>
                              <w:marTop w:val="0"/>
                              <w:marBottom w:val="0"/>
                              <w:divBdr>
                                <w:top w:val="none" w:sz="0" w:space="0" w:color="auto"/>
                                <w:left w:val="none" w:sz="0" w:space="0" w:color="auto"/>
                                <w:bottom w:val="none" w:sz="0" w:space="0" w:color="auto"/>
                                <w:right w:val="none" w:sz="0" w:space="0" w:color="auto"/>
                              </w:divBdr>
                              <w:divsChild>
                                <w:div w:id="55469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876406">
                          <w:marLeft w:val="0"/>
                          <w:marRight w:val="0"/>
                          <w:marTop w:val="0"/>
                          <w:marBottom w:val="0"/>
                          <w:divBdr>
                            <w:top w:val="none" w:sz="0" w:space="0" w:color="auto"/>
                            <w:left w:val="none" w:sz="0" w:space="0" w:color="auto"/>
                            <w:bottom w:val="none" w:sz="0" w:space="0" w:color="auto"/>
                            <w:right w:val="none" w:sz="0" w:space="0" w:color="auto"/>
                          </w:divBdr>
                        </w:div>
                        <w:div w:id="1606499856">
                          <w:marLeft w:val="0"/>
                          <w:marRight w:val="0"/>
                          <w:marTop w:val="0"/>
                          <w:marBottom w:val="0"/>
                          <w:divBdr>
                            <w:top w:val="none" w:sz="0" w:space="0" w:color="auto"/>
                            <w:left w:val="none" w:sz="0" w:space="0" w:color="auto"/>
                            <w:bottom w:val="none" w:sz="0" w:space="0" w:color="auto"/>
                            <w:right w:val="none" w:sz="0" w:space="0" w:color="auto"/>
                          </w:divBdr>
                          <w:divsChild>
                            <w:div w:id="1018192906">
                              <w:marLeft w:val="0"/>
                              <w:marRight w:val="0"/>
                              <w:marTop w:val="0"/>
                              <w:marBottom w:val="0"/>
                              <w:divBdr>
                                <w:top w:val="none" w:sz="0" w:space="0" w:color="auto"/>
                                <w:left w:val="none" w:sz="0" w:space="0" w:color="auto"/>
                                <w:bottom w:val="none" w:sz="0" w:space="0" w:color="auto"/>
                                <w:right w:val="none" w:sz="0" w:space="0" w:color="auto"/>
                              </w:divBdr>
                              <w:divsChild>
                                <w:div w:id="10188203">
                                  <w:marLeft w:val="0"/>
                                  <w:marRight w:val="0"/>
                                  <w:marTop w:val="0"/>
                                  <w:marBottom w:val="0"/>
                                  <w:divBdr>
                                    <w:top w:val="none" w:sz="0" w:space="0" w:color="auto"/>
                                    <w:left w:val="none" w:sz="0" w:space="0" w:color="auto"/>
                                    <w:bottom w:val="none" w:sz="0" w:space="0" w:color="auto"/>
                                    <w:right w:val="none" w:sz="0" w:space="0" w:color="auto"/>
                                  </w:divBdr>
                                  <w:divsChild>
                                    <w:div w:id="294681444">
                                      <w:marLeft w:val="0"/>
                                      <w:marRight w:val="0"/>
                                      <w:marTop w:val="0"/>
                                      <w:marBottom w:val="0"/>
                                      <w:divBdr>
                                        <w:top w:val="none" w:sz="0" w:space="0" w:color="auto"/>
                                        <w:left w:val="none" w:sz="0" w:space="0" w:color="auto"/>
                                        <w:bottom w:val="none" w:sz="0" w:space="0" w:color="auto"/>
                                        <w:right w:val="none" w:sz="0" w:space="0" w:color="auto"/>
                                      </w:divBdr>
                                    </w:div>
                                    <w:div w:id="2071534727">
                                      <w:marLeft w:val="0"/>
                                      <w:marRight w:val="0"/>
                                      <w:marTop w:val="0"/>
                                      <w:marBottom w:val="0"/>
                                      <w:divBdr>
                                        <w:top w:val="none" w:sz="0" w:space="0" w:color="auto"/>
                                        <w:left w:val="none" w:sz="0" w:space="0" w:color="auto"/>
                                        <w:bottom w:val="none" w:sz="0" w:space="0" w:color="auto"/>
                                        <w:right w:val="none" w:sz="0" w:space="0" w:color="auto"/>
                                      </w:divBdr>
                                      <w:divsChild>
                                        <w:div w:id="1694645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274834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3992358">
                                  <w:marLeft w:val="0"/>
                                  <w:marRight w:val="0"/>
                                  <w:marTop w:val="0"/>
                                  <w:marBottom w:val="0"/>
                                  <w:divBdr>
                                    <w:top w:val="none" w:sz="0" w:space="0" w:color="auto"/>
                                    <w:left w:val="none" w:sz="0" w:space="0" w:color="auto"/>
                                    <w:bottom w:val="none" w:sz="0" w:space="0" w:color="auto"/>
                                    <w:right w:val="none" w:sz="0" w:space="0" w:color="auto"/>
                                  </w:divBdr>
                                </w:div>
                              </w:divsChild>
                            </w:div>
                            <w:div w:id="487137602">
                              <w:marLeft w:val="0"/>
                              <w:marRight w:val="0"/>
                              <w:marTop w:val="0"/>
                              <w:marBottom w:val="0"/>
                              <w:divBdr>
                                <w:top w:val="none" w:sz="0" w:space="0" w:color="auto"/>
                                <w:left w:val="none" w:sz="0" w:space="0" w:color="auto"/>
                                <w:bottom w:val="none" w:sz="0" w:space="0" w:color="auto"/>
                                <w:right w:val="none" w:sz="0" w:space="0" w:color="auto"/>
                              </w:divBdr>
                              <w:divsChild>
                                <w:div w:id="2085106182">
                                  <w:marLeft w:val="0"/>
                                  <w:marRight w:val="0"/>
                                  <w:marTop w:val="0"/>
                                  <w:marBottom w:val="0"/>
                                  <w:divBdr>
                                    <w:top w:val="none" w:sz="0" w:space="0" w:color="auto"/>
                                    <w:left w:val="none" w:sz="0" w:space="0" w:color="auto"/>
                                    <w:bottom w:val="none" w:sz="0" w:space="0" w:color="auto"/>
                                    <w:right w:val="none" w:sz="0" w:space="0" w:color="auto"/>
                                  </w:divBdr>
                                  <w:divsChild>
                                    <w:div w:id="1714496804">
                                      <w:marLeft w:val="0"/>
                                      <w:marRight w:val="0"/>
                                      <w:marTop w:val="0"/>
                                      <w:marBottom w:val="0"/>
                                      <w:divBdr>
                                        <w:top w:val="none" w:sz="0" w:space="0" w:color="auto"/>
                                        <w:left w:val="none" w:sz="0" w:space="0" w:color="auto"/>
                                        <w:bottom w:val="none" w:sz="0" w:space="0" w:color="auto"/>
                                        <w:right w:val="none" w:sz="0" w:space="0" w:color="auto"/>
                                      </w:divBdr>
                                    </w:div>
                                    <w:div w:id="2068988255">
                                      <w:marLeft w:val="0"/>
                                      <w:marRight w:val="0"/>
                                      <w:marTop w:val="0"/>
                                      <w:marBottom w:val="0"/>
                                      <w:divBdr>
                                        <w:top w:val="none" w:sz="0" w:space="0" w:color="auto"/>
                                        <w:left w:val="none" w:sz="0" w:space="0" w:color="auto"/>
                                        <w:bottom w:val="none" w:sz="0" w:space="0" w:color="auto"/>
                                        <w:right w:val="none" w:sz="0" w:space="0" w:color="auto"/>
                                      </w:divBdr>
                                      <w:divsChild>
                                        <w:div w:id="156494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ntrol" Target="activeX/activeX1.xml"/><Relationship Id="rId13" Type="http://schemas.openxmlformats.org/officeDocument/2006/relationships/hyperlink" Target="https://bitre.gov.au/publications/2012/files/report_127.pdf" TargetMode="External"/><Relationship Id="rId18" Type="http://schemas.openxmlformats.org/officeDocument/2006/relationships/hyperlink" Target="http://www.tai.org.au/sites/defualt/files/DP14_8.pdf" TargetMode="External"/><Relationship Id="rId26" Type="http://schemas.openxmlformats.org/officeDocument/2006/relationships/hyperlink" Target="https://theconversation.com/au/topics/is-australia-full-39068" TargetMode="External"/><Relationship Id="rId3" Type="http://schemas.openxmlformats.org/officeDocument/2006/relationships/settings" Target="settings.xml"/><Relationship Id="rId21" Type="http://schemas.openxmlformats.org/officeDocument/2006/relationships/hyperlink" Target="http://www.populstat.info/Oceania/australc.htm" TargetMode="External"/><Relationship Id="rId7" Type="http://schemas.openxmlformats.org/officeDocument/2006/relationships/image" Target="media/image2.wmf"/><Relationship Id="rId12" Type="http://schemas.openxmlformats.org/officeDocument/2006/relationships/hyperlink" Target="http://www.sbs.com.au/yourlanguage/hindi/en/article/2017/05/10/2017-2018-skilled-migration-intake-announced" TargetMode="External"/><Relationship Id="rId17" Type="http://schemas.openxmlformats.org/officeDocument/2006/relationships/hyperlink" Target="https://theconversation.com/uk/topics/beyond-gdp-13319" TargetMode="External"/><Relationship Id="rId25" Type="http://schemas.openxmlformats.org/officeDocument/2006/relationships/hyperlink" Target="https://theconversation.com/profiles/paul-sutton-96333" TargetMode="External"/><Relationship Id="rId2" Type="http://schemas.openxmlformats.org/officeDocument/2006/relationships/styles" Target="styles.xml"/><Relationship Id="rId16" Type="http://schemas.openxmlformats.org/officeDocument/2006/relationships/hyperlink" Target="http://archive.treasury.gov.au/igr/igr2010/" TargetMode="External"/><Relationship Id="rId20" Type="http://schemas.openxmlformats.org/officeDocument/2006/relationships/hyperlink" Target="http://www.e-elgar.com/shop/sustainable-welfare-in-the-asia-pacific?___website=uk_warehouse"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www.abs.gov.au/ausstats/abs@.nsf/Previousproducts/3301.0Main%20Features42014?opendocument&amp;tabname=Summary&amp;prodno=3301.0&amp;issue=2014&amp;num=&amp;view=" TargetMode="External"/><Relationship Id="rId24" Type="http://schemas.openxmlformats.org/officeDocument/2006/relationships/hyperlink" Target="https://theconversation.com/profiles/james-ward-157163" TargetMode="External"/><Relationship Id="rId5" Type="http://schemas.openxmlformats.org/officeDocument/2006/relationships/hyperlink" Target="https://www.theguardian.com/business/2017/jul/11/why-a-population-of-say-15-million-makes-sense-for-australia#img-1" TargetMode="External"/><Relationship Id="rId15" Type="http://schemas.openxmlformats.org/officeDocument/2006/relationships/hyperlink" Target="http://www.pc.gov.au/__data/assets/pdf_file/0004/135517/subdr156-infrastructure.pdf" TargetMode="External"/><Relationship Id="rId23" Type="http://schemas.openxmlformats.org/officeDocument/2006/relationships/hyperlink" Target="https://theconversation.com/profiles/peter-martin-266374" TargetMode="External"/><Relationship Id="rId28" Type="http://schemas.openxmlformats.org/officeDocument/2006/relationships/fontTable" Target="fontTable.xml"/><Relationship Id="rId10" Type="http://schemas.openxmlformats.org/officeDocument/2006/relationships/hyperlink" Target="http://www.oecd-ilibrary.org/sites/factbook-2015-1-en/evopop_g1.html?contentType=%2fns%2fStatisticalPublication%2c%2fns%2fChapter&amp;itemId=%2fcontent%2fchapter%2ffactbook-2015-1-en&amp;mimeType=text%2fhtml&amp;containerItemId=%2fcontent%2fserial%2f18147364&amp;accessItemIds=&amp;option6=imprint&amp;value6=http%3a%2f%2foecd.metastore.ingenta.com%2fcontent%2fimprint%2foecd&amp;_csp_=4c076bdd9393ccf0422808ed2ced01cf" TargetMode="External"/><Relationship Id="rId19" Type="http://schemas.openxmlformats.org/officeDocument/2006/relationships/hyperlink" Target="http://www.sciencedirect.com/science/article/pii/S0921800913001584" TargetMode="External"/><Relationship Id="rId4" Type="http://schemas.openxmlformats.org/officeDocument/2006/relationships/webSettings" Target="webSettings.xml"/><Relationship Id="rId9" Type="http://schemas.openxmlformats.org/officeDocument/2006/relationships/hyperlink" Target="http://greens.org.au/policies/population" TargetMode="External"/><Relationship Id="rId14" Type="http://schemas.openxmlformats.org/officeDocument/2006/relationships/hyperlink" Target="https://www.rba.gov.au/publications/bulletin/2015/sep/pdf/bu-0915-3.pdf" TargetMode="External"/><Relationship Id="rId22" Type="http://schemas.openxmlformats.org/officeDocument/2006/relationships/hyperlink" Target="https://www.border.gov.au/ReportsandPublications/Documents/statistics/nom-september-2016.pdf" TargetMode="External"/><Relationship Id="rId27" Type="http://schemas.openxmlformats.org/officeDocument/2006/relationships/hyperlink" Target="https://theconversation.com/au/topics/is-australia-full-39068" TargetMode="External"/></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7F6A522C</Template>
  <TotalTime>3</TotalTime>
  <Pages>3</Pages>
  <Words>1384</Words>
  <Characters>7891</Characters>
  <Application>Microsoft Office Word</Application>
  <DocSecurity>0</DocSecurity>
  <Lines>65</Lines>
  <Paragraphs>18</Paragraphs>
  <ScaleCrop>false</ScaleCrop>
  <Company>Department of Education Western Australia</Company>
  <LinksUpToDate>false</LinksUpToDate>
  <CharactersWithSpaces>9257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LAVAN Denise [Narrogin Senior High School]</dc:creator>
  <cp:keywords/>
  <dc:description/>
  <cp:lastModifiedBy>LAVAN Denise [Narrogin Senior High School]</cp:lastModifiedBy>
  <cp:revision>1</cp:revision>
  <dcterms:created xsi:type="dcterms:W3CDTF">2019-01-26T05:49:00Z</dcterms:created>
  <dcterms:modified xsi:type="dcterms:W3CDTF">2019-01-26T05:52:00Z</dcterms:modified>
</cp:coreProperties>
</file>