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87A57B" w14:textId="77777777" w:rsidR="006306B5" w:rsidRDefault="006306B5" w:rsidP="006306B5">
      <w:pPr>
        <w:spacing w:after="120" w:line="240" w:lineRule="auto"/>
        <w:outlineLvl w:val="2"/>
        <w:rPr>
          <w:rFonts w:ascii="Times New Roman" w:eastAsia="Times New Roman" w:hAnsi="Times New Roman" w:cs="Times New Roman"/>
          <w:b/>
          <w:bCs/>
          <w:i/>
          <w:color w:val="000000"/>
          <w:sz w:val="37"/>
          <w:szCs w:val="37"/>
          <w:lang w:eastAsia="en-AU"/>
        </w:rPr>
      </w:pPr>
      <w:bookmarkStart w:id="0" w:name="_GoBack"/>
      <w:bookmarkEnd w:id="0"/>
      <w:r>
        <w:rPr>
          <w:rFonts w:ascii="Times New Roman" w:eastAsia="Times New Roman" w:hAnsi="Times New Roman" w:cs="Times New Roman"/>
          <w:b/>
          <w:bCs/>
          <w:color w:val="000000"/>
          <w:sz w:val="37"/>
          <w:szCs w:val="37"/>
          <w:lang w:eastAsia="en-AU"/>
        </w:rPr>
        <w:t xml:space="preserve">Framing the Frame: Embedded Narratives Enabling Texts and </w:t>
      </w:r>
      <w:r>
        <w:rPr>
          <w:rFonts w:ascii="Times New Roman" w:eastAsia="Times New Roman" w:hAnsi="Times New Roman" w:cs="Times New Roman"/>
          <w:b/>
          <w:bCs/>
          <w:i/>
          <w:color w:val="000000"/>
          <w:sz w:val="37"/>
          <w:szCs w:val="37"/>
          <w:lang w:eastAsia="en-AU"/>
        </w:rPr>
        <w:t>Frankenstein</w:t>
      </w:r>
    </w:p>
    <w:p w14:paraId="1AE422F9" w14:textId="77777777" w:rsidR="006306B5" w:rsidRPr="006306B5" w:rsidRDefault="006306B5" w:rsidP="006306B5">
      <w:pPr>
        <w:spacing w:after="120" w:line="240" w:lineRule="auto"/>
        <w:outlineLvl w:val="2"/>
        <w:rPr>
          <w:rFonts w:ascii="Times New Roman" w:eastAsia="Times New Roman" w:hAnsi="Times New Roman" w:cs="Times New Roman"/>
          <w:b/>
          <w:bCs/>
          <w:color w:val="000000"/>
          <w:sz w:val="37"/>
          <w:szCs w:val="37"/>
          <w:lang w:eastAsia="en-AU"/>
        </w:rPr>
      </w:pPr>
      <w:r>
        <w:rPr>
          <w:rFonts w:ascii="Times New Roman" w:eastAsia="Times New Roman" w:hAnsi="Times New Roman" w:cs="Times New Roman"/>
          <w:b/>
          <w:bCs/>
          <w:color w:val="000000"/>
          <w:sz w:val="37"/>
          <w:szCs w:val="37"/>
          <w:lang w:eastAsia="en-AU"/>
        </w:rPr>
        <w:t>Gregory O’Dea</w:t>
      </w:r>
    </w:p>
    <w:p w14:paraId="3D1E6247" w14:textId="77777777" w:rsidR="006306B5" w:rsidRPr="006306B5" w:rsidRDefault="006306B5" w:rsidP="006306B5">
      <w:pPr>
        <w:spacing w:after="120" w:line="240" w:lineRule="auto"/>
        <w:outlineLvl w:val="2"/>
        <w:rPr>
          <w:rFonts w:ascii="Times New Roman" w:eastAsia="Times New Roman" w:hAnsi="Times New Roman" w:cs="Times New Roman"/>
          <w:b/>
          <w:bCs/>
          <w:color w:val="000000"/>
          <w:sz w:val="37"/>
          <w:szCs w:val="37"/>
          <w:lang w:eastAsia="en-AU"/>
        </w:rPr>
      </w:pPr>
      <w:r w:rsidRPr="006306B5">
        <w:rPr>
          <w:rFonts w:ascii="Times New Roman" w:eastAsia="Times New Roman" w:hAnsi="Times New Roman" w:cs="Times New Roman"/>
          <w:b/>
          <w:bCs/>
          <w:color w:val="000000"/>
          <w:sz w:val="37"/>
          <w:szCs w:val="37"/>
          <w:lang w:eastAsia="en-AU"/>
        </w:rPr>
        <w:t>Abstract</w:t>
      </w:r>
    </w:p>
    <w:p w14:paraId="51AD23FF" w14:textId="77777777" w:rsidR="006306B5" w:rsidRPr="006306B5" w:rsidRDefault="006306B5" w:rsidP="006306B5">
      <w:pPr>
        <w:spacing w:after="0" w:line="240" w:lineRule="auto"/>
        <w:rPr>
          <w:rFonts w:ascii="Times New Roman" w:eastAsia="Times New Roman" w:hAnsi="Times New Roman" w:cs="Times New Roman"/>
          <w:sz w:val="24"/>
          <w:szCs w:val="24"/>
          <w:lang w:eastAsia="en-AU"/>
        </w:rPr>
      </w:pPr>
      <w:r w:rsidRPr="006306B5">
        <w:rPr>
          <w:rFonts w:ascii="Times New Roman" w:eastAsia="Times New Roman" w:hAnsi="Times New Roman" w:cs="Times New Roman"/>
          <w:sz w:val="24"/>
          <w:szCs w:val="24"/>
          <w:lang w:eastAsia="en-AU"/>
        </w:rPr>
        <w:t>Abstract</w:t>
      </w:r>
    </w:p>
    <w:p w14:paraId="7A4ABE2E" w14:textId="77777777" w:rsidR="006306B5" w:rsidRPr="006306B5" w:rsidRDefault="006306B5" w:rsidP="006306B5">
      <w:pPr>
        <w:spacing w:after="0" w:line="240" w:lineRule="auto"/>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Reader-focused analyses of frame narrative (usually assuming and elaborating a liminal, distinguishing, or transitional “picture-frame” metaphor) are incomplete, describing only the initial experience of “coming at” and “moving off from” the text as a pre-existing artifact. An alternative analysis would emphasize narrative acts and enabling texts (guided by the metaphor of an internal, form-giving “frame-work”), and thus describe the process by which the textual artifact comes into being, shaping itself over time into the text we eventually read. In Mary Shelley's </w:t>
      </w:r>
      <w:r w:rsidRPr="006306B5">
        <w:rPr>
          <w:rFonts w:ascii="Helvetica" w:eastAsia="Times New Roman" w:hAnsi="Helvetica" w:cs="Helvetica"/>
          <w:i/>
          <w:iCs/>
          <w:sz w:val="21"/>
          <w:szCs w:val="21"/>
          <w:lang w:eastAsia="en-AU"/>
        </w:rPr>
        <w:t>Frankenstein,</w:t>
      </w:r>
      <w:r w:rsidRPr="006306B5">
        <w:rPr>
          <w:rFonts w:ascii="Times New Roman" w:eastAsia="Times New Roman" w:hAnsi="Times New Roman" w:cs="Times New Roman"/>
          <w:sz w:val="21"/>
          <w:szCs w:val="21"/>
          <w:lang w:eastAsia="en-AU"/>
        </w:rPr>
        <w:t> we might distinguish three frame sequences: a </w:t>
      </w:r>
      <w:r w:rsidRPr="006306B5">
        <w:rPr>
          <w:rFonts w:ascii="Helvetica" w:eastAsia="Times New Roman" w:hAnsi="Helvetica" w:cs="Helvetica"/>
          <w:i/>
          <w:iCs/>
          <w:sz w:val="21"/>
          <w:szCs w:val="21"/>
          <w:lang w:eastAsia="en-AU"/>
        </w:rPr>
        <w:t>reading</w:t>
      </w:r>
      <w:r w:rsidRPr="006306B5">
        <w:rPr>
          <w:rFonts w:ascii="Times New Roman" w:eastAsia="Times New Roman" w:hAnsi="Times New Roman" w:cs="Times New Roman"/>
          <w:sz w:val="21"/>
          <w:szCs w:val="21"/>
          <w:lang w:eastAsia="en-AU"/>
        </w:rPr>
        <w:t> sequence, an </w:t>
      </w:r>
      <w:r w:rsidRPr="006306B5">
        <w:rPr>
          <w:rFonts w:ascii="Helvetica" w:eastAsia="Times New Roman" w:hAnsi="Helvetica" w:cs="Helvetica"/>
          <w:i/>
          <w:iCs/>
          <w:sz w:val="21"/>
          <w:szCs w:val="21"/>
          <w:lang w:eastAsia="en-AU"/>
        </w:rPr>
        <w:t>action</w:t>
      </w:r>
      <w:r w:rsidRPr="006306B5">
        <w:rPr>
          <w:rFonts w:ascii="Times New Roman" w:eastAsia="Times New Roman" w:hAnsi="Times New Roman" w:cs="Times New Roman"/>
          <w:sz w:val="21"/>
          <w:szCs w:val="21"/>
          <w:lang w:eastAsia="en-AU"/>
        </w:rPr>
        <w:t> sequence, and a </w:t>
      </w:r>
      <w:r w:rsidRPr="006306B5">
        <w:rPr>
          <w:rFonts w:ascii="Helvetica" w:eastAsia="Times New Roman" w:hAnsi="Helvetica" w:cs="Helvetica"/>
          <w:i/>
          <w:iCs/>
          <w:sz w:val="21"/>
          <w:szCs w:val="21"/>
          <w:lang w:eastAsia="en-AU"/>
        </w:rPr>
        <w:t>narrative</w:t>
      </w:r>
      <w:r w:rsidRPr="006306B5">
        <w:rPr>
          <w:rFonts w:ascii="Times New Roman" w:eastAsia="Times New Roman" w:hAnsi="Times New Roman" w:cs="Times New Roman"/>
          <w:sz w:val="21"/>
          <w:szCs w:val="21"/>
          <w:lang w:eastAsia="en-AU"/>
        </w:rPr>
        <w:t> sequence. The narrative sequence is the primary, enabling frame shaping the novel, and is dependent upon three levels of narrative refiguring: </w:t>
      </w:r>
      <w:r w:rsidRPr="006306B5">
        <w:rPr>
          <w:rFonts w:ascii="Helvetica" w:eastAsia="Times New Roman" w:hAnsi="Helvetica" w:cs="Helvetica"/>
          <w:i/>
          <w:iCs/>
          <w:sz w:val="21"/>
          <w:szCs w:val="21"/>
          <w:lang w:eastAsia="en-AU"/>
        </w:rPr>
        <w:t>rhetorical</w:t>
      </w:r>
      <w:r w:rsidRPr="006306B5">
        <w:rPr>
          <w:rFonts w:ascii="Times New Roman" w:eastAsia="Times New Roman" w:hAnsi="Times New Roman" w:cs="Times New Roman"/>
          <w:sz w:val="21"/>
          <w:szCs w:val="21"/>
          <w:lang w:eastAsia="en-AU"/>
        </w:rPr>
        <w:t>, </w:t>
      </w:r>
      <w:r w:rsidRPr="006306B5">
        <w:rPr>
          <w:rFonts w:ascii="Helvetica" w:eastAsia="Times New Roman" w:hAnsi="Helvetica" w:cs="Helvetica"/>
          <w:i/>
          <w:iCs/>
          <w:sz w:val="21"/>
          <w:szCs w:val="21"/>
          <w:lang w:eastAsia="en-AU"/>
        </w:rPr>
        <w:t>elemental</w:t>
      </w:r>
      <w:r w:rsidRPr="006306B5">
        <w:rPr>
          <w:rFonts w:ascii="Times New Roman" w:eastAsia="Times New Roman" w:hAnsi="Times New Roman" w:cs="Times New Roman"/>
          <w:sz w:val="21"/>
          <w:szCs w:val="21"/>
          <w:lang w:eastAsia="en-AU"/>
        </w:rPr>
        <w:t>, and </w:t>
      </w:r>
      <w:r w:rsidRPr="006306B5">
        <w:rPr>
          <w:rFonts w:ascii="Helvetica" w:eastAsia="Times New Roman" w:hAnsi="Helvetica" w:cs="Helvetica"/>
          <w:i/>
          <w:iCs/>
          <w:sz w:val="21"/>
          <w:szCs w:val="21"/>
          <w:lang w:eastAsia="en-AU"/>
        </w:rPr>
        <w:t>intentional</w:t>
      </w:r>
      <w:r w:rsidRPr="006306B5">
        <w:rPr>
          <w:rFonts w:ascii="Times New Roman" w:eastAsia="Times New Roman" w:hAnsi="Times New Roman" w:cs="Times New Roman"/>
          <w:sz w:val="21"/>
          <w:szCs w:val="21"/>
          <w:lang w:eastAsia="en-AU"/>
        </w:rPr>
        <w:t>. Each narrative act in Shelley’s novel is enabled and shaped by a previous narrative act, and each narrative text produced by these acts is the peculiar result of the narrative sequence that engenders it. The tension between narrative act and narrative text in </w:t>
      </w:r>
      <w:r w:rsidRPr="006306B5">
        <w:rPr>
          <w:rFonts w:ascii="Helvetica" w:eastAsia="Times New Roman" w:hAnsi="Helvetica" w:cs="Helvetica"/>
          <w:i/>
          <w:iCs/>
          <w:sz w:val="21"/>
          <w:szCs w:val="21"/>
          <w:lang w:eastAsia="en-AU"/>
        </w:rPr>
        <w:t>Frankenstein </w:t>
      </w:r>
      <w:r w:rsidRPr="006306B5">
        <w:rPr>
          <w:rFonts w:ascii="Times New Roman" w:eastAsia="Times New Roman" w:hAnsi="Times New Roman" w:cs="Times New Roman"/>
          <w:sz w:val="21"/>
          <w:szCs w:val="21"/>
          <w:lang w:eastAsia="en-AU"/>
        </w:rPr>
        <w:t>forms a fundamental dialectic process, producing an ambiguously authoritative artifact.</w:t>
      </w:r>
    </w:p>
    <w:p w14:paraId="206EF508" w14:textId="77777777" w:rsidR="006306B5" w:rsidRPr="006306B5" w:rsidRDefault="006306B5" w:rsidP="006306B5">
      <w:pPr>
        <w:spacing w:before="360" w:after="120" w:line="240" w:lineRule="auto"/>
        <w:ind w:left="1272" w:right="-180"/>
        <w:outlineLvl w:val="1"/>
        <w:rPr>
          <w:rFonts w:ascii="Times New Roman" w:eastAsia="Times New Roman" w:hAnsi="Times New Roman" w:cs="Times New Roman"/>
          <w:b/>
          <w:bCs/>
          <w:color w:val="FF4242"/>
          <w:sz w:val="47"/>
          <w:szCs w:val="47"/>
          <w:lang w:eastAsia="en-AU"/>
        </w:rPr>
      </w:pPr>
      <w:r w:rsidRPr="006306B5">
        <w:rPr>
          <w:rFonts w:ascii="Times New Roman" w:eastAsia="Times New Roman" w:hAnsi="Times New Roman" w:cs="Times New Roman"/>
          <w:b/>
          <w:bCs/>
          <w:color w:val="FF4242"/>
          <w:sz w:val="47"/>
          <w:szCs w:val="47"/>
          <w:lang w:eastAsia="en-AU"/>
        </w:rPr>
        <w:t>Article body</w:t>
      </w:r>
    </w:p>
    <w:p w14:paraId="5BBAF35F" w14:textId="77777777" w:rsidR="006306B5" w:rsidRPr="006306B5" w:rsidRDefault="006306B5" w:rsidP="006306B5">
      <w:pPr>
        <w:spacing w:after="120" w:line="240" w:lineRule="auto"/>
        <w:jc w:val="center"/>
        <w:outlineLvl w:val="1"/>
        <w:rPr>
          <w:rFonts w:ascii="Times New Roman" w:eastAsia="Times New Roman" w:hAnsi="Times New Roman" w:cs="Times New Roman"/>
          <w:b/>
          <w:bCs/>
          <w:color w:val="FF4242"/>
          <w:sz w:val="47"/>
          <w:szCs w:val="47"/>
          <w:lang w:eastAsia="en-AU"/>
        </w:rPr>
      </w:pPr>
      <w:r w:rsidRPr="006306B5">
        <w:rPr>
          <w:rFonts w:ascii="Times New Roman" w:eastAsia="Times New Roman" w:hAnsi="Times New Roman" w:cs="Times New Roman"/>
          <w:b/>
          <w:bCs/>
          <w:color w:val="FF4242"/>
          <w:sz w:val="47"/>
          <w:szCs w:val="47"/>
          <w:lang w:eastAsia="en-AU"/>
        </w:rPr>
        <w:t>I</w:t>
      </w:r>
    </w:p>
    <w:p w14:paraId="2E175795" w14:textId="77777777" w:rsidR="006306B5" w:rsidRPr="006306B5" w:rsidRDefault="006306B5" w:rsidP="006306B5">
      <w:pPr>
        <w:spacing w:after="0" w:line="240" w:lineRule="auto"/>
        <w:rPr>
          <w:rFonts w:ascii="Times New Roman" w:eastAsia="Times New Roman" w:hAnsi="Times New Roman" w:cs="Times New Roman"/>
          <w:sz w:val="24"/>
          <w:szCs w:val="24"/>
          <w:lang w:eastAsia="en-AU"/>
        </w:rPr>
      </w:pPr>
      <w:r w:rsidRPr="006306B5">
        <w:rPr>
          <w:rFonts w:ascii="Times New Roman" w:eastAsia="Times New Roman" w:hAnsi="Times New Roman" w:cs="Times New Roman"/>
          <w:sz w:val="24"/>
          <w:szCs w:val="24"/>
          <w:lang w:eastAsia="en-AU"/>
        </w:rPr>
        <w:t>Prevalent ideas of “frame narrative” often proceed from a reduced metaphoric conception. When used to describe stories containing other stories, the term evokes the image of the picture frame, a border enclosing items of distinct power. Thus, we speak of Conrad’s narrator in </w:t>
      </w:r>
      <w:r w:rsidRPr="006306B5">
        <w:rPr>
          <w:rFonts w:ascii="Times New Roman" w:eastAsia="Times New Roman" w:hAnsi="Times New Roman" w:cs="Times New Roman"/>
          <w:i/>
          <w:iCs/>
          <w:sz w:val="24"/>
          <w:szCs w:val="24"/>
          <w:lang w:eastAsia="en-AU"/>
        </w:rPr>
        <w:t>Heart of Darkness</w:t>
      </w:r>
      <w:r w:rsidRPr="006306B5">
        <w:rPr>
          <w:rFonts w:ascii="Times New Roman" w:eastAsia="Times New Roman" w:hAnsi="Times New Roman" w:cs="Times New Roman"/>
          <w:sz w:val="24"/>
          <w:szCs w:val="24"/>
          <w:lang w:eastAsia="en-AU"/>
        </w:rPr>
        <w:t> as “framing” Marlow’s tale about his journey toward Kurtz, or of Lockwood’s journal in </w:t>
      </w:r>
      <w:r w:rsidRPr="006306B5">
        <w:rPr>
          <w:rFonts w:ascii="Times New Roman" w:eastAsia="Times New Roman" w:hAnsi="Times New Roman" w:cs="Times New Roman"/>
          <w:i/>
          <w:iCs/>
          <w:sz w:val="24"/>
          <w:szCs w:val="24"/>
          <w:lang w:eastAsia="en-AU"/>
        </w:rPr>
        <w:t>Wuthering Heights</w:t>
      </w:r>
      <w:r w:rsidRPr="006306B5">
        <w:rPr>
          <w:rFonts w:ascii="Times New Roman" w:eastAsia="Times New Roman" w:hAnsi="Times New Roman" w:cs="Times New Roman"/>
          <w:sz w:val="24"/>
          <w:szCs w:val="24"/>
          <w:lang w:eastAsia="en-AU"/>
        </w:rPr>
        <w:t> as the “frame” for Nelly Dean’s account of the Earnshaws and the Lintons. A picture frame serves to ease attention toward the picture, providing separation and transition between outer and inner, the observer’s world and the world contained by the frame.</w:t>
      </w:r>
      <w:hyperlink r:id="rId8" w:anchor="no1" w:tooltip="Mary Ann Caws provides a survey of modern aesthetic frame theory, including the seminal views of Georg Simmel, José Ortega y Gasset, Paul Claudel, and Jacques Derrida, among others (11-21). Caws focus[…]" w:history="1">
        <w:r w:rsidRPr="006306B5">
          <w:rPr>
            <w:rFonts w:ascii="Helvetica" w:eastAsia="Times New Roman" w:hAnsi="Helvetica" w:cs="Helvetica"/>
            <w:color w:val="FF4242"/>
            <w:sz w:val="20"/>
            <w:szCs w:val="20"/>
            <w:lang w:eastAsia="en-AU"/>
          </w:rPr>
          <w:t>[1]</w:t>
        </w:r>
      </w:hyperlink>
      <w:r w:rsidRPr="006306B5">
        <w:rPr>
          <w:rFonts w:ascii="Times New Roman" w:eastAsia="Times New Roman" w:hAnsi="Times New Roman" w:cs="Times New Roman"/>
          <w:sz w:val="24"/>
          <w:szCs w:val="24"/>
          <w:lang w:eastAsia="en-AU"/>
        </w:rPr>
        <w:t> Jonathan Culler sees frames as devices of “naturalization” that bring the essential unfamiliarity of a text “into relation with a type of discourse or model which is already, in some sense, natural and legible” (138). Menakhem Perry conceives a “set of frames” that form “the reading process on the basis of models with which the reader is familiar” (36). The frame narrative metaphor therefore implies that the outermost narrative occupies this marginal space, and that its purpose is both distinctive and transitional: to distinguish our own experience in the world of real things from that represented in the framed narrative, and to move us toward that framed, (hypo)diegetic experience through a narrative space that is neither the reader’s world nor the world of the framed story. As Christine Brooke-Rose has it, “a frame [. . .] concentrates, and so intensifies, all that is explicitly within it, and leaves implicit all that is without” (164).</w:t>
      </w:r>
      <w:hyperlink r:id="rId9" w:anchor="no2" w:tooltip="Closely connected to this view is Darko Suvin’s discussion of " w:history="1">
        <w:r w:rsidRPr="006306B5">
          <w:rPr>
            <w:rFonts w:ascii="Helvetica" w:eastAsia="Times New Roman" w:hAnsi="Helvetica" w:cs="Helvetica"/>
            <w:color w:val="FF4242"/>
            <w:sz w:val="20"/>
            <w:szCs w:val="20"/>
            <w:lang w:eastAsia="en-AU"/>
          </w:rPr>
          <w:t>[2]</w:t>
        </w:r>
      </w:hyperlink>
    </w:p>
    <w:p w14:paraId="5087C153" w14:textId="77777777" w:rsidR="006306B5" w:rsidRPr="006306B5" w:rsidRDefault="006306B5" w:rsidP="006306B5">
      <w:pPr>
        <w:spacing w:after="173" w:line="240" w:lineRule="auto"/>
        <w:rPr>
          <w:rFonts w:ascii="Times New Roman" w:eastAsia="Times New Roman" w:hAnsi="Times New Roman" w:cs="Times New Roman"/>
          <w:sz w:val="24"/>
          <w:szCs w:val="24"/>
          <w:lang w:eastAsia="en-AU"/>
        </w:rPr>
      </w:pPr>
      <w:r w:rsidRPr="006306B5">
        <w:rPr>
          <w:rFonts w:ascii="Times New Roman" w:eastAsia="Times New Roman" w:hAnsi="Times New Roman" w:cs="Times New Roman"/>
          <w:sz w:val="24"/>
          <w:szCs w:val="24"/>
          <w:lang w:eastAsia="en-AU"/>
        </w:rPr>
        <w:t xml:space="preserve">This much is overtly expressed by the picture-frame metaphor, and to this point it seems a plausible descriptive image. But the metaphor does not describe a narrative construct (stories within stories) so much as a reading process in which the reader moves from exterior to interior. In other words, the picture-frame metaphor represents readerly approaches to and departures from the central, hypodiegetic level(s), but it does not clarify the structure of the narrative complex itself: it does not explain the frame’s significant (as opposed to functional) relationship to the narratives it encloses, despite the fact that critical consideration of frame </w:t>
      </w:r>
      <w:r w:rsidRPr="006306B5">
        <w:rPr>
          <w:rFonts w:ascii="Times New Roman" w:eastAsia="Times New Roman" w:hAnsi="Times New Roman" w:cs="Times New Roman"/>
          <w:sz w:val="24"/>
          <w:szCs w:val="24"/>
          <w:lang w:eastAsia="en-AU"/>
        </w:rPr>
        <w:lastRenderedPageBreak/>
        <w:t>narrative consistently assumes that significant relationship. Neither does the metaphor account for the particular representation of the contained and containing narratives. In short, conceiving the frame as a distinguishing, facilitating, or liminal device does not go very far toward clarifying the narrative construct, nor toward explaining the existence of the frames themselves.</w:t>
      </w:r>
    </w:p>
    <w:p w14:paraId="031070F6" w14:textId="77777777" w:rsidR="006306B5" w:rsidRPr="006306B5" w:rsidRDefault="006306B5" w:rsidP="006306B5">
      <w:pPr>
        <w:spacing w:after="0" w:line="240" w:lineRule="auto"/>
        <w:rPr>
          <w:rFonts w:ascii="Times New Roman" w:eastAsia="Times New Roman" w:hAnsi="Times New Roman" w:cs="Times New Roman"/>
          <w:sz w:val="24"/>
          <w:szCs w:val="24"/>
          <w:lang w:eastAsia="en-AU"/>
        </w:rPr>
      </w:pPr>
      <w:r w:rsidRPr="006306B5">
        <w:rPr>
          <w:rFonts w:ascii="Times New Roman" w:eastAsia="Times New Roman" w:hAnsi="Times New Roman" w:cs="Times New Roman"/>
          <w:sz w:val="24"/>
          <w:szCs w:val="24"/>
          <w:lang w:eastAsia="en-AU"/>
        </w:rPr>
        <w:t>We might supply such deficiencies by a different consideration of </w:t>
      </w:r>
      <w:r w:rsidRPr="006306B5">
        <w:rPr>
          <w:rFonts w:ascii="Times New Roman" w:eastAsia="Times New Roman" w:hAnsi="Times New Roman" w:cs="Times New Roman"/>
          <w:i/>
          <w:iCs/>
          <w:sz w:val="24"/>
          <w:szCs w:val="24"/>
          <w:lang w:eastAsia="en-AU"/>
        </w:rPr>
        <w:t>frame narrative</w:t>
      </w:r>
      <w:r w:rsidRPr="006306B5">
        <w:rPr>
          <w:rFonts w:ascii="Times New Roman" w:eastAsia="Times New Roman" w:hAnsi="Times New Roman" w:cs="Times New Roman"/>
          <w:sz w:val="24"/>
          <w:szCs w:val="24"/>
          <w:lang w:eastAsia="en-AU"/>
        </w:rPr>
        <w:t> as a descriptive term. We have thus far been concerned with the “frame” as an external bordering device—a point of entry to and exit from the internal work—but other senses of the term should enter into our thinking about narrative shapes. The </w:t>
      </w:r>
      <w:r w:rsidRPr="006306B5">
        <w:rPr>
          <w:rFonts w:ascii="Times New Roman" w:eastAsia="Times New Roman" w:hAnsi="Times New Roman" w:cs="Times New Roman"/>
          <w:i/>
          <w:iCs/>
          <w:sz w:val="24"/>
          <w:szCs w:val="24"/>
          <w:lang w:eastAsia="en-AU"/>
        </w:rPr>
        <w:t>Oxford English Dictionary</w:t>
      </w:r>
      <w:r w:rsidRPr="006306B5">
        <w:rPr>
          <w:rFonts w:ascii="Times New Roman" w:eastAsia="Times New Roman" w:hAnsi="Times New Roman" w:cs="Times New Roman"/>
          <w:sz w:val="24"/>
          <w:szCs w:val="24"/>
          <w:lang w:eastAsia="en-AU"/>
        </w:rPr>
        <w:t> (version 3.0) offers no fewer than twenty-six significations of the word “frame,” and the </w:t>
      </w:r>
      <w:r w:rsidRPr="006306B5">
        <w:rPr>
          <w:rFonts w:ascii="Times New Roman" w:eastAsia="Times New Roman" w:hAnsi="Times New Roman" w:cs="Times New Roman"/>
          <w:i/>
          <w:iCs/>
          <w:sz w:val="24"/>
          <w:szCs w:val="24"/>
          <w:lang w:eastAsia="en-AU"/>
        </w:rPr>
        <w:t>American Heritage Dictionary</w:t>
      </w:r>
      <w:r w:rsidRPr="006306B5">
        <w:rPr>
          <w:rFonts w:ascii="Times New Roman" w:eastAsia="Times New Roman" w:hAnsi="Times New Roman" w:cs="Times New Roman"/>
          <w:sz w:val="24"/>
          <w:szCs w:val="24"/>
          <w:lang w:eastAsia="en-AU"/>
        </w:rPr>
        <w:t> (fourth edition) lists sixteen. After some careful pruning and grouping, we might arrive at these major senses:</w:t>
      </w:r>
    </w:p>
    <w:p w14:paraId="28CA3EBF" w14:textId="77777777" w:rsidR="006306B5" w:rsidRPr="006306B5" w:rsidRDefault="006306B5" w:rsidP="006306B5">
      <w:pPr>
        <w:numPr>
          <w:ilvl w:val="0"/>
          <w:numId w:val="1"/>
        </w:numPr>
        <w:spacing w:after="0" w:line="240" w:lineRule="auto"/>
        <w:ind w:left="1512"/>
        <w:rPr>
          <w:rFonts w:ascii="Times New Roman" w:eastAsia="Times New Roman" w:hAnsi="Times New Roman" w:cs="Times New Roman"/>
          <w:sz w:val="24"/>
          <w:szCs w:val="24"/>
          <w:lang w:eastAsia="en-AU"/>
        </w:rPr>
      </w:pPr>
      <w:r w:rsidRPr="006306B5">
        <w:rPr>
          <w:rFonts w:ascii="Times New Roman" w:eastAsia="Times New Roman" w:hAnsi="Times New Roman" w:cs="Times New Roman"/>
          <w:i/>
          <w:iCs/>
          <w:sz w:val="24"/>
          <w:szCs w:val="24"/>
          <w:lang w:eastAsia="en-AU"/>
        </w:rPr>
        <w:t>Frame as border</w:t>
      </w:r>
      <w:r w:rsidRPr="006306B5">
        <w:rPr>
          <w:rFonts w:ascii="Times New Roman" w:eastAsia="Times New Roman" w:hAnsi="Times New Roman" w:cs="Times New Roman"/>
          <w:sz w:val="24"/>
          <w:szCs w:val="24"/>
          <w:lang w:eastAsia="en-AU"/>
        </w:rPr>
        <w:t>: (</w:t>
      </w:r>
      <w:r w:rsidRPr="006306B5">
        <w:rPr>
          <w:rFonts w:ascii="Times New Roman" w:eastAsia="Times New Roman" w:hAnsi="Times New Roman" w:cs="Times New Roman"/>
          <w:i/>
          <w:iCs/>
          <w:sz w:val="24"/>
          <w:szCs w:val="24"/>
          <w:lang w:eastAsia="en-AU"/>
        </w:rPr>
        <w:t>verb</w:t>
      </w:r>
      <w:r w:rsidRPr="006306B5">
        <w:rPr>
          <w:rFonts w:ascii="Times New Roman" w:eastAsia="Times New Roman" w:hAnsi="Times New Roman" w:cs="Times New Roman"/>
          <w:sz w:val="24"/>
          <w:szCs w:val="24"/>
          <w:lang w:eastAsia="en-AU"/>
        </w:rPr>
        <w:t>) to enclose, encircle, or edge; </w:t>
      </w:r>
      <w:r w:rsidRPr="006306B5">
        <w:rPr>
          <w:rFonts w:ascii="Times New Roman" w:eastAsia="Times New Roman" w:hAnsi="Times New Roman" w:cs="Times New Roman"/>
          <w:i/>
          <w:iCs/>
          <w:sz w:val="24"/>
          <w:szCs w:val="24"/>
          <w:lang w:eastAsia="en-AU"/>
        </w:rPr>
        <w:t>or</w:t>
      </w:r>
      <w:r w:rsidRPr="006306B5">
        <w:rPr>
          <w:rFonts w:ascii="Times New Roman" w:eastAsia="Times New Roman" w:hAnsi="Times New Roman" w:cs="Times New Roman"/>
          <w:sz w:val="24"/>
          <w:szCs w:val="24"/>
          <w:lang w:eastAsia="en-AU"/>
        </w:rPr>
        <w:t>, (</w:t>
      </w:r>
      <w:r w:rsidRPr="006306B5">
        <w:rPr>
          <w:rFonts w:ascii="Times New Roman" w:eastAsia="Times New Roman" w:hAnsi="Times New Roman" w:cs="Times New Roman"/>
          <w:i/>
          <w:iCs/>
          <w:sz w:val="24"/>
          <w:szCs w:val="24"/>
          <w:lang w:eastAsia="en-AU"/>
        </w:rPr>
        <w:t>noun</w:t>
      </w:r>
      <w:r w:rsidRPr="006306B5">
        <w:rPr>
          <w:rFonts w:ascii="Times New Roman" w:eastAsia="Times New Roman" w:hAnsi="Times New Roman" w:cs="Times New Roman"/>
          <w:sz w:val="24"/>
          <w:szCs w:val="24"/>
          <w:lang w:eastAsia="en-AU"/>
        </w:rPr>
        <w:t>) an object which contains, sets off, or emphasizes another object.</w:t>
      </w:r>
    </w:p>
    <w:p w14:paraId="71D5F3C3" w14:textId="77777777" w:rsidR="006306B5" w:rsidRPr="006306B5" w:rsidRDefault="006306B5" w:rsidP="006306B5">
      <w:pPr>
        <w:numPr>
          <w:ilvl w:val="0"/>
          <w:numId w:val="1"/>
        </w:numPr>
        <w:spacing w:after="0" w:line="240" w:lineRule="auto"/>
        <w:ind w:left="1512"/>
        <w:rPr>
          <w:rFonts w:ascii="Times New Roman" w:eastAsia="Times New Roman" w:hAnsi="Times New Roman" w:cs="Times New Roman"/>
          <w:sz w:val="24"/>
          <w:szCs w:val="24"/>
          <w:lang w:eastAsia="en-AU"/>
        </w:rPr>
      </w:pPr>
      <w:r w:rsidRPr="006306B5">
        <w:rPr>
          <w:rFonts w:ascii="Times New Roman" w:eastAsia="Times New Roman" w:hAnsi="Times New Roman" w:cs="Times New Roman"/>
          <w:i/>
          <w:iCs/>
          <w:sz w:val="24"/>
          <w:szCs w:val="24"/>
          <w:lang w:eastAsia="en-AU"/>
        </w:rPr>
        <w:t>Frame as creation</w:t>
      </w:r>
      <w:r w:rsidRPr="006306B5">
        <w:rPr>
          <w:rFonts w:ascii="Times New Roman" w:eastAsia="Times New Roman" w:hAnsi="Times New Roman" w:cs="Times New Roman"/>
          <w:sz w:val="24"/>
          <w:szCs w:val="24"/>
          <w:lang w:eastAsia="en-AU"/>
        </w:rPr>
        <w:t>: (</w:t>
      </w:r>
      <w:r w:rsidRPr="006306B5">
        <w:rPr>
          <w:rFonts w:ascii="Times New Roman" w:eastAsia="Times New Roman" w:hAnsi="Times New Roman" w:cs="Times New Roman"/>
          <w:i/>
          <w:iCs/>
          <w:sz w:val="24"/>
          <w:szCs w:val="24"/>
          <w:lang w:eastAsia="en-AU"/>
        </w:rPr>
        <w:t>verb</w:t>
      </w:r>
      <w:r w:rsidRPr="006306B5">
        <w:rPr>
          <w:rFonts w:ascii="Times New Roman" w:eastAsia="Times New Roman" w:hAnsi="Times New Roman" w:cs="Times New Roman"/>
          <w:sz w:val="24"/>
          <w:szCs w:val="24"/>
          <w:lang w:eastAsia="en-AU"/>
        </w:rPr>
        <w:t>) to construct from parts, to arrange or adjust, to compose; </w:t>
      </w:r>
      <w:r w:rsidRPr="006306B5">
        <w:rPr>
          <w:rFonts w:ascii="Times New Roman" w:eastAsia="Times New Roman" w:hAnsi="Times New Roman" w:cs="Times New Roman"/>
          <w:i/>
          <w:iCs/>
          <w:sz w:val="24"/>
          <w:szCs w:val="24"/>
          <w:lang w:eastAsia="en-AU"/>
        </w:rPr>
        <w:t>or</w:t>
      </w:r>
      <w:r w:rsidRPr="006306B5">
        <w:rPr>
          <w:rFonts w:ascii="Times New Roman" w:eastAsia="Times New Roman" w:hAnsi="Times New Roman" w:cs="Times New Roman"/>
          <w:sz w:val="24"/>
          <w:szCs w:val="24"/>
          <w:lang w:eastAsia="en-AU"/>
        </w:rPr>
        <w:t>, (</w:t>
      </w:r>
      <w:r w:rsidRPr="006306B5">
        <w:rPr>
          <w:rFonts w:ascii="Times New Roman" w:eastAsia="Times New Roman" w:hAnsi="Times New Roman" w:cs="Times New Roman"/>
          <w:i/>
          <w:iCs/>
          <w:sz w:val="24"/>
          <w:szCs w:val="24"/>
          <w:lang w:eastAsia="en-AU"/>
        </w:rPr>
        <w:t>noun</w:t>
      </w:r>
      <w:r w:rsidRPr="006306B5">
        <w:rPr>
          <w:rFonts w:ascii="Times New Roman" w:eastAsia="Times New Roman" w:hAnsi="Times New Roman" w:cs="Times New Roman"/>
          <w:sz w:val="24"/>
          <w:szCs w:val="24"/>
          <w:lang w:eastAsia="en-AU"/>
        </w:rPr>
        <w:t>) something composed from parts; a structure.</w:t>
      </w:r>
    </w:p>
    <w:p w14:paraId="37F57088" w14:textId="77777777" w:rsidR="006306B5" w:rsidRPr="006306B5" w:rsidRDefault="006306B5" w:rsidP="006306B5">
      <w:pPr>
        <w:numPr>
          <w:ilvl w:val="0"/>
          <w:numId w:val="1"/>
        </w:numPr>
        <w:spacing w:after="0" w:line="240" w:lineRule="auto"/>
        <w:ind w:left="1512"/>
        <w:rPr>
          <w:rFonts w:ascii="Times New Roman" w:eastAsia="Times New Roman" w:hAnsi="Times New Roman" w:cs="Times New Roman"/>
          <w:sz w:val="24"/>
          <w:szCs w:val="24"/>
          <w:lang w:eastAsia="en-AU"/>
        </w:rPr>
      </w:pPr>
      <w:r w:rsidRPr="006306B5">
        <w:rPr>
          <w:rFonts w:ascii="Times New Roman" w:eastAsia="Times New Roman" w:hAnsi="Times New Roman" w:cs="Times New Roman"/>
          <w:i/>
          <w:iCs/>
          <w:sz w:val="24"/>
          <w:szCs w:val="24"/>
          <w:lang w:eastAsia="en-AU"/>
        </w:rPr>
        <w:t>Frame of reference</w:t>
      </w:r>
      <w:r w:rsidRPr="006306B5">
        <w:rPr>
          <w:rFonts w:ascii="Times New Roman" w:eastAsia="Times New Roman" w:hAnsi="Times New Roman" w:cs="Times New Roman"/>
          <w:sz w:val="24"/>
          <w:szCs w:val="24"/>
          <w:lang w:eastAsia="en-AU"/>
        </w:rPr>
        <w:t> or </w:t>
      </w:r>
      <w:r w:rsidRPr="006306B5">
        <w:rPr>
          <w:rFonts w:ascii="Times New Roman" w:eastAsia="Times New Roman" w:hAnsi="Times New Roman" w:cs="Times New Roman"/>
          <w:i/>
          <w:iCs/>
          <w:sz w:val="24"/>
          <w:szCs w:val="24"/>
          <w:lang w:eastAsia="en-AU"/>
        </w:rPr>
        <w:t>frame of mind</w:t>
      </w:r>
      <w:r w:rsidRPr="006306B5">
        <w:rPr>
          <w:rFonts w:ascii="Times New Roman" w:eastAsia="Times New Roman" w:hAnsi="Times New Roman" w:cs="Times New Roman"/>
          <w:sz w:val="24"/>
          <w:szCs w:val="24"/>
          <w:lang w:eastAsia="en-AU"/>
        </w:rPr>
        <w:t>: (</w:t>
      </w:r>
      <w:r w:rsidRPr="006306B5">
        <w:rPr>
          <w:rFonts w:ascii="Times New Roman" w:eastAsia="Times New Roman" w:hAnsi="Times New Roman" w:cs="Times New Roman"/>
          <w:i/>
          <w:iCs/>
          <w:sz w:val="24"/>
          <w:szCs w:val="24"/>
          <w:lang w:eastAsia="en-AU"/>
        </w:rPr>
        <w:t>noun</w:t>
      </w:r>
      <w:r w:rsidRPr="006306B5">
        <w:rPr>
          <w:rFonts w:ascii="Times New Roman" w:eastAsia="Times New Roman" w:hAnsi="Times New Roman" w:cs="Times New Roman"/>
          <w:sz w:val="24"/>
          <w:szCs w:val="24"/>
          <w:lang w:eastAsia="en-AU"/>
        </w:rPr>
        <w:t>) a set or system of ideas and attitudes, in terms of which other ideas, situations and attitudes are interpreted or assigned meaning.</w:t>
      </w:r>
    </w:p>
    <w:p w14:paraId="5DEAF270" w14:textId="77777777" w:rsidR="006306B5" w:rsidRPr="006306B5" w:rsidRDefault="006306B5" w:rsidP="006306B5">
      <w:pPr>
        <w:numPr>
          <w:ilvl w:val="0"/>
          <w:numId w:val="1"/>
        </w:numPr>
        <w:spacing w:after="0" w:line="240" w:lineRule="auto"/>
        <w:ind w:left="1512"/>
        <w:rPr>
          <w:rFonts w:ascii="Times New Roman" w:eastAsia="Times New Roman" w:hAnsi="Times New Roman" w:cs="Times New Roman"/>
          <w:sz w:val="24"/>
          <w:szCs w:val="24"/>
          <w:lang w:eastAsia="en-AU"/>
        </w:rPr>
      </w:pPr>
      <w:r w:rsidRPr="006306B5">
        <w:rPr>
          <w:rFonts w:ascii="Times New Roman" w:eastAsia="Times New Roman" w:hAnsi="Times New Roman" w:cs="Times New Roman"/>
          <w:i/>
          <w:iCs/>
          <w:sz w:val="24"/>
          <w:szCs w:val="24"/>
          <w:lang w:eastAsia="en-AU"/>
        </w:rPr>
        <w:t>Frame-work</w:t>
      </w:r>
      <w:r w:rsidRPr="006306B5">
        <w:rPr>
          <w:rFonts w:ascii="Times New Roman" w:eastAsia="Times New Roman" w:hAnsi="Times New Roman" w:cs="Times New Roman"/>
          <w:sz w:val="24"/>
          <w:szCs w:val="24"/>
          <w:lang w:eastAsia="en-AU"/>
        </w:rPr>
        <w:t>: (</w:t>
      </w:r>
      <w:r w:rsidRPr="006306B5">
        <w:rPr>
          <w:rFonts w:ascii="Times New Roman" w:eastAsia="Times New Roman" w:hAnsi="Times New Roman" w:cs="Times New Roman"/>
          <w:i/>
          <w:iCs/>
          <w:sz w:val="24"/>
          <w:szCs w:val="24"/>
          <w:lang w:eastAsia="en-AU"/>
        </w:rPr>
        <w:t>noun</w:t>
      </w:r>
      <w:r w:rsidRPr="006306B5">
        <w:rPr>
          <w:rFonts w:ascii="Times New Roman" w:eastAsia="Times New Roman" w:hAnsi="Times New Roman" w:cs="Times New Roman"/>
          <w:sz w:val="24"/>
          <w:szCs w:val="24"/>
          <w:lang w:eastAsia="en-AU"/>
        </w:rPr>
        <w:t>) a supporting or defining structure, as a skeletal support, arrangement, form, or system; a design.</w:t>
      </w:r>
      <w:hyperlink r:id="rId10" w:anchor="no3" w:tooltip="My approach to definition is modeled on Peter Brooks’s discussion of the equally rich term " w:history="1">
        <w:r w:rsidRPr="006306B5">
          <w:rPr>
            <w:rFonts w:ascii="Helvetica" w:eastAsia="Times New Roman" w:hAnsi="Helvetica" w:cs="Helvetica"/>
            <w:color w:val="FF4242"/>
            <w:sz w:val="20"/>
            <w:szCs w:val="20"/>
            <w:lang w:eastAsia="en-AU"/>
          </w:rPr>
          <w:t>[3]</w:t>
        </w:r>
      </w:hyperlink>
    </w:p>
    <w:p w14:paraId="19639525" w14:textId="77777777" w:rsidR="006306B5" w:rsidRPr="006306B5" w:rsidRDefault="006306B5" w:rsidP="006306B5">
      <w:pPr>
        <w:spacing w:after="0" w:line="240" w:lineRule="auto"/>
        <w:rPr>
          <w:rFonts w:ascii="Times New Roman" w:eastAsia="Times New Roman" w:hAnsi="Times New Roman" w:cs="Times New Roman"/>
          <w:sz w:val="24"/>
          <w:szCs w:val="24"/>
          <w:lang w:eastAsia="en-AU"/>
        </w:rPr>
      </w:pPr>
      <w:r w:rsidRPr="006306B5">
        <w:rPr>
          <w:rFonts w:ascii="Times New Roman" w:eastAsia="Times New Roman" w:hAnsi="Times New Roman" w:cs="Times New Roman"/>
          <w:sz w:val="24"/>
          <w:szCs w:val="24"/>
          <w:lang w:eastAsia="en-AU"/>
        </w:rPr>
        <w:t>The last two senses propose a striking contrast to the image of the bordering picture frame and provide tools for discovering an etiology of framed and framing narratives. In these senses a frame may be an internal, cognitive structure, a “frame-work” of narrative shaping meaning from systems of signifying references. The inner frame-work is the shaping core upon which outer forms are hung or built—not an external, bordering picture frame, but an internal, shaping skeletal frame; I borrow the metaphor not from painting, but from architecture.</w:t>
      </w:r>
      <w:hyperlink r:id="rId11" w:anchor="no4" w:tooltip="This is a metaphoric description of some points made by Marvin Minsky about " w:history="1">
        <w:r w:rsidRPr="006306B5">
          <w:rPr>
            <w:rFonts w:ascii="Helvetica" w:eastAsia="Times New Roman" w:hAnsi="Helvetica" w:cs="Helvetica"/>
            <w:color w:val="FF4242"/>
            <w:sz w:val="20"/>
            <w:szCs w:val="20"/>
            <w:lang w:eastAsia="en-AU"/>
          </w:rPr>
          <w:t>[4]</w:t>
        </w:r>
      </w:hyperlink>
      <w:r w:rsidRPr="006306B5">
        <w:rPr>
          <w:rFonts w:ascii="Times New Roman" w:eastAsia="Times New Roman" w:hAnsi="Times New Roman" w:cs="Times New Roman"/>
          <w:sz w:val="24"/>
          <w:szCs w:val="24"/>
          <w:lang w:eastAsia="en-AU"/>
        </w:rPr>
        <w:t> The frame-work metaphor re-orders our common conception of the literary work’s diegetic levels. Here we begin at the inner-most level and conceive each narrative layer not as a distinguishing or liminal device—not as a container or delimiter of what is within—but as a determining matrix, creating and giving form to what is without. The frame-work is the Jamesian “figure in the carpet,” re-orienting critical conception from the path of the reader’s approach (external toward internal) to the direction of the artist’s fundamental shaping vision (internal toward external).</w:t>
      </w:r>
      <w:hyperlink r:id="rId12" w:anchor="no5" w:tooltip="I refer, of course, to Henry James's 1896 tale &quot;The Figure in the Carpet.&quot;" w:history="1">
        <w:r w:rsidRPr="006306B5">
          <w:rPr>
            <w:rFonts w:ascii="Helvetica" w:eastAsia="Times New Roman" w:hAnsi="Helvetica" w:cs="Helvetica"/>
            <w:color w:val="FF4242"/>
            <w:sz w:val="20"/>
            <w:szCs w:val="20"/>
            <w:lang w:eastAsia="en-AU"/>
          </w:rPr>
          <w:t>[5]</w:t>
        </w:r>
      </w:hyperlink>
      <w:r w:rsidRPr="006306B5">
        <w:rPr>
          <w:rFonts w:ascii="Times New Roman" w:eastAsia="Times New Roman" w:hAnsi="Times New Roman" w:cs="Times New Roman"/>
          <w:sz w:val="24"/>
          <w:szCs w:val="24"/>
          <w:lang w:eastAsia="en-AU"/>
        </w:rPr>
        <w:t> The picture-frame image describes preliminary experience, how we first “come at” and “move off from” the work, proceeding toward and away from its essential matter.</w:t>
      </w:r>
      <w:hyperlink r:id="rId13" w:anchor="no6" w:tooltip="For a fuller discussion of this inwardly-directed reading process, see Gerrig." w:history="1">
        <w:r w:rsidRPr="006306B5">
          <w:rPr>
            <w:rFonts w:ascii="Helvetica" w:eastAsia="Times New Roman" w:hAnsi="Helvetica" w:cs="Helvetica"/>
            <w:color w:val="FF4242"/>
            <w:sz w:val="20"/>
            <w:szCs w:val="20"/>
            <w:lang w:eastAsia="en-AU"/>
          </w:rPr>
          <w:t>[6]</w:t>
        </w:r>
      </w:hyperlink>
      <w:r w:rsidRPr="006306B5">
        <w:rPr>
          <w:rFonts w:ascii="Times New Roman" w:eastAsia="Times New Roman" w:hAnsi="Times New Roman" w:cs="Times New Roman"/>
          <w:sz w:val="24"/>
          <w:szCs w:val="24"/>
          <w:lang w:eastAsia="en-AU"/>
        </w:rPr>
        <w:t> The frame-work metaphor adds a more considered experience, describing the core of significant structure straining outward and reshaping itself toward the perceiver.</w:t>
      </w:r>
    </w:p>
    <w:p w14:paraId="1C5D79D8" w14:textId="77777777" w:rsidR="006306B5" w:rsidRPr="006306B5" w:rsidRDefault="006306B5" w:rsidP="006306B5">
      <w:pPr>
        <w:spacing w:after="0" w:line="240" w:lineRule="auto"/>
        <w:rPr>
          <w:rFonts w:ascii="Times New Roman" w:eastAsia="Times New Roman" w:hAnsi="Times New Roman" w:cs="Times New Roman"/>
          <w:sz w:val="24"/>
          <w:szCs w:val="24"/>
          <w:lang w:eastAsia="en-AU"/>
        </w:rPr>
      </w:pPr>
      <w:r w:rsidRPr="006306B5">
        <w:rPr>
          <w:rFonts w:ascii="Times New Roman" w:eastAsia="Times New Roman" w:hAnsi="Times New Roman" w:cs="Times New Roman"/>
          <w:sz w:val="24"/>
          <w:szCs w:val="24"/>
          <w:lang w:eastAsia="en-AU"/>
        </w:rPr>
        <w:t>But of what does that determining core consist, and how does its straining outward shape narrative? I will consider these questions, particularly the latter, by examining frame narrative in Mary Shelley’s </w:t>
      </w:r>
      <w:r w:rsidRPr="006306B5">
        <w:rPr>
          <w:rFonts w:ascii="Times New Roman" w:eastAsia="Times New Roman" w:hAnsi="Times New Roman" w:cs="Times New Roman"/>
          <w:i/>
          <w:iCs/>
          <w:sz w:val="24"/>
          <w:szCs w:val="24"/>
          <w:lang w:eastAsia="en-AU"/>
        </w:rPr>
        <w:t>Frankenstein</w:t>
      </w:r>
      <w:r w:rsidRPr="006306B5">
        <w:rPr>
          <w:rFonts w:ascii="Times New Roman" w:eastAsia="Times New Roman" w:hAnsi="Times New Roman" w:cs="Times New Roman"/>
          <w:sz w:val="24"/>
          <w:szCs w:val="24"/>
          <w:lang w:eastAsia="en-AU"/>
        </w:rPr>
        <w:t> (1818; 1831), an especially concentric narrative with an unusually focused and influential core: Milton’s </w:t>
      </w:r>
      <w:r w:rsidRPr="006306B5">
        <w:rPr>
          <w:rFonts w:ascii="Times New Roman" w:eastAsia="Times New Roman" w:hAnsi="Times New Roman" w:cs="Times New Roman"/>
          <w:i/>
          <w:iCs/>
          <w:sz w:val="24"/>
          <w:szCs w:val="24"/>
          <w:lang w:eastAsia="en-AU"/>
        </w:rPr>
        <w:t>Paradise Lost</w:t>
      </w:r>
      <w:r w:rsidRPr="006306B5">
        <w:rPr>
          <w:rFonts w:ascii="Times New Roman" w:eastAsia="Times New Roman" w:hAnsi="Times New Roman" w:cs="Times New Roman"/>
          <w:sz w:val="24"/>
          <w:szCs w:val="24"/>
          <w:lang w:eastAsia="en-AU"/>
        </w:rPr>
        <w:t>. I will try to show that Milton’s epic acts as the central, enabling, and shaping text for the narrative process of </w:t>
      </w:r>
      <w:r w:rsidRPr="006306B5">
        <w:rPr>
          <w:rFonts w:ascii="Times New Roman" w:eastAsia="Times New Roman" w:hAnsi="Times New Roman" w:cs="Times New Roman"/>
          <w:i/>
          <w:iCs/>
          <w:sz w:val="24"/>
          <w:szCs w:val="24"/>
          <w:lang w:eastAsia="en-AU"/>
        </w:rPr>
        <w:t>Frankenstein</w:t>
      </w:r>
      <w:r w:rsidRPr="006306B5">
        <w:rPr>
          <w:rFonts w:ascii="Times New Roman" w:eastAsia="Times New Roman" w:hAnsi="Times New Roman" w:cs="Times New Roman"/>
          <w:sz w:val="24"/>
          <w:szCs w:val="24"/>
          <w:lang w:eastAsia="en-AU"/>
        </w:rPr>
        <w:t>. This is to say more than that </w:t>
      </w:r>
      <w:r w:rsidRPr="006306B5">
        <w:rPr>
          <w:rFonts w:ascii="Times New Roman" w:eastAsia="Times New Roman" w:hAnsi="Times New Roman" w:cs="Times New Roman"/>
          <w:i/>
          <w:iCs/>
          <w:sz w:val="24"/>
          <w:szCs w:val="24"/>
          <w:lang w:eastAsia="en-AU"/>
        </w:rPr>
        <w:t>Paradise Lost</w:t>
      </w:r>
      <w:r w:rsidRPr="006306B5">
        <w:rPr>
          <w:rFonts w:ascii="Times New Roman" w:eastAsia="Times New Roman" w:hAnsi="Times New Roman" w:cs="Times New Roman"/>
          <w:sz w:val="24"/>
          <w:szCs w:val="24"/>
          <w:lang w:eastAsia="en-AU"/>
        </w:rPr>
        <w:t> is a constant source of Shelley’s allusion and imagery, or that Shelley re-enacts fundamental Miltonic themes of creation, duty, prohibition, and transgression; these points seem plain, and we need only consult Shelley’s epigraph for evidence of thematic connection.</w:t>
      </w:r>
      <w:hyperlink r:id="rId14" w:anchor="no7" w:tooltip="The epigraph reads, " w:history="1">
        <w:r w:rsidRPr="006306B5">
          <w:rPr>
            <w:rFonts w:ascii="Helvetica" w:eastAsia="Times New Roman" w:hAnsi="Helvetica" w:cs="Helvetica"/>
            <w:color w:val="FF4242"/>
            <w:sz w:val="20"/>
            <w:szCs w:val="20"/>
            <w:lang w:eastAsia="en-AU"/>
          </w:rPr>
          <w:t>[7]</w:t>
        </w:r>
      </w:hyperlink>
      <w:r w:rsidRPr="006306B5">
        <w:rPr>
          <w:rFonts w:ascii="Times New Roman" w:eastAsia="Times New Roman" w:hAnsi="Times New Roman" w:cs="Times New Roman"/>
          <w:sz w:val="24"/>
          <w:szCs w:val="24"/>
          <w:lang w:eastAsia="en-AU"/>
        </w:rPr>
        <w:t> Rather, I want to suggest that while </w:t>
      </w:r>
      <w:r w:rsidRPr="006306B5">
        <w:rPr>
          <w:rFonts w:ascii="Times New Roman" w:eastAsia="Times New Roman" w:hAnsi="Times New Roman" w:cs="Times New Roman"/>
          <w:i/>
          <w:iCs/>
          <w:sz w:val="24"/>
          <w:szCs w:val="24"/>
          <w:lang w:eastAsia="en-AU"/>
        </w:rPr>
        <w:t>Paradise Lost</w:t>
      </w:r>
      <w:r w:rsidRPr="006306B5">
        <w:rPr>
          <w:rFonts w:ascii="Times New Roman" w:eastAsia="Times New Roman" w:hAnsi="Times New Roman" w:cs="Times New Roman"/>
          <w:sz w:val="24"/>
          <w:szCs w:val="24"/>
          <w:lang w:eastAsia="en-AU"/>
        </w:rPr>
        <w:t> is certainly a powerful </w:t>
      </w:r>
      <w:r w:rsidRPr="006306B5">
        <w:rPr>
          <w:rFonts w:ascii="Times New Roman" w:eastAsia="Times New Roman" w:hAnsi="Times New Roman" w:cs="Times New Roman"/>
          <w:i/>
          <w:iCs/>
          <w:sz w:val="24"/>
          <w:szCs w:val="24"/>
          <w:lang w:eastAsia="en-AU"/>
        </w:rPr>
        <w:t>external</w:t>
      </w:r>
      <w:r w:rsidRPr="006306B5">
        <w:rPr>
          <w:rFonts w:ascii="Times New Roman" w:eastAsia="Times New Roman" w:hAnsi="Times New Roman" w:cs="Times New Roman"/>
          <w:sz w:val="24"/>
          <w:szCs w:val="24"/>
          <w:lang w:eastAsia="en-AU"/>
        </w:rPr>
        <w:t> influence on Shelley’s formulation and our reading of </w:t>
      </w:r>
      <w:r w:rsidRPr="006306B5">
        <w:rPr>
          <w:rFonts w:ascii="Times New Roman" w:eastAsia="Times New Roman" w:hAnsi="Times New Roman" w:cs="Times New Roman"/>
          <w:i/>
          <w:iCs/>
          <w:sz w:val="24"/>
          <w:szCs w:val="24"/>
          <w:lang w:eastAsia="en-AU"/>
        </w:rPr>
        <w:t>Frankenstein</w:t>
      </w:r>
      <w:r w:rsidRPr="006306B5">
        <w:rPr>
          <w:rFonts w:ascii="Times New Roman" w:eastAsia="Times New Roman" w:hAnsi="Times New Roman" w:cs="Times New Roman"/>
          <w:sz w:val="24"/>
          <w:szCs w:val="24"/>
          <w:lang w:eastAsia="en-AU"/>
        </w:rPr>
        <w:t>, it is also situated as a catalytic influence on the </w:t>
      </w:r>
      <w:r w:rsidRPr="006306B5">
        <w:rPr>
          <w:rFonts w:ascii="Times New Roman" w:eastAsia="Times New Roman" w:hAnsi="Times New Roman" w:cs="Times New Roman"/>
          <w:i/>
          <w:iCs/>
          <w:sz w:val="24"/>
          <w:szCs w:val="24"/>
          <w:lang w:eastAsia="en-AU"/>
        </w:rPr>
        <w:t>internal</w:t>
      </w:r>
      <w:r w:rsidRPr="006306B5">
        <w:rPr>
          <w:rFonts w:ascii="Times New Roman" w:eastAsia="Times New Roman" w:hAnsi="Times New Roman" w:cs="Times New Roman"/>
          <w:sz w:val="24"/>
          <w:szCs w:val="24"/>
          <w:lang w:eastAsia="en-AU"/>
        </w:rPr>
        <w:t xml:space="preserve"> world of </w:t>
      </w:r>
      <w:r w:rsidRPr="006306B5">
        <w:rPr>
          <w:rFonts w:ascii="Times New Roman" w:eastAsia="Times New Roman" w:hAnsi="Times New Roman" w:cs="Times New Roman"/>
          <w:sz w:val="24"/>
          <w:szCs w:val="24"/>
          <w:lang w:eastAsia="en-AU"/>
        </w:rPr>
        <w:lastRenderedPageBreak/>
        <w:t>the tale, as that tale determines and shapes itself through a series of enabling and activating narratives. In short, </w:t>
      </w:r>
      <w:r w:rsidRPr="006306B5">
        <w:rPr>
          <w:rFonts w:ascii="Times New Roman" w:eastAsia="Times New Roman" w:hAnsi="Times New Roman" w:cs="Times New Roman"/>
          <w:i/>
          <w:iCs/>
          <w:sz w:val="24"/>
          <w:szCs w:val="24"/>
          <w:lang w:eastAsia="en-AU"/>
        </w:rPr>
        <w:t>Paradise Lost</w:t>
      </w:r>
      <w:r w:rsidRPr="006306B5">
        <w:rPr>
          <w:rFonts w:ascii="Times New Roman" w:eastAsia="Times New Roman" w:hAnsi="Times New Roman" w:cs="Times New Roman"/>
          <w:sz w:val="24"/>
          <w:szCs w:val="24"/>
          <w:lang w:eastAsia="en-AU"/>
        </w:rPr>
        <w:t> is the matrix (or “frame-work”) upon which Shelley builds (or “frames”) the characters, motivations, actions, and readings of </w:t>
      </w:r>
      <w:r w:rsidRPr="006306B5">
        <w:rPr>
          <w:rFonts w:ascii="Times New Roman" w:eastAsia="Times New Roman" w:hAnsi="Times New Roman" w:cs="Times New Roman"/>
          <w:i/>
          <w:iCs/>
          <w:sz w:val="24"/>
          <w:szCs w:val="24"/>
          <w:lang w:eastAsia="en-AU"/>
        </w:rPr>
        <w:t>Frankenstein</w:t>
      </w:r>
      <w:r w:rsidRPr="006306B5">
        <w:rPr>
          <w:rFonts w:ascii="Times New Roman" w:eastAsia="Times New Roman" w:hAnsi="Times New Roman" w:cs="Times New Roman"/>
          <w:sz w:val="24"/>
          <w:szCs w:val="24"/>
          <w:lang w:eastAsia="en-AU"/>
        </w:rPr>
        <w:t> (its “frames of reference”) and which enables the concentric structure (or “framing”) of the narratives. In order to describe this structure I will first discuss the general architecture of frame sequences in </w:t>
      </w:r>
      <w:r w:rsidRPr="006306B5">
        <w:rPr>
          <w:rFonts w:ascii="Times New Roman" w:eastAsia="Times New Roman" w:hAnsi="Times New Roman" w:cs="Times New Roman"/>
          <w:i/>
          <w:iCs/>
          <w:sz w:val="24"/>
          <w:szCs w:val="24"/>
          <w:lang w:eastAsia="en-AU"/>
        </w:rPr>
        <w:t>Frankenstein</w:t>
      </w:r>
      <w:r w:rsidRPr="006306B5">
        <w:rPr>
          <w:rFonts w:ascii="Times New Roman" w:eastAsia="Times New Roman" w:hAnsi="Times New Roman" w:cs="Times New Roman"/>
          <w:sz w:val="24"/>
          <w:szCs w:val="24"/>
          <w:lang w:eastAsia="en-AU"/>
        </w:rPr>
        <w:t>, and then examine the narrative frame sequence in particular.</w:t>
      </w:r>
    </w:p>
    <w:p w14:paraId="49181F4C" w14:textId="77777777" w:rsidR="006306B5" w:rsidRPr="006306B5" w:rsidRDefault="006306B5" w:rsidP="006306B5">
      <w:pPr>
        <w:spacing w:before="360" w:after="120" w:line="240" w:lineRule="auto"/>
        <w:jc w:val="center"/>
        <w:outlineLvl w:val="1"/>
        <w:rPr>
          <w:rFonts w:ascii="Times New Roman" w:eastAsia="Times New Roman" w:hAnsi="Times New Roman" w:cs="Times New Roman"/>
          <w:b/>
          <w:bCs/>
          <w:color w:val="FF4242"/>
          <w:sz w:val="47"/>
          <w:szCs w:val="47"/>
          <w:lang w:eastAsia="en-AU"/>
        </w:rPr>
      </w:pPr>
      <w:r w:rsidRPr="006306B5">
        <w:rPr>
          <w:rFonts w:ascii="Times New Roman" w:eastAsia="Times New Roman" w:hAnsi="Times New Roman" w:cs="Times New Roman"/>
          <w:b/>
          <w:bCs/>
          <w:color w:val="FF4242"/>
          <w:sz w:val="47"/>
          <w:szCs w:val="47"/>
          <w:lang w:eastAsia="en-AU"/>
        </w:rPr>
        <w:t>II</w:t>
      </w:r>
    </w:p>
    <w:p w14:paraId="3D75798E" w14:textId="77777777" w:rsidR="006306B5" w:rsidRPr="006306B5" w:rsidRDefault="006306B5" w:rsidP="006306B5">
      <w:pPr>
        <w:spacing w:after="0" w:line="240" w:lineRule="auto"/>
        <w:rPr>
          <w:rFonts w:ascii="Times New Roman" w:eastAsia="Times New Roman" w:hAnsi="Times New Roman" w:cs="Times New Roman"/>
          <w:sz w:val="24"/>
          <w:szCs w:val="24"/>
          <w:lang w:eastAsia="en-AU"/>
        </w:rPr>
      </w:pPr>
      <w:r w:rsidRPr="006306B5">
        <w:rPr>
          <w:rFonts w:ascii="Times New Roman" w:eastAsia="Times New Roman" w:hAnsi="Times New Roman" w:cs="Times New Roman"/>
          <w:i/>
          <w:iCs/>
          <w:sz w:val="24"/>
          <w:szCs w:val="24"/>
          <w:lang w:eastAsia="en-AU"/>
        </w:rPr>
        <w:t>Frankenstein</w:t>
      </w:r>
      <w:r w:rsidRPr="006306B5">
        <w:rPr>
          <w:rFonts w:ascii="Times New Roman" w:eastAsia="Times New Roman" w:hAnsi="Times New Roman" w:cs="Times New Roman"/>
          <w:sz w:val="24"/>
          <w:szCs w:val="24"/>
          <w:lang w:eastAsia="en-AU"/>
        </w:rPr>
        <w:t>’s narrative architecture comprises three separate frame sequences, each enabled and directed by a different narrator: the </w:t>
      </w:r>
      <w:r w:rsidRPr="006306B5">
        <w:rPr>
          <w:rFonts w:ascii="Times New Roman" w:eastAsia="Times New Roman" w:hAnsi="Times New Roman" w:cs="Times New Roman"/>
          <w:i/>
          <w:iCs/>
          <w:sz w:val="24"/>
          <w:szCs w:val="24"/>
          <w:lang w:eastAsia="en-AU"/>
        </w:rPr>
        <w:t>reading sequence</w:t>
      </w:r>
      <w:r w:rsidRPr="006306B5">
        <w:rPr>
          <w:rFonts w:ascii="Times New Roman" w:eastAsia="Times New Roman" w:hAnsi="Times New Roman" w:cs="Times New Roman"/>
          <w:sz w:val="24"/>
          <w:szCs w:val="24"/>
          <w:lang w:eastAsia="en-AU"/>
        </w:rPr>
        <w:t> provided by Robert Walton, the </w:t>
      </w:r>
      <w:r w:rsidRPr="006306B5">
        <w:rPr>
          <w:rFonts w:ascii="Times New Roman" w:eastAsia="Times New Roman" w:hAnsi="Times New Roman" w:cs="Times New Roman"/>
          <w:i/>
          <w:iCs/>
          <w:sz w:val="24"/>
          <w:szCs w:val="24"/>
          <w:lang w:eastAsia="en-AU"/>
        </w:rPr>
        <w:t>action sequence</w:t>
      </w:r>
      <w:r w:rsidRPr="006306B5">
        <w:rPr>
          <w:rFonts w:ascii="Times New Roman" w:eastAsia="Times New Roman" w:hAnsi="Times New Roman" w:cs="Times New Roman"/>
          <w:sz w:val="24"/>
          <w:szCs w:val="24"/>
          <w:lang w:eastAsia="en-AU"/>
        </w:rPr>
        <w:t> constructed by Victor Frankenstein, and, of greatest concern because it ultimately allows the other sequences, the </w:t>
      </w:r>
      <w:r w:rsidRPr="006306B5">
        <w:rPr>
          <w:rFonts w:ascii="Times New Roman" w:eastAsia="Times New Roman" w:hAnsi="Times New Roman" w:cs="Times New Roman"/>
          <w:i/>
          <w:iCs/>
          <w:sz w:val="24"/>
          <w:szCs w:val="24"/>
          <w:lang w:eastAsia="en-AU"/>
        </w:rPr>
        <w:t>narrative sequence</w:t>
      </w:r>
      <w:r w:rsidRPr="006306B5">
        <w:rPr>
          <w:rFonts w:ascii="Times New Roman" w:eastAsia="Times New Roman" w:hAnsi="Times New Roman" w:cs="Times New Roman"/>
          <w:sz w:val="24"/>
          <w:szCs w:val="24"/>
          <w:lang w:eastAsia="en-AU"/>
        </w:rPr>
        <w:t> initiated by Frankenstein’s Creature.</w:t>
      </w:r>
    </w:p>
    <w:p w14:paraId="5EC51958" w14:textId="77777777" w:rsidR="006306B5" w:rsidRPr="006306B5" w:rsidRDefault="006306B5" w:rsidP="006306B5">
      <w:pPr>
        <w:spacing w:after="0" w:line="240" w:lineRule="auto"/>
        <w:rPr>
          <w:rFonts w:ascii="Times New Roman" w:eastAsia="Times New Roman" w:hAnsi="Times New Roman" w:cs="Times New Roman"/>
          <w:sz w:val="24"/>
          <w:szCs w:val="24"/>
          <w:lang w:eastAsia="en-AU"/>
        </w:rPr>
      </w:pPr>
      <w:r w:rsidRPr="006306B5">
        <w:rPr>
          <w:rFonts w:ascii="Times New Roman" w:eastAsia="Times New Roman" w:hAnsi="Times New Roman" w:cs="Times New Roman"/>
          <w:sz w:val="24"/>
          <w:szCs w:val="24"/>
          <w:lang w:eastAsia="en-AU"/>
        </w:rPr>
        <w:t>The </w:t>
      </w:r>
      <w:r w:rsidRPr="006306B5">
        <w:rPr>
          <w:rFonts w:ascii="Times New Roman" w:eastAsia="Times New Roman" w:hAnsi="Times New Roman" w:cs="Times New Roman"/>
          <w:i/>
          <w:iCs/>
          <w:sz w:val="24"/>
          <w:szCs w:val="24"/>
          <w:lang w:eastAsia="en-AU"/>
        </w:rPr>
        <w:t>reading sequence</w:t>
      </w:r>
      <w:r w:rsidRPr="006306B5">
        <w:rPr>
          <w:rFonts w:ascii="Times New Roman" w:eastAsia="Times New Roman" w:hAnsi="Times New Roman" w:cs="Times New Roman"/>
          <w:sz w:val="24"/>
          <w:szCs w:val="24"/>
          <w:lang w:eastAsia="en-AU"/>
        </w:rPr>
        <w:t> is the preliminary process by which readers move through a series of “picture-frame” narratives, as Walton’s letters frame (or enclose) Frankenstein’s history, which in turn frames (or encloses) the Creature’s tale.</w:t>
      </w:r>
      <w:hyperlink r:id="rId15" w:anchor="no8" w:tooltip="What I call the " w:history="1">
        <w:r w:rsidRPr="006306B5">
          <w:rPr>
            <w:rFonts w:ascii="Helvetica" w:eastAsia="Times New Roman" w:hAnsi="Helvetica" w:cs="Helvetica"/>
            <w:color w:val="FF4242"/>
            <w:sz w:val="20"/>
            <w:szCs w:val="20"/>
            <w:lang w:eastAsia="en-AU"/>
          </w:rPr>
          <w:t>[8]</w:t>
        </w:r>
      </w:hyperlink>
      <w:r w:rsidRPr="006306B5">
        <w:rPr>
          <w:rFonts w:ascii="Times New Roman" w:eastAsia="Times New Roman" w:hAnsi="Times New Roman" w:cs="Times New Roman"/>
          <w:sz w:val="24"/>
          <w:szCs w:val="24"/>
          <w:lang w:eastAsia="en-AU"/>
        </w:rPr>
        <w:t> Our experience of the reading sequence moves us from exterior to interior, but also from the most recent narrative (Walton’s letters) to the earliest (the Creature’s tale), all of which are recorded by and related through Walton. Our position during the reading sequence approximates that of Walton’s sister, Margaret Saville, in reading her brother’s letters; we experience the narratives as a set of texts arranged not according to the chronology of actions they represent, nor the order in which the narratives were originally related, but instead as they were received and came to have situational meaning to the perceiver (in this case, Walton). The reading sequence thus suggests the “picture-frame” metaphor by providing transitional spaces, introducing Shelley’s readers to increasingly alien narrators and situations as we move from Walton to Frankenstein to the Creature: from the margins of reality to the center of alterity.</w:t>
      </w:r>
    </w:p>
    <w:p w14:paraId="4A6A403A" w14:textId="77777777" w:rsidR="006306B5" w:rsidRPr="006306B5" w:rsidRDefault="006306B5" w:rsidP="006306B5">
      <w:pPr>
        <w:spacing w:after="0" w:line="240" w:lineRule="auto"/>
        <w:rPr>
          <w:rFonts w:ascii="Times New Roman" w:eastAsia="Times New Roman" w:hAnsi="Times New Roman" w:cs="Times New Roman"/>
          <w:sz w:val="24"/>
          <w:szCs w:val="24"/>
          <w:lang w:eastAsia="en-AU"/>
        </w:rPr>
      </w:pPr>
      <w:r w:rsidRPr="006306B5">
        <w:rPr>
          <w:rFonts w:ascii="Times New Roman" w:eastAsia="Times New Roman" w:hAnsi="Times New Roman" w:cs="Times New Roman"/>
          <w:sz w:val="24"/>
          <w:szCs w:val="24"/>
          <w:lang w:eastAsia="en-AU"/>
        </w:rPr>
        <w:t>The </w:t>
      </w:r>
      <w:r w:rsidRPr="006306B5">
        <w:rPr>
          <w:rFonts w:ascii="Times New Roman" w:eastAsia="Times New Roman" w:hAnsi="Times New Roman" w:cs="Times New Roman"/>
          <w:i/>
          <w:iCs/>
          <w:sz w:val="24"/>
          <w:szCs w:val="24"/>
          <w:lang w:eastAsia="en-AU"/>
        </w:rPr>
        <w:t>action sequence</w:t>
      </w:r>
      <w:r w:rsidRPr="006306B5">
        <w:rPr>
          <w:rFonts w:ascii="Times New Roman" w:eastAsia="Times New Roman" w:hAnsi="Times New Roman" w:cs="Times New Roman"/>
          <w:sz w:val="24"/>
          <w:szCs w:val="24"/>
          <w:lang w:eastAsia="en-AU"/>
        </w:rPr>
        <w:t> is the series of narrated events reconstructed as they occurred chronologically. In Shelley’s novel this sequence is directed by Frankenstein, who relates the earliest events in the story (his parents’ courtship and marriage, his own upbringing and education, and so forth). By interpolating the Creature’s narrative within his own, Frankenstein supplies information to the action sequence that would otherwise be unavailable or inaccessible (the Creature’s education, his murder of William and implication of Justine Moritz, and so on). </w:t>
      </w:r>
      <w:r w:rsidRPr="006306B5">
        <w:rPr>
          <w:rFonts w:ascii="Times New Roman" w:eastAsia="Times New Roman" w:hAnsi="Times New Roman" w:cs="Times New Roman"/>
          <w:i/>
          <w:iCs/>
          <w:sz w:val="24"/>
          <w:szCs w:val="24"/>
          <w:lang w:eastAsia="en-AU"/>
        </w:rPr>
        <w:t>Frankenstein</w:t>
      </w:r>
      <w:r w:rsidRPr="006306B5">
        <w:rPr>
          <w:rFonts w:ascii="Times New Roman" w:eastAsia="Times New Roman" w:hAnsi="Times New Roman" w:cs="Times New Roman"/>
          <w:sz w:val="24"/>
          <w:szCs w:val="24"/>
          <w:lang w:eastAsia="en-AU"/>
        </w:rPr>
        <w:t>’s action sequence requires a separate level of engagement from the reader, as we must reconstruct the events by transforming the reading sequence into the action sequence in a second cognitive operation; we must, for example, re-order the events of Walton’s narrative to come after the events of Frankenstein’s, as we must relocate the events related by the Creature within earlier portions of Frankenstein’s narrative.</w:t>
      </w:r>
    </w:p>
    <w:p w14:paraId="692EC331" w14:textId="77777777" w:rsidR="006306B5" w:rsidRPr="006306B5" w:rsidRDefault="006306B5" w:rsidP="006306B5">
      <w:pPr>
        <w:spacing w:after="0" w:line="240" w:lineRule="auto"/>
        <w:rPr>
          <w:rFonts w:ascii="Times New Roman" w:eastAsia="Times New Roman" w:hAnsi="Times New Roman" w:cs="Times New Roman"/>
          <w:sz w:val="24"/>
          <w:szCs w:val="24"/>
          <w:lang w:eastAsia="en-AU"/>
        </w:rPr>
      </w:pPr>
      <w:r w:rsidRPr="006306B5">
        <w:rPr>
          <w:rFonts w:ascii="Times New Roman" w:eastAsia="Times New Roman" w:hAnsi="Times New Roman" w:cs="Times New Roman"/>
          <w:sz w:val="24"/>
          <w:szCs w:val="24"/>
          <w:lang w:eastAsia="en-AU"/>
        </w:rPr>
        <w:t>The </w:t>
      </w:r>
      <w:r w:rsidRPr="006306B5">
        <w:rPr>
          <w:rFonts w:ascii="Times New Roman" w:eastAsia="Times New Roman" w:hAnsi="Times New Roman" w:cs="Times New Roman"/>
          <w:i/>
          <w:iCs/>
          <w:sz w:val="24"/>
          <w:szCs w:val="24"/>
          <w:lang w:eastAsia="en-AU"/>
        </w:rPr>
        <w:t>narrative sequence</w:t>
      </w:r>
      <w:r w:rsidRPr="006306B5">
        <w:rPr>
          <w:rFonts w:ascii="Times New Roman" w:eastAsia="Times New Roman" w:hAnsi="Times New Roman" w:cs="Times New Roman"/>
          <w:sz w:val="24"/>
          <w:szCs w:val="24"/>
          <w:lang w:eastAsia="en-AU"/>
        </w:rPr>
        <w:t> in </w:t>
      </w:r>
      <w:r w:rsidRPr="006306B5">
        <w:rPr>
          <w:rFonts w:ascii="Times New Roman" w:eastAsia="Times New Roman" w:hAnsi="Times New Roman" w:cs="Times New Roman"/>
          <w:i/>
          <w:iCs/>
          <w:sz w:val="24"/>
          <w:szCs w:val="24"/>
          <w:lang w:eastAsia="en-AU"/>
        </w:rPr>
        <w:t>Frankenstein</w:t>
      </w:r>
      <w:r w:rsidRPr="006306B5">
        <w:rPr>
          <w:rFonts w:ascii="Times New Roman" w:eastAsia="Times New Roman" w:hAnsi="Times New Roman" w:cs="Times New Roman"/>
          <w:sz w:val="24"/>
          <w:szCs w:val="24"/>
          <w:lang w:eastAsia="en-AU"/>
        </w:rPr>
        <w:t> is yet a deeper structural arrangement: it is the chronological order in which the narrative acts take place. As I shall argue, the narrative sequence actually enables and shapes the reading and action sequences in Shelley’s work. Let us say provisionally that the narrative sequence is initiated and directed by the Creature (a claim I will modify later), whose narrative is chronologically the first significant, detailed and revealing narrative by a character in the story. All before has been silence (on Frankenstein’s part) or half-understood allusion to events that the Creature will later make clear (such as Justine Moritz’s account of the night of William’s murder). Indeed, Frankenstein’s silence—his failure to narrate his life at Ingolstadt in letters to his family, and his refusal to articulate his belief that the Creature is William’s murderer—is one source of his culpability.</w:t>
      </w:r>
      <w:hyperlink r:id="rId16" w:anchor="no9" w:tooltip="Syndy M. Conger has suggested that this silence and culpability cause Frankenstein to shift from protagonist to antagonist over the course of the novel (63-64)." w:history="1">
        <w:r w:rsidRPr="006306B5">
          <w:rPr>
            <w:rFonts w:ascii="Helvetica" w:eastAsia="Times New Roman" w:hAnsi="Helvetica" w:cs="Helvetica"/>
            <w:color w:val="FF4242"/>
            <w:sz w:val="20"/>
            <w:szCs w:val="20"/>
            <w:lang w:eastAsia="en-AU"/>
          </w:rPr>
          <w:t>[9]</w:t>
        </w:r>
      </w:hyperlink>
      <w:r w:rsidRPr="006306B5">
        <w:rPr>
          <w:rFonts w:ascii="Times New Roman" w:eastAsia="Times New Roman" w:hAnsi="Times New Roman" w:cs="Times New Roman"/>
          <w:sz w:val="24"/>
          <w:szCs w:val="24"/>
          <w:lang w:eastAsia="en-AU"/>
        </w:rPr>
        <w:t xml:space="preserve"> The Creature’s narrative enables its train of audiences (Frankenstein, Walton, and Margaret </w:t>
      </w:r>
      <w:r w:rsidRPr="006306B5">
        <w:rPr>
          <w:rFonts w:ascii="Times New Roman" w:eastAsia="Times New Roman" w:hAnsi="Times New Roman" w:cs="Times New Roman"/>
          <w:sz w:val="24"/>
          <w:szCs w:val="24"/>
          <w:lang w:eastAsia="en-AU"/>
        </w:rPr>
        <w:lastRenderedPageBreak/>
        <w:t>Saville-Shelley’s reader) to understand those obscured events rightly. From this primary speaking position, the Creature’s narrative sets in motion events, revelations, and conceived dialectics of protagonism/antagonism, authority/submission, and creator/creature—all of which eventually lead to the physical situation and conceptual form that enable Frankenstein’s narrative to Walton. Frankenstein’s narrative, of course, then enables and prompts the conceptual form of Walton’s narrative to his sister (and thus to Shelley’s reader). In this way, the Creature’s narrative—his own creature, so to speak—is the creator of the tale we read.</w:t>
      </w:r>
      <w:hyperlink r:id="rId17" w:anchor="no10" w:tooltip="This reading is perhaps a new twist on the well-established notion of Shelley’s " w:history="1">
        <w:r w:rsidRPr="006306B5">
          <w:rPr>
            <w:rFonts w:ascii="Helvetica" w:eastAsia="Times New Roman" w:hAnsi="Helvetica" w:cs="Helvetica"/>
            <w:color w:val="FF4242"/>
            <w:sz w:val="20"/>
            <w:szCs w:val="20"/>
            <w:lang w:eastAsia="en-AU"/>
          </w:rPr>
          <w:t>[10]</w:t>
        </w:r>
      </w:hyperlink>
    </w:p>
    <w:p w14:paraId="42030BA3" w14:textId="77777777" w:rsidR="006306B5" w:rsidRPr="006306B5" w:rsidRDefault="006306B5" w:rsidP="006306B5">
      <w:pPr>
        <w:spacing w:after="0" w:line="240" w:lineRule="auto"/>
        <w:rPr>
          <w:rFonts w:ascii="Times New Roman" w:eastAsia="Times New Roman" w:hAnsi="Times New Roman" w:cs="Times New Roman"/>
          <w:sz w:val="24"/>
          <w:szCs w:val="24"/>
          <w:lang w:eastAsia="en-AU"/>
        </w:rPr>
      </w:pPr>
      <w:r w:rsidRPr="006306B5">
        <w:rPr>
          <w:rFonts w:ascii="Times New Roman" w:eastAsia="Times New Roman" w:hAnsi="Times New Roman" w:cs="Times New Roman"/>
          <w:sz w:val="24"/>
          <w:szCs w:val="24"/>
          <w:lang w:eastAsia="en-AU"/>
        </w:rPr>
        <w:t>The necessity of distinguishing between reading, action, and narrative frame sequences becomes plain with this last claim, which I shall elaborate for the balance of this essay. The reading and action sequences are structured as texts by Walton’s and Frankenstein’s artificial dispositions of story elements according to their own experiences and perceptions of those elements as significant: that is, according to their particular frames of reference.</w:t>
      </w:r>
      <w:hyperlink r:id="rId18" w:anchor="no11" w:tooltip="For story as abstract material and text as reconstructed story, see Prince, A Grammar 13. Following Genette, I will use the term story (" w:history="1">
        <w:r w:rsidRPr="006306B5">
          <w:rPr>
            <w:rFonts w:ascii="Helvetica" w:eastAsia="Times New Roman" w:hAnsi="Helvetica" w:cs="Helvetica"/>
            <w:color w:val="FF4242"/>
            <w:sz w:val="20"/>
            <w:szCs w:val="20"/>
            <w:lang w:eastAsia="en-AU"/>
          </w:rPr>
          <w:t>[11]</w:t>
        </w:r>
      </w:hyperlink>
      <w:r w:rsidRPr="006306B5">
        <w:rPr>
          <w:rFonts w:ascii="Times New Roman" w:eastAsia="Times New Roman" w:hAnsi="Times New Roman" w:cs="Times New Roman"/>
          <w:sz w:val="24"/>
          <w:szCs w:val="24"/>
          <w:lang w:eastAsia="en-AU"/>
        </w:rPr>
        <w:t> Because it determines and shapes the other sequences, the narrative sequence sets out the source and pattern of those experiential and perceptual dispositions. In this view, we might say that </w:t>
      </w:r>
      <w:r w:rsidRPr="006306B5">
        <w:rPr>
          <w:rFonts w:ascii="Times New Roman" w:eastAsia="Times New Roman" w:hAnsi="Times New Roman" w:cs="Times New Roman"/>
          <w:i/>
          <w:iCs/>
          <w:sz w:val="24"/>
          <w:szCs w:val="24"/>
          <w:lang w:eastAsia="en-AU"/>
        </w:rPr>
        <w:t>Frankenstein</w:t>
      </w:r>
      <w:r w:rsidRPr="006306B5">
        <w:rPr>
          <w:rFonts w:ascii="Times New Roman" w:eastAsia="Times New Roman" w:hAnsi="Times New Roman" w:cs="Times New Roman"/>
          <w:sz w:val="24"/>
          <w:szCs w:val="24"/>
          <w:lang w:eastAsia="en-AU"/>
        </w:rPr>
        <w:t> offers a kind of reverse </w:t>
      </w:r>
      <w:r w:rsidRPr="006306B5">
        <w:rPr>
          <w:rFonts w:ascii="Times New Roman" w:eastAsia="Times New Roman" w:hAnsi="Times New Roman" w:cs="Times New Roman"/>
          <w:i/>
          <w:iCs/>
          <w:sz w:val="24"/>
          <w:szCs w:val="24"/>
          <w:lang w:eastAsia="en-AU"/>
        </w:rPr>
        <w:t>mise en abyme</w:t>
      </w:r>
      <w:r w:rsidRPr="006306B5">
        <w:rPr>
          <w:rFonts w:ascii="Times New Roman" w:eastAsia="Times New Roman" w:hAnsi="Times New Roman" w:cs="Times New Roman"/>
          <w:sz w:val="24"/>
          <w:szCs w:val="24"/>
          <w:lang w:eastAsia="en-AU"/>
        </w:rPr>
        <w:t>, in which the outset narratives reflect and refigure the enabling and shaping inset narratives.</w:t>
      </w:r>
      <w:hyperlink r:id="rId19" w:anchor="no12" w:tooltip="For discussions of mise en abyme and its complexities, see Prince, Dictionary 53; Dällenbach; and Jefferson. Bal, though, notes that " w:history="1">
        <w:r w:rsidRPr="006306B5">
          <w:rPr>
            <w:rFonts w:ascii="Helvetica" w:eastAsia="Times New Roman" w:hAnsi="Helvetica" w:cs="Helvetica"/>
            <w:color w:val="FF4242"/>
            <w:sz w:val="20"/>
            <w:szCs w:val="20"/>
            <w:lang w:eastAsia="en-AU"/>
          </w:rPr>
          <w:t>[12]</w:t>
        </w:r>
      </w:hyperlink>
      <w:r w:rsidRPr="006306B5">
        <w:rPr>
          <w:rFonts w:ascii="Times New Roman" w:eastAsia="Times New Roman" w:hAnsi="Times New Roman" w:cs="Times New Roman"/>
          <w:i/>
          <w:iCs/>
          <w:sz w:val="24"/>
          <w:szCs w:val="24"/>
          <w:lang w:eastAsia="en-AU"/>
        </w:rPr>
        <w:t>Rhetorical</w:t>
      </w:r>
      <w:r w:rsidRPr="006306B5">
        <w:rPr>
          <w:rFonts w:ascii="Times New Roman" w:eastAsia="Times New Roman" w:hAnsi="Times New Roman" w:cs="Times New Roman"/>
          <w:sz w:val="24"/>
          <w:szCs w:val="24"/>
          <w:lang w:eastAsia="en-AU"/>
        </w:rPr>
        <w:t> refiguring of an inset narrative takes place on the level of language as the narrator of a superior level adopts words and phrases from a previous (embedded) narrative. In </w:t>
      </w:r>
      <w:r w:rsidRPr="006306B5">
        <w:rPr>
          <w:rFonts w:ascii="Times New Roman" w:eastAsia="Times New Roman" w:hAnsi="Times New Roman" w:cs="Times New Roman"/>
          <w:i/>
          <w:iCs/>
          <w:sz w:val="24"/>
          <w:szCs w:val="24"/>
          <w:lang w:eastAsia="en-AU"/>
        </w:rPr>
        <w:t>elemental</w:t>
      </w:r>
      <w:r w:rsidRPr="006306B5">
        <w:rPr>
          <w:rFonts w:ascii="Times New Roman" w:eastAsia="Times New Roman" w:hAnsi="Times New Roman" w:cs="Times New Roman"/>
          <w:sz w:val="24"/>
          <w:szCs w:val="24"/>
          <w:lang w:eastAsia="en-AU"/>
        </w:rPr>
        <w:t> refiguring, the embedded narrative influences the superior narrator’s decisions about which story elements to include in his own narrative; that is, what events make the superior narrator’s story significant as a narrative. </w:t>
      </w:r>
      <w:r w:rsidRPr="006306B5">
        <w:rPr>
          <w:rFonts w:ascii="Times New Roman" w:eastAsia="Times New Roman" w:hAnsi="Times New Roman" w:cs="Times New Roman"/>
          <w:i/>
          <w:iCs/>
          <w:sz w:val="24"/>
          <w:szCs w:val="24"/>
          <w:lang w:eastAsia="en-AU"/>
        </w:rPr>
        <w:t>Intentional</w:t>
      </w:r>
      <w:r w:rsidRPr="006306B5">
        <w:rPr>
          <w:rFonts w:ascii="Times New Roman" w:eastAsia="Times New Roman" w:hAnsi="Times New Roman" w:cs="Times New Roman"/>
          <w:sz w:val="24"/>
          <w:szCs w:val="24"/>
          <w:lang w:eastAsia="en-AU"/>
        </w:rPr>
        <w:t> refiguring occurs as a superior narrator derives his purpose—the intended effect of his narrative act—from influential aspects of the embedded narrative. In the presence of such narrative refiguring, embedded narratives assume a crucial position: they become </w:t>
      </w:r>
      <w:r w:rsidRPr="006306B5">
        <w:rPr>
          <w:rFonts w:ascii="Times New Roman" w:eastAsia="Times New Roman" w:hAnsi="Times New Roman" w:cs="Times New Roman"/>
          <w:i/>
          <w:iCs/>
          <w:sz w:val="24"/>
          <w:szCs w:val="24"/>
          <w:lang w:eastAsia="en-AU"/>
        </w:rPr>
        <w:t>enabling texts</w:t>
      </w:r>
      <w:r w:rsidRPr="006306B5">
        <w:rPr>
          <w:rFonts w:ascii="Times New Roman" w:eastAsia="Times New Roman" w:hAnsi="Times New Roman" w:cs="Times New Roman"/>
          <w:sz w:val="24"/>
          <w:szCs w:val="24"/>
          <w:lang w:eastAsia="en-AU"/>
        </w:rPr>
        <w:t>.</w:t>
      </w:r>
      <w:hyperlink r:id="rId20" w:anchor="no13" w:tooltip="I borrow the term embedded narrative from Bal in order to emphasize the internal location of narratives within other narratives. According to Bal, " w:history="1">
        <w:r w:rsidRPr="006306B5">
          <w:rPr>
            <w:rFonts w:ascii="Helvetica" w:eastAsia="Times New Roman" w:hAnsi="Helvetica" w:cs="Helvetica"/>
            <w:color w:val="FF4242"/>
            <w:sz w:val="20"/>
            <w:szCs w:val="20"/>
            <w:lang w:eastAsia="en-AU"/>
          </w:rPr>
          <w:t>[13]</w:t>
        </w:r>
      </w:hyperlink>
    </w:p>
    <w:p w14:paraId="09E24815" w14:textId="77777777" w:rsidR="006306B5" w:rsidRPr="006306B5" w:rsidRDefault="006306B5" w:rsidP="006306B5">
      <w:pPr>
        <w:spacing w:before="360" w:after="120" w:line="240" w:lineRule="auto"/>
        <w:jc w:val="center"/>
        <w:outlineLvl w:val="1"/>
        <w:rPr>
          <w:rFonts w:ascii="Times New Roman" w:eastAsia="Times New Roman" w:hAnsi="Times New Roman" w:cs="Times New Roman"/>
          <w:b/>
          <w:bCs/>
          <w:color w:val="FF4242"/>
          <w:sz w:val="47"/>
          <w:szCs w:val="47"/>
          <w:lang w:eastAsia="en-AU"/>
        </w:rPr>
      </w:pPr>
      <w:r w:rsidRPr="006306B5">
        <w:rPr>
          <w:rFonts w:ascii="Times New Roman" w:eastAsia="Times New Roman" w:hAnsi="Times New Roman" w:cs="Times New Roman"/>
          <w:b/>
          <w:bCs/>
          <w:color w:val="FF4242"/>
          <w:sz w:val="47"/>
          <w:szCs w:val="47"/>
          <w:lang w:eastAsia="en-AU"/>
        </w:rPr>
        <w:t>III</w:t>
      </w:r>
    </w:p>
    <w:p w14:paraId="48F3F544" w14:textId="77777777" w:rsidR="006306B5" w:rsidRPr="006306B5" w:rsidRDefault="006306B5" w:rsidP="006306B5">
      <w:pPr>
        <w:spacing w:after="0" w:line="240" w:lineRule="auto"/>
        <w:rPr>
          <w:rFonts w:ascii="Times New Roman" w:eastAsia="Times New Roman" w:hAnsi="Times New Roman" w:cs="Times New Roman"/>
          <w:sz w:val="24"/>
          <w:szCs w:val="24"/>
          <w:lang w:eastAsia="en-AU"/>
        </w:rPr>
      </w:pPr>
      <w:r w:rsidRPr="006306B5">
        <w:rPr>
          <w:rFonts w:ascii="Times New Roman" w:eastAsia="Times New Roman" w:hAnsi="Times New Roman" w:cs="Times New Roman"/>
          <w:sz w:val="24"/>
          <w:szCs w:val="24"/>
          <w:lang w:eastAsia="en-AU"/>
        </w:rPr>
        <w:t>Above, I made the provisional claim that Frankenstein’s Creature originates and directs the narrative sequence of Shelley’s tale. I should like now to revise that claim, for in truth the Creature’s narrative is itself enabled and patterned by the deeper frame-work of </w:t>
      </w:r>
      <w:r w:rsidRPr="006306B5">
        <w:rPr>
          <w:rFonts w:ascii="Times New Roman" w:eastAsia="Times New Roman" w:hAnsi="Times New Roman" w:cs="Times New Roman"/>
          <w:i/>
          <w:iCs/>
          <w:sz w:val="24"/>
          <w:szCs w:val="24"/>
          <w:lang w:eastAsia="en-AU"/>
        </w:rPr>
        <w:t>Paradise Lost</w:t>
      </w:r>
      <w:r w:rsidRPr="006306B5">
        <w:rPr>
          <w:rFonts w:ascii="Times New Roman" w:eastAsia="Times New Roman" w:hAnsi="Times New Roman" w:cs="Times New Roman"/>
          <w:sz w:val="24"/>
          <w:szCs w:val="24"/>
          <w:lang w:eastAsia="en-AU"/>
        </w:rPr>
        <w:t>. Like the Creature himself, his tale is a refiguration of parts belonging to others. Shelley herself remarks on such deeply-situated “origins” in her “Author’s Introduction” to the 1831 edition of </w:t>
      </w:r>
      <w:r w:rsidRPr="006306B5">
        <w:rPr>
          <w:rFonts w:ascii="Times New Roman" w:eastAsia="Times New Roman" w:hAnsi="Times New Roman" w:cs="Times New Roman"/>
          <w:i/>
          <w:iCs/>
          <w:sz w:val="24"/>
          <w:szCs w:val="24"/>
          <w:lang w:eastAsia="en-AU"/>
        </w:rPr>
        <w:t>Frankenstein</w:t>
      </w:r>
      <w:r w:rsidRPr="006306B5">
        <w:rPr>
          <w:rFonts w:ascii="Times New Roman" w:eastAsia="Times New Roman" w:hAnsi="Times New Roman" w:cs="Times New Roman"/>
          <w:sz w:val="24"/>
          <w:szCs w:val="24"/>
          <w:lang w:eastAsia="en-AU"/>
        </w:rPr>
        <w:t>: “Every thing must have a beginning,” she writes,</w:t>
      </w:r>
    </w:p>
    <w:p w14:paraId="52150EEA" w14:textId="77777777" w:rsidR="006306B5" w:rsidRPr="006306B5" w:rsidRDefault="006306B5" w:rsidP="006306B5">
      <w:pPr>
        <w:spacing w:after="173" w:line="240" w:lineRule="auto"/>
        <w:rPr>
          <w:rFonts w:ascii="Helvetica" w:eastAsia="Times New Roman" w:hAnsi="Helvetica" w:cs="Helvetica"/>
          <w:sz w:val="21"/>
          <w:szCs w:val="21"/>
          <w:lang w:eastAsia="en-AU"/>
        </w:rPr>
      </w:pPr>
      <w:r w:rsidRPr="006306B5">
        <w:rPr>
          <w:rFonts w:ascii="Helvetica" w:eastAsia="Times New Roman" w:hAnsi="Helvetica" w:cs="Helvetica"/>
          <w:sz w:val="21"/>
          <w:szCs w:val="21"/>
          <w:lang w:eastAsia="en-AU"/>
        </w:rPr>
        <w:t>[. . .] and that beginning must be linked to something that went before [. . .]. Invention, it must be humbly admitted, does not consist in creating out of void, but out of chaos; the materials must, in the first place, be afforded: it can give form to dark, shapeless substances, but cannot bring into being the substance itself [. . .]. Invention consists in the capacity of seizing on the capabilities of a subject, and in the power of moulding and fashioning ideas suggested to it.</w:t>
      </w:r>
    </w:p>
    <w:p w14:paraId="0CE9FF5A" w14:textId="77777777" w:rsidR="006306B5" w:rsidRPr="006306B5" w:rsidRDefault="006306B5" w:rsidP="006306B5">
      <w:pPr>
        <w:spacing w:line="240" w:lineRule="auto"/>
        <w:rPr>
          <w:rFonts w:ascii="Times New Roman" w:eastAsia="Times New Roman" w:hAnsi="Times New Roman" w:cs="Times New Roman"/>
          <w:sz w:val="24"/>
          <w:szCs w:val="24"/>
          <w:lang w:eastAsia="en-AU"/>
        </w:rPr>
      </w:pPr>
      <w:r w:rsidRPr="006306B5">
        <w:rPr>
          <w:rFonts w:ascii="Helvetica" w:eastAsia="Times New Roman" w:hAnsi="Helvetica" w:cs="Helvetica"/>
          <w:color w:val="707070"/>
          <w:sz w:val="21"/>
          <w:szCs w:val="21"/>
          <w:lang w:eastAsia="en-AU"/>
        </w:rPr>
        <w:t>8</w:t>
      </w:r>
    </w:p>
    <w:p w14:paraId="07F5D918" w14:textId="77777777" w:rsidR="006306B5" w:rsidRPr="006306B5" w:rsidRDefault="006306B5" w:rsidP="006306B5">
      <w:pPr>
        <w:spacing w:after="0" w:line="240" w:lineRule="auto"/>
        <w:rPr>
          <w:rFonts w:ascii="Times New Roman" w:eastAsia="Times New Roman" w:hAnsi="Times New Roman" w:cs="Times New Roman"/>
          <w:sz w:val="24"/>
          <w:szCs w:val="24"/>
          <w:lang w:eastAsia="en-AU"/>
        </w:rPr>
      </w:pPr>
      <w:r w:rsidRPr="006306B5">
        <w:rPr>
          <w:rFonts w:ascii="Times New Roman" w:eastAsia="Times New Roman" w:hAnsi="Times New Roman" w:cs="Times New Roman"/>
          <w:sz w:val="24"/>
          <w:szCs w:val="24"/>
          <w:lang w:eastAsia="en-AU"/>
        </w:rPr>
        <w:t>Narrative refiguring—rhetorical, elemental, and intentional—is the process by which the core of significant structure in </w:t>
      </w:r>
      <w:r w:rsidRPr="006306B5">
        <w:rPr>
          <w:rFonts w:ascii="Times New Roman" w:eastAsia="Times New Roman" w:hAnsi="Times New Roman" w:cs="Times New Roman"/>
          <w:i/>
          <w:iCs/>
          <w:sz w:val="24"/>
          <w:szCs w:val="24"/>
          <w:lang w:eastAsia="en-AU"/>
        </w:rPr>
        <w:t>Frankenstein</w:t>
      </w:r>
      <w:r w:rsidRPr="006306B5">
        <w:rPr>
          <w:rFonts w:ascii="Times New Roman" w:eastAsia="Times New Roman" w:hAnsi="Times New Roman" w:cs="Times New Roman"/>
          <w:sz w:val="24"/>
          <w:szCs w:val="24"/>
          <w:lang w:eastAsia="en-AU"/>
        </w:rPr>
        <w:t> strains outward and reshapes itself toward the perceiver through a sequence of framing narratives, moving from interior alterity (the Creature’s narrative) to exterior familiarity (Walton’s letters).</w:t>
      </w:r>
    </w:p>
    <w:p w14:paraId="7D962670" w14:textId="77777777" w:rsidR="006306B5" w:rsidRPr="006306B5" w:rsidRDefault="006306B5" w:rsidP="006306B5">
      <w:pPr>
        <w:spacing w:after="0" w:line="240" w:lineRule="auto"/>
        <w:rPr>
          <w:rFonts w:ascii="Times New Roman" w:eastAsia="Times New Roman" w:hAnsi="Times New Roman" w:cs="Times New Roman"/>
          <w:sz w:val="24"/>
          <w:szCs w:val="24"/>
          <w:lang w:eastAsia="en-AU"/>
        </w:rPr>
      </w:pPr>
      <w:r w:rsidRPr="006306B5">
        <w:rPr>
          <w:rFonts w:ascii="Times New Roman" w:eastAsia="Times New Roman" w:hAnsi="Times New Roman" w:cs="Times New Roman"/>
          <w:sz w:val="24"/>
          <w:szCs w:val="24"/>
          <w:lang w:eastAsia="en-AU"/>
        </w:rPr>
        <w:t>The narrative sequence of </w:t>
      </w:r>
      <w:r w:rsidRPr="006306B5">
        <w:rPr>
          <w:rFonts w:ascii="Times New Roman" w:eastAsia="Times New Roman" w:hAnsi="Times New Roman" w:cs="Times New Roman"/>
          <w:i/>
          <w:iCs/>
          <w:sz w:val="24"/>
          <w:szCs w:val="24"/>
          <w:lang w:eastAsia="en-AU"/>
        </w:rPr>
        <w:t>Frankenstein</w:t>
      </w:r>
      <w:r w:rsidRPr="006306B5">
        <w:rPr>
          <w:rFonts w:ascii="Times New Roman" w:eastAsia="Times New Roman" w:hAnsi="Times New Roman" w:cs="Times New Roman"/>
          <w:sz w:val="24"/>
          <w:szCs w:val="24"/>
          <w:lang w:eastAsia="en-AU"/>
        </w:rPr>
        <w:t> begins with the Creature’s adoption of </w:t>
      </w:r>
      <w:r w:rsidRPr="006306B5">
        <w:rPr>
          <w:rFonts w:ascii="Times New Roman" w:eastAsia="Times New Roman" w:hAnsi="Times New Roman" w:cs="Times New Roman"/>
          <w:i/>
          <w:iCs/>
          <w:sz w:val="24"/>
          <w:szCs w:val="24"/>
          <w:lang w:eastAsia="en-AU"/>
        </w:rPr>
        <w:t>Paradise Lost</w:t>
      </w:r>
      <w:r w:rsidRPr="006306B5">
        <w:rPr>
          <w:rFonts w:ascii="Times New Roman" w:eastAsia="Times New Roman" w:hAnsi="Times New Roman" w:cs="Times New Roman"/>
          <w:sz w:val="24"/>
          <w:szCs w:val="24"/>
          <w:lang w:eastAsia="en-AU"/>
        </w:rPr>
        <w:t xml:space="preserve"> as his essential frame of reference, and so we turn to the portmanteau of books that the Creature discovers in chapter 15 of the novel. Though these books do not make up his earliest experience, they do provide a frame of reference that structures and shapes that experience. The Creature reads each of these works as “true history” (129), and during and after his </w:t>
      </w:r>
      <w:r w:rsidRPr="006306B5">
        <w:rPr>
          <w:rFonts w:ascii="Times New Roman" w:eastAsia="Times New Roman" w:hAnsi="Times New Roman" w:cs="Times New Roman"/>
          <w:sz w:val="24"/>
          <w:szCs w:val="24"/>
          <w:lang w:eastAsia="en-AU"/>
        </w:rPr>
        <w:lastRenderedPageBreak/>
        <w:t>reading he attempts to fit his own experience into the framing contexts these works seem to provide. Goethe’s </w:t>
      </w:r>
      <w:r w:rsidRPr="006306B5">
        <w:rPr>
          <w:rFonts w:ascii="Times New Roman" w:eastAsia="Times New Roman" w:hAnsi="Times New Roman" w:cs="Times New Roman"/>
          <w:i/>
          <w:iCs/>
          <w:sz w:val="24"/>
          <w:szCs w:val="24"/>
          <w:lang w:eastAsia="en-AU"/>
        </w:rPr>
        <w:t>The Sufferings of Young Werther</w:t>
      </w:r>
      <w:r w:rsidRPr="006306B5">
        <w:rPr>
          <w:rFonts w:ascii="Times New Roman" w:eastAsia="Times New Roman" w:hAnsi="Times New Roman" w:cs="Times New Roman"/>
          <w:sz w:val="24"/>
          <w:szCs w:val="24"/>
          <w:lang w:eastAsia="en-AU"/>
        </w:rPr>
        <w:t> offers a frame of reference for the Creature’s uncontextualized feelings and sensibilities. As he says, he was “unformed in mind,” but in Goethe “the lofty sentiments and feelings, which had for their object something out of self, accorded well with my experience [. . .] and with the wants which were forever alive in my own bosom. [. . .] As I read [. . .] I applied much personally to my own feelings and condition” (128). This Ur-frame of feeling enables the Creature’s self-questioning, a necessary location of self in a context of defined and expressed emotional references: “What did this mean?” he asks; “Who was I? What was I? Whence did I come? What was my destination?” (128). Plutarch’s </w:t>
      </w:r>
      <w:r w:rsidRPr="006306B5">
        <w:rPr>
          <w:rFonts w:ascii="Times New Roman" w:eastAsia="Times New Roman" w:hAnsi="Times New Roman" w:cs="Times New Roman"/>
          <w:i/>
          <w:iCs/>
          <w:sz w:val="24"/>
          <w:szCs w:val="24"/>
          <w:lang w:eastAsia="en-AU"/>
        </w:rPr>
        <w:t>Parallel Lives</w:t>
      </w:r>
      <w:r w:rsidRPr="006306B5">
        <w:rPr>
          <w:rFonts w:ascii="Times New Roman" w:eastAsia="Times New Roman" w:hAnsi="Times New Roman" w:cs="Times New Roman"/>
          <w:sz w:val="24"/>
          <w:szCs w:val="24"/>
          <w:lang w:eastAsia="en-AU"/>
        </w:rPr>
        <w:t> “had a far different effect” on the Creature: “Plutarch taught me high thoughts; he elevated me above the wretched sphere of my own reflections, to admire and love the heroes of past ages” (128-29). Here the Creature adopts a frame of reference beyond self, a social frame in which self is defined in relationship to others.</w:t>
      </w:r>
    </w:p>
    <w:p w14:paraId="044D83C9" w14:textId="77777777" w:rsidR="006306B5" w:rsidRPr="006306B5" w:rsidRDefault="006306B5" w:rsidP="006306B5">
      <w:pPr>
        <w:spacing w:after="0" w:line="240" w:lineRule="auto"/>
        <w:rPr>
          <w:rFonts w:ascii="Times New Roman" w:eastAsia="Times New Roman" w:hAnsi="Times New Roman" w:cs="Times New Roman"/>
          <w:sz w:val="24"/>
          <w:szCs w:val="24"/>
          <w:lang w:eastAsia="en-AU"/>
        </w:rPr>
      </w:pPr>
      <w:r w:rsidRPr="006306B5">
        <w:rPr>
          <w:rFonts w:ascii="Times New Roman" w:eastAsia="Times New Roman" w:hAnsi="Times New Roman" w:cs="Times New Roman"/>
          <w:sz w:val="24"/>
          <w:szCs w:val="24"/>
          <w:lang w:eastAsia="en-AU"/>
        </w:rPr>
        <w:t>The last and most affecting text in the portmanteau is </w:t>
      </w:r>
      <w:r w:rsidRPr="006306B5">
        <w:rPr>
          <w:rFonts w:ascii="Times New Roman" w:eastAsia="Times New Roman" w:hAnsi="Times New Roman" w:cs="Times New Roman"/>
          <w:i/>
          <w:iCs/>
          <w:sz w:val="24"/>
          <w:szCs w:val="24"/>
          <w:lang w:eastAsia="en-AU"/>
        </w:rPr>
        <w:t>Paradise Lost</w:t>
      </w:r>
      <w:r w:rsidRPr="006306B5">
        <w:rPr>
          <w:rFonts w:ascii="Times New Roman" w:eastAsia="Times New Roman" w:hAnsi="Times New Roman" w:cs="Times New Roman"/>
          <w:sz w:val="24"/>
          <w:szCs w:val="24"/>
          <w:lang w:eastAsia="en-AU"/>
        </w:rPr>
        <w:t>, which “moved every feeling of wonder and awe that the picture of an omnipotent God warring with his creatures was capable of exciting” (129). While it is enabled by Goethe (the Ur-frame of self) and Plutarch (the Ur-frame of other), this text becomes the Creature’s defining frame of reference, as it comprises both self and other and extends those Ur-frames outward (to a cosmic level) and inward (to a psychic level). While reading </w:t>
      </w:r>
      <w:r w:rsidRPr="006306B5">
        <w:rPr>
          <w:rFonts w:ascii="Times New Roman" w:eastAsia="Times New Roman" w:hAnsi="Times New Roman" w:cs="Times New Roman"/>
          <w:i/>
          <w:iCs/>
          <w:sz w:val="24"/>
          <w:szCs w:val="24"/>
          <w:lang w:eastAsia="en-AU"/>
        </w:rPr>
        <w:t>Paradise Lost</w:t>
      </w:r>
      <w:r w:rsidRPr="006306B5">
        <w:rPr>
          <w:rFonts w:ascii="Times New Roman" w:eastAsia="Times New Roman" w:hAnsi="Times New Roman" w:cs="Times New Roman"/>
          <w:sz w:val="24"/>
          <w:szCs w:val="24"/>
          <w:lang w:eastAsia="en-AU"/>
        </w:rPr>
        <w:t>, the Creature says, “I often referred the several situations as their similarity struck me, to my own. Like Adam, I was apparently united by no link to any other being in existence [. . .]. Many times I considered Satan the fitter emblem of my condition” (129). His reading of Milton gives the Creature a suitably clear and complex frame of reference: clear because in the Adam-Satan dichotomy the Creature sees a double structure of potential, a shaping figure of the world and the previously “unformed” self; complex because the potential of that dichotomy is necessarily ambivalent, and the Creature’s narrative proves him capable of sliding easily between the poles of Adam (benevolence) and Satan (malevolence).</w:t>
      </w:r>
    </w:p>
    <w:p w14:paraId="2CC57B7B" w14:textId="77777777" w:rsidR="006306B5" w:rsidRPr="006306B5" w:rsidRDefault="006306B5" w:rsidP="006306B5">
      <w:pPr>
        <w:spacing w:after="0" w:line="240" w:lineRule="auto"/>
        <w:rPr>
          <w:rFonts w:ascii="Times New Roman" w:eastAsia="Times New Roman" w:hAnsi="Times New Roman" w:cs="Times New Roman"/>
          <w:sz w:val="24"/>
          <w:szCs w:val="24"/>
          <w:lang w:eastAsia="en-AU"/>
        </w:rPr>
      </w:pPr>
      <w:r w:rsidRPr="006306B5">
        <w:rPr>
          <w:rFonts w:ascii="Times New Roman" w:eastAsia="Times New Roman" w:hAnsi="Times New Roman" w:cs="Times New Roman"/>
          <w:sz w:val="24"/>
          <w:szCs w:val="24"/>
          <w:lang w:eastAsia="en-AU"/>
        </w:rPr>
        <w:t>The rhetoric of the Creature’s narrative is the most overt indication that </w:t>
      </w:r>
      <w:r w:rsidRPr="006306B5">
        <w:rPr>
          <w:rFonts w:ascii="Times New Roman" w:eastAsia="Times New Roman" w:hAnsi="Times New Roman" w:cs="Times New Roman"/>
          <w:i/>
          <w:iCs/>
          <w:sz w:val="24"/>
          <w:szCs w:val="24"/>
          <w:lang w:eastAsia="en-AU"/>
        </w:rPr>
        <w:t>Paradise Lost</w:t>
      </w:r>
      <w:r w:rsidRPr="006306B5">
        <w:rPr>
          <w:rFonts w:ascii="Times New Roman" w:eastAsia="Times New Roman" w:hAnsi="Times New Roman" w:cs="Times New Roman"/>
          <w:sz w:val="24"/>
          <w:szCs w:val="24"/>
          <w:lang w:eastAsia="en-AU"/>
        </w:rPr>
        <w:t> acts as a referential frame. Most instances in which the Creature alludes to </w:t>
      </w:r>
      <w:r w:rsidRPr="006306B5">
        <w:rPr>
          <w:rFonts w:ascii="Times New Roman" w:eastAsia="Times New Roman" w:hAnsi="Times New Roman" w:cs="Times New Roman"/>
          <w:i/>
          <w:iCs/>
          <w:sz w:val="24"/>
          <w:szCs w:val="24"/>
          <w:lang w:eastAsia="en-AU"/>
        </w:rPr>
        <w:t>Paradise Lost</w:t>
      </w:r>
      <w:r w:rsidRPr="006306B5">
        <w:rPr>
          <w:rFonts w:ascii="Times New Roman" w:eastAsia="Times New Roman" w:hAnsi="Times New Roman" w:cs="Times New Roman"/>
          <w:sz w:val="24"/>
          <w:szCs w:val="24"/>
          <w:lang w:eastAsia="en-AU"/>
        </w:rPr>
        <w:t> are well known: he remarks that the De Laceys’ cottage seemed “as exquisite and divine a retreat as Pandaemonium appeared to the daemons of hell after their sufferings in the lake of fire” (106); describing his loneliness, he says that “no Eve soothed my sorrows, nor shared my thoughts [. . .] I remembered Adam’s supplication to his Creator. But where was mine? He had abandoned me [. . .]” (131); and later he says that “Evil thenceforth became my good” (220). Other rhetorical allusions, of course, abound.</w:t>
      </w:r>
      <w:hyperlink r:id="rId21" w:anchor="no14" w:tooltip="For more detailed accounts of such rhetorical allusions, see Desser 53-65. See also Small, Ketterer, Knoepflmacher, Lamb, Soyka, and Ping." w:history="1">
        <w:r w:rsidRPr="006306B5">
          <w:rPr>
            <w:rFonts w:ascii="Helvetica" w:eastAsia="Times New Roman" w:hAnsi="Helvetica" w:cs="Helvetica"/>
            <w:color w:val="FF4242"/>
            <w:sz w:val="20"/>
            <w:szCs w:val="20"/>
            <w:lang w:eastAsia="en-AU"/>
          </w:rPr>
          <w:t>[14]</w:t>
        </w:r>
      </w:hyperlink>
      <w:r w:rsidRPr="006306B5">
        <w:rPr>
          <w:rFonts w:ascii="Times New Roman" w:eastAsia="Times New Roman" w:hAnsi="Times New Roman" w:cs="Times New Roman"/>
          <w:sz w:val="24"/>
          <w:szCs w:val="24"/>
          <w:lang w:eastAsia="en-AU"/>
        </w:rPr>
        <w:t> Milton’s poem thus supplies the Creature with a discourse, a source of descriptive metaphor that shapes his view of the world and allows him to express that view according to the supplied discourse. Even more significant is what the Miltonic rhetoric suggests about the role of </w:t>
      </w:r>
      <w:r w:rsidRPr="006306B5">
        <w:rPr>
          <w:rFonts w:ascii="Times New Roman" w:eastAsia="Times New Roman" w:hAnsi="Times New Roman" w:cs="Times New Roman"/>
          <w:i/>
          <w:iCs/>
          <w:sz w:val="24"/>
          <w:szCs w:val="24"/>
          <w:lang w:eastAsia="en-AU"/>
        </w:rPr>
        <w:t>Paradise Lost</w:t>
      </w:r>
      <w:r w:rsidRPr="006306B5">
        <w:rPr>
          <w:rFonts w:ascii="Times New Roman" w:eastAsia="Times New Roman" w:hAnsi="Times New Roman" w:cs="Times New Roman"/>
          <w:sz w:val="24"/>
          <w:szCs w:val="24"/>
          <w:lang w:eastAsia="en-AU"/>
        </w:rPr>
        <w:t> in the narrative sequence of </w:t>
      </w:r>
      <w:r w:rsidRPr="006306B5">
        <w:rPr>
          <w:rFonts w:ascii="Times New Roman" w:eastAsia="Times New Roman" w:hAnsi="Times New Roman" w:cs="Times New Roman"/>
          <w:i/>
          <w:iCs/>
          <w:sz w:val="24"/>
          <w:szCs w:val="24"/>
          <w:lang w:eastAsia="en-AU"/>
        </w:rPr>
        <w:t>Frankenstein</w:t>
      </w:r>
      <w:r w:rsidRPr="006306B5">
        <w:rPr>
          <w:rFonts w:ascii="Times New Roman" w:eastAsia="Times New Roman" w:hAnsi="Times New Roman" w:cs="Times New Roman"/>
          <w:sz w:val="24"/>
          <w:szCs w:val="24"/>
          <w:lang w:eastAsia="en-AU"/>
        </w:rPr>
        <w:t>. The Creature’s adoption of Milton as his experiential frame leads naturally to its adoption as a narrative frame-work, an enabling text, without which the Creature’s narrative would not be what it is, rhetorically, elementally, or intentionally.</w:t>
      </w:r>
    </w:p>
    <w:p w14:paraId="2F1EDFC6" w14:textId="77777777" w:rsidR="006306B5" w:rsidRPr="006306B5" w:rsidRDefault="006306B5" w:rsidP="006306B5">
      <w:pPr>
        <w:spacing w:after="0" w:line="240" w:lineRule="auto"/>
        <w:rPr>
          <w:rFonts w:ascii="Times New Roman" w:eastAsia="Times New Roman" w:hAnsi="Times New Roman" w:cs="Times New Roman"/>
          <w:sz w:val="24"/>
          <w:szCs w:val="24"/>
          <w:lang w:eastAsia="en-AU"/>
        </w:rPr>
      </w:pPr>
      <w:r w:rsidRPr="006306B5">
        <w:rPr>
          <w:rFonts w:ascii="Times New Roman" w:eastAsia="Times New Roman" w:hAnsi="Times New Roman" w:cs="Times New Roman"/>
          <w:sz w:val="24"/>
          <w:szCs w:val="24"/>
          <w:lang w:eastAsia="en-AU"/>
        </w:rPr>
        <w:t>The Creature’s elemental refiguration of </w:t>
      </w:r>
      <w:r w:rsidRPr="006306B5">
        <w:rPr>
          <w:rFonts w:ascii="Times New Roman" w:eastAsia="Times New Roman" w:hAnsi="Times New Roman" w:cs="Times New Roman"/>
          <w:i/>
          <w:iCs/>
          <w:sz w:val="24"/>
          <w:szCs w:val="24"/>
          <w:lang w:eastAsia="en-AU"/>
        </w:rPr>
        <w:t>Paradise Lost</w:t>
      </w:r>
      <w:r w:rsidRPr="006306B5">
        <w:rPr>
          <w:rFonts w:ascii="Times New Roman" w:eastAsia="Times New Roman" w:hAnsi="Times New Roman" w:cs="Times New Roman"/>
          <w:sz w:val="24"/>
          <w:szCs w:val="24"/>
          <w:lang w:eastAsia="en-AU"/>
        </w:rPr>
        <w:t> is essential to any understanding of Shelley’s work, for here we see in its deepest form the degree to which Milton’s epic has become both a perceptual and cognitive frame of reference for the Creature, and that frame will reproduce itself in the narratives enabled by the Creature’s text. The matrix for this elemental frame is the ambivalent Adam-Satan dichotomy that the Creature uses as a </w:t>
      </w:r>
      <w:r w:rsidRPr="006306B5">
        <w:rPr>
          <w:rFonts w:ascii="Times New Roman" w:eastAsia="Times New Roman" w:hAnsi="Times New Roman" w:cs="Times New Roman"/>
          <w:i/>
          <w:iCs/>
          <w:sz w:val="24"/>
          <w:szCs w:val="24"/>
          <w:lang w:eastAsia="en-AU"/>
        </w:rPr>
        <w:t>locus</w:t>
      </w:r>
      <w:r w:rsidRPr="006306B5">
        <w:rPr>
          <w:rFonts w:ascii="Times New Roman" w:eastAsia="Times New Roman" w:hAnsi="Times New Roman" w:cs="Times New Roman"/>
          <w:sz w:val="24"/>
          <w:szCs w:val="24"/>
          <w:lang w:eastAsia="en-AU"/>
        </w:rPr>
        <w:t xml:space="preserve"> for self. He seems to slide between identifications with Adam and Satan, but gradually assumes the identity of Adam-turned-Satan: “I ought to be thy Adam,” he tells </w:t>
      </w:r>
      <w:r w:rsidRPr="006306B5">
        <w:rPr>
          <w:rFonts w:ascii="Times New Roman" w:eastAsia="Times New Roman" w:hAnsi="Times New Roman" w:cs="Times New Roman"/>
          <w:sz w:val="24"/>
          <w:szCs w:val="24"/>
          <w:lang w:eastAsia="en-AU"/>
        </w:rPr>
        <w:lastRenderedPageBreak/>
        <w:t>Frankenstein, “but I am rather the fallen angel, whom thou drivest from joy for no misdeed [. . .]. I was benevolent and good; misery made me a fiend” (100). These identifications—the Creature’s consistent appropriation of </w:t>
      </w:r>
      <w:r w:rsidRPr="006306B5">
        <w:rPr>
          <w:rFonts w:ascii="Times New Roman" w:eastAsia="Times New Roman" w:hAnsi="Times New Roman" w:cs="Times New Roman"/>
          <w:i/>
          <w:iCs/>
          <w:sz w:val="24"/>
          <w:szCs w:val="24"/>
          <w:lang w:eastAsia="en-AU"/>
        </w:rPr>
        <w:t>Paradise Lost</w:t>
      </w:r>
      <w:r w:rsidRPr="006306B5">
        <w:rPr>
          <w:rFonts w:ascii="Times New Roman" w:eastAsia="Times New Roman" w:hAnsi="Times New Roman" w:cs="Times New Roman"/>
          <w:sz w:val="24"/>
          <w:szCs w:val="24"/>
          <w:lang w:eastAsia="en-AU"/>
        </w:rPr>
        <w:t> as a metaphor for self, other, and world—determine which elements of his experience he will narrate; his perception of experience is shaped by the degree to which that experience can be given context by </w:t>
      </w:r>
      <w:r w:rsidRPr="006306B5">
        <w:rPr>
          <w:rFonts w:ascii="Times New Roman" w:eastAsia="Times New Roman" w:hAnsi="Times New Roman" w:cs="Times New Roman"/>
          <w:i/>
          <w:iCs/>
          <w:sz w:val="24"/>
          <w:szCs w:val="24"/>
          <w:lang w:eastAsia="en-AU"/>
        </w:rPr>
        <w:t>Paradise Lost</w:t>
      </w:r>
      <w:r w:rsidRPr="006306B5">
        <w:rPr>
          <w:rFonts w:ascii="Times New Roman" w:eastAsia="Times New Roman" w:hAnsi="Times New Roman" w:cs="Times New Roman"/>
          <w:sz w:val="24"/>
          <w:szCs w:val="24"/>
          <w:lang w:eastAsia="en-AU"/>
        </w:rPr>
        <w:t>. This is not to say (necessarily) that the Creature consciously acts out scenes from Milton’s epic, but rather (at least) that he views his past experience through the frame that </w:t>
      </w:r>
      <w:r w:rsidRPr="006306B5">
        <w:rPr>
          <w:rFonts w:ascii="Times New Roman" w:eastAsia="Times New Roman" w:hAnsi="Times New Roman" w:cs="Times New Roman"/>
          <w:i/>
          <w:iCs/>
          <w:sz w:val="24"/>
          <w:szCs w:val="24"/>
          <w:lang w:eastAsia="en-AU"/>
        </w:rPr>
        <w:t>Paradise Lost</w:t>
      </w:r>
      <w:r w:rsidRPr="006306B5">
        <w:rPr>
          <w:rFonts w:ascii="Times New Roman" w:eastAsia="Times New Roman" w:hAnsi="Times New Roman" w:cs="Times New Roman"/>
          <w:sz w:val="24"/>
          <w:szCs w:val="24"/>
          <w:lang w:eastAsia="en-AU"/>
        </w:rPr>
        <w:t> provides. Though his earlier experiences occur long before his exposure to Milton, his narrative act takes place after adopting </w:t>
      </w:r>
      <w:r w:rsidRPr="006306B5">
        <w:rPr>
          <w:rFonts w:ascii="Times New Roman" w:eastAsia="Times New Roman" w:hAnsi="Times New Roman" w:cs="Times New Roman"/>
          <w:i/>
          <w:iCs/>
          <w:sz w:val="24"/>
          <w:szCs w:val="24"/>
          <w:lang w:eastAsia="en-AU"/>
        </w:rPr>
        <w:t>Paradise Lost</w:t>
      </w:r>
      <w:r w:rsidRPr="006306B5">
        <w:rPr>
          <w:rFonts w:ascii="Times New Roman" w:eastAsia="Times New Roman" w:hAnsi="Times New Roman" w:cs="Times New Roman"/>
          <w:sz w:val="24"/>
          <w:szCs w:val="24"/>
          <w:lang w:eastAsia="en-AU"/>
        </w:rPr>
        <w:t> as his context, and thus even those early experiences are defined, selected, and narrated by reference to Milton’s enabling text.</w:t>
      </w:r>
    </w:p>
    <w:p w14:paraId="4E7B6A59" w14:textId="77777777" w:rsidR="006306B5" w:rsidRPr="006306B5" w:rsidRDefault="006306B5" w:rsidP="006306B5">
      <w:pPr>
        <w:spacing w:after="0" w:line="240" w:lineRule="auto"/>
        <w:rPr>
          <w:rFonts w:ascii="Times New Roman" w:eastAsia="Times New Roman" w:hAnsi="Times New Roman" w:cs="Times New Roman"/>
          <w:sz w:val="24"/>
          <w:szCs w:val="24"/>
          <w:lang w:eastAsia="en-AU"/>
        </w:rPr>
      </w:pPr>
      <w:r w:rsidRPr="006306B5">
        <w:rPr>
          <w:rFonts w:ascii="Times New Roman" w:eastAsia="Times New Roman" w:hAnsi="Times New Roman" w:cs="Times New Roman"/>
          <w:sz w:val="24"/>
          <w:szCs w:val="24"/>
          <w:lang w:eastAsia="en-AU"/>
        </w:rPr>
        <w:t>The Creature’s earliest experiences are selected and cast in his narrative for their resemblance to the formative, self-defining experiences of Milton’s Adam and Eve, as recounted in books 4 and 8 of </w:t>
      </w:r>
      <w:r w:rsidRPr="006306B5">
        <w:rPr>
          <w:rFonts w:ascii="Times New Roman" w:eastAsia="Times New Roman" w:hAnsi="Times New Roman" w:cs="Times New Roman"/>
          <w:i/>
          <w:iCs/>
          <w:sz w:val="24"/>
          <w:szCs w:val="24"/>
          <w:lang w:eastAsia="en-AU"/>
        </w:rPr>
        <w:t>Paradise Lost</w:t>
      </w:r>
      <w:r w:rsidRPr="006306B5">
        <w:rPr>
          <w:rFonts w:ascii="Times New Roman" w:eastAsia="Times New Roman" w:hAnsi="Times New Roman" w:cs="Times New Roman"/>
          <w:sz w:val="24"/>
          <w:szCs w:val="24"/>
          <w:lang w:eastAsia="en-AU"/>
        </w:rPr>
        <w:t>. Like Adam, who admits to Raphael that “‘For Man to tell how human Life began / Is hard; for who himself beginning knew?’” (</w:t>
      </w:r>
      <w:r w:rsidRPr="006306B5">
        <w:rPr>
          <w:rFonts w:ascii="Times New Roman" w:eastAsia="Times New Roman" w:hAnsi="Times New Roman" w:cs="Times New Roman"/>
          <w:i/>
          <w:iCs/>
          <w:sz w:val="24"/>
          <w:szCs w:val="24"/>
          <w:lang w:eastAsia="en-AU"/>
        </w:rPr>
        <w:t>PL</w:t>
      </w:r>
      <w:r w:rsidRPr="006306B5">
        <w:rPr>
          <w:rFonts w:ascii="Times New Roman" w:eastAsia="Times New Roman" w:hAnsi="Times New Roman" w:cs="Times New Roman"/>
          <w:sz w:val="24"/>
          <w:szCs w:val="24"/>
          <w:lang w:eastAsia="en-AU"/>
        </w:rPr>
        <w:t> 8.250-51), the Creature wakes into being alone and has trouble recalling the event clearly: “It is with considerable difficulty,” he tells Frankenstein, “that I remember the original era of my being: all the events of that period appear confused and indistinct” (102). Nevertheless, he can offer some account of his early days, comparable to Adam’s in shape and structure but pointedly contrastive in emotional content. To Adam, for example, the sun is a godlike, beneficent presence, but to the Creature it is “oppressive” and “wearying” (102); Adam eats “the fairest Fruit, that Hung to the Eye / Tempting” (</w:t>
      </w:r>
      <w:r w:rsidRPr="006306B5">
        <w:rPr>
          <w:rFonts w:ascii="Times New Roman" w:eastAsia="Times New Roman" w:hAnsi="Times New Roman" w:cs="Times New Roman"/>
          <w:i/>
          <w:iCs/>
          <w:sz w:val="24"/>
          <w:szCs w:val="24"/>
          <w:lang w:eastAsia="en-AU"/>
        </w:rPr>
        <w:t>PL</w:t>
      </w:r>
      <w:r w:rsidRPr="006306B5">
        <w:rPr>
          <w:rFonts w:ascii="Times New Roman" w:eastAsia="Times New Roman" w:hAnsi="Times New Roman" w:cs="Times New Roman"/>
          <w:sz w:val="24"/>
          <w:szCs w:val="24"/>
          <w:lang w:eastAsia="en-AU"/>
        </w:rPr>
        <w:t> 8.307-08), while the Creature is “tormented by hunger and thirst” (103). In light of his claims of “considerable difficulty” in recalling “the original era of [his] being,” the Creature’s selection and arrangement of these experiences indicate that he remembers them only because they are analogous to the events described by Adam; indeed, we might wonder if he has not confused his own early experience with that of Milton’s hero. In a similar moment of selection, the Creature makes a special point of representing his first glimpse of himself in a “transparent pool,” an event he remembers as he does because it is later reinforced by his reading of Eve’s encounter with her own reflection in “‘the clear / Smooth Lake’“ (</w:t>
      </w:r>
      <w:r w:rsidRPr="006306B5">
        <w:rPr>
          <w:rFonts w:ascii="Times New Roman" w:eastAsia="Times New Roman" w:hAnsi="Times New Roman" w:cs="Times New Roman"/>
          <w:i/>
          <w:iCs/>
          <w:sz w:val="24"/>
          <w:szCs w:val="24"/>
          <w:lang w:eastAsia="en-AU"/>
        </w:rPr>
        <w:t>PL</w:t>
      </w:r>
      <w:r w:rsidRPr="006306B5">
        <w:rPr>
          <w:rFonts w:ascii="Times New Roman" w:eastAsia="Times New Roman" w:hAnsi="Times New Roman" w:cs="Times New Roman"/>
          <w:sz w:val="24"/>
          <w:szCs w:val="24"/>
          <w:lang w:eastAsia="en-AU"/>
        </w:rPr>
        <w:t> 4.458-59). Eve’s is a scene of naive self adoration in which she and her reflection exchange “‘answering looks / Of sympathy and love’” (</w:t>
      </w:r>
      <w:r w:rsidRPr="006306B5">
        <w:rPr>
          <w:rFonts w:ascii="Times New Roman" w:eastAsia="Times New Roman" w:hAnsi="Times New Roman" w:cs="Times New Roman"/>
          <w:i/>
          <w:iCs/>
          <w:sz w:val="24"/>
          <w:szCs w:val="24"/>
          <w:lang w:eastAsia="en-AU"/>
        </w:rPr>
        <w:t>PL</w:t>
      </w:r>
      <w:r w:rsidRPr="006306B5">
        <w:rPr>
          <w:rFonts w:ascii="Times New Roman" w:eastAsia="Times New Roman" w:hAnsi="Times New Roman" w:cs="Times New Roman"/>
          <w:sz w:val="24"/>
          <w:szCs w:val="24"/>
          <w:lang w:eastAsia="en-AU"/>
        </w:rPr>
        <w:t> 4.464-65), while the Creature’s own experience is physically similar but emotionally inverted; he is “terrified” by his own image (114).</w:t>
      </w:r>
    </w:p>
    <w:p w14:paraId="6FABB3BE" w14:textId="77777777" w:rsidR="006306B5" w:rsidRPr="006306B5" w:rsidRDefault="006306B5" w:rsidP="006306B5">
      <w:pPr>
        <w:spacing w:after="0" w:line="240" w:lineRule="auto"/>
        <w:rPr>
          <w:rFonts w:ascii="Times New Roman" w:eastAsia="Times New Roman" w:hAnsi="Times New Roman" w:cs="Times New Roman"/>
          <w:sz w:val="24"/>
          <w:szCs w:val="24"/>
          <w:lang w:eastAsia="en-AU"/>
        </w:rPr>
      </w:pPr>
      <w:r w:rsidRPr="006306B5">
        <w:rPr>
          <w:rFonts w:ascii="Times New Roman" w:eastAsia="Times New Roman" w:hAnsi="Times New Roman" w:cs="Times New Roman"/>
          <w:sz w:val="24"/>
          <w:szCs w:val="24"/>
          <w:lang w:eastAsia="en-AU"/>
        </w:rPr>
        <w:t>The Creature’s later experiences—those following his rejection by the De Laceys—are selected and cast in his narrative for their resemblance to Satan’s descriptions of suffering and vengeance following his expulsion from Heaven. Recounting the evening of William’s murder, the Creature says that he exclaimed, “‘I, too, can create desolation; my enemy [Frankenstein] is not invulnerable; this death will carry despair to him [. . .]’” (143). As described by Beelzebub, Satan’s plan for vengeance against God is built upon a similar equation of death and despair: “‘To waste his whole Creation [. . .]. This would surpass / Common revenge, and interrupt his joy / In our Confusion’” (</w:t>
      </w:r>
      <w:r w:rsidRPr="006306B5">
        <w:rPr>
          <w:rFonts w:ascii="Times New Roman" w:eastAsia="Times New Roman" w:hAnsi="Times New Roman" w:cs="Times New Roman"/>
          <w:i/>
          <w:iCs/>
          <w:sz w:val="24"/>
          <w:szCs w:val="24"/>
          <w:lang w:eastAsia="en-AU"/>
        </w:rPr>
        <w:t>PL</w:t>
      </w:r>
      <w:r w:rsidRPr="006306B5">
        <w:rPr>
          <w:rFonts w:ascii="Times New Roman" w:eastAsia="Times New Roman" w:hAnsi="Times New Roman" w:cs="Times New Roman"/>
          <w:sz w:val="24"/>
          <w:szCs w:val="24"/>
          <w:lang w:eastAsia="en-AU"/>
        </w:rPr>
        <w:t> 2.365-72). Like Satan, the Creature claims to prefer a less violent course of action, but feels he is left no choice: “I am malicious because I am miserable,” he insists; “[. . .] if I cannot inspire love, I will cause fear; and chiefly towards you my arch-enemy, because my creator, do I swear inextinguishable hatred” (145). Satan’s claims to innocence undoubtedly provide models for the Creature’s rationalizations.</w:t>
      </w:r>
    </w:p>
    <w:p w14:paraId="291B70F1" w14:textId="77777777" w:rsidR="006306B5" w:rsidRPr="006306B5" w:rsidRDefault="006306B5" w:rsidP="006306B5">
      <w:pPr>
        <w:spacing w:after="0" w:line="240" w:lineRule="auto"/>
        <w:rPr>
          <w:rFonts w:ascii="Times New Roman" w:eastAsia="Times New Roman" w:hAnsi="Times New Roman" w:cs="Times New Roman"/>
          <w:sz w:val="24"/>
          <w:szCs w:val="24"/>
          <w:lang w:eastAsia="en-AU"/>
        </w:rPr>
      </w:pPr>
      <w:r w:rsidRPr="006306B5">
        <w:rPr>
          <w:rFonts w:ascii="Times New Roman" w:eastAsia="Times New Roman" w:hAnsi="Times New Roman" w:cs="Times New Roman"/>
          <w:sz w:val="24"/>
          <w:szCs w:val="24"/>
          <w:lang w:eastAsia="en-AU"/>
        </w:rPr>
        <w:t>The Creature’s elemental selections, then, demonstrate a “slide” between the poles of the Adam-Satan dichotomy. He constructs his narrative text upon the frame of reference provided by Milton’s epic, and so represents himself as Adam-turned-Satan—or more precisely, as Adam </w:t>
      </w:r>
      <w:r w:rsidRPr="006306B5">
        <w:rPr>
          <w:rFonts w:ascii="Times New Roman" w:eastAsia="Times New Roman" w:hAnsi="Times New Roman" w:cs="Times New Roman"/>
          <w:i/>
          <w:iCs/>
          <w:sz w:val="24"/>
          <w:szCs w:val="24"/>
          <w:lang w:eastAsia="en-AU"/>
        </w:rPr>
        <w:t>manqué</w:t>
      </w:r>
      <w:r w:rsidRPr="006306B5">
        <w:rPr>
          <w:rFonts w:ascii="Times New Roman" w:eastAsia="Times New Roman" w:hAnsi="Times New Roman" w:cs="Times New Roman"/>
          <w:sz w:val="24"/>
          <w:szCs w:val="24"/>
          <w:lang w:eastAsia="en-AU"/>
        </w:rPr>
        <w:t>-turned-Satan (“I </w:t>
      </w:r>
      <w:r w:rsidRPr="006306B5">
        <w:rPr>
          <w:rFonts w:ascii="Times New Roman" w:eastAsia="Times New Roman" w:hAnsi="Times New Roman" w:cs="Times New Roman"/>
          <w:i/>
          <w:iCs/>
          <w:sz w:val="24"/>
          <w:szCs w:val="24"/>
          <w:lang w:eastAsia="en-AU"/>
        </w:rPr>
        <w:t>ought</w:t>
      </w:r>
      <w:r w:rsidRPr="006306B5">
        <w:rPr>
          <w:rFonts w:ascii="Times New Roman" w:eastAsia="Times New Roman" w:hAnsi="Times New Roman" w:cs="Times New Roman"/>
          <w:sz w:val="24"/>
          <w:szCs w:val="24"/>
          <w:lang w:eastAsia="en-AU"/>
        </w:rPr>
        <w:t xml:space="preserve"> to be your Adam [. . .]” [100; emphasis </w:t>
      </w:r>
      <w:r w:rsidRPr="006306B5">
        <w:rPr>
          <w:rFonts w:ascii="Times New Roman" w:eastAsia="Times New Roman" w:hAnsi="Times New Roman" w:cs="Times New Roman"/>
          <w:sz w:val="24"/>
          <w:szCs w:val="24"/>
          <w:lang w:eastAsia="en-AU"/>
        </w:rPr>
        <w:lastRenderedPageBreak/>
        <w:t>added]). But these elemental selections are not necessarily unconscious, for the Creature also designs his narrative to serve a clear purpose, the exact nature of which is not revealed until the narrative’s conclusion: to persuade Frankenstein to fashion a female companion. This narrative intention, of course, is suggested by Adam’s similar complaint to God (</w:t>
      </w:r>
      <w:r w:rsidRPr="006306B5">
        <w:rPr>
          <w:rFonts w:ascii="Times New Roman" w:eastAsia="Times New Roman" w:hAnsi="Times New Roman" w:cs="Times New Roman"/>
          <w:i/>
          <w:iCs/>
          <w:sz w:val="24"/>
          <w:szCs w:val="24"/>
          <w:lang w:eastAsia="en-AU"/>
        </w:rPr>
        <w:t>PL</w:t>
      </w:r>
      <w:r w:rsidRPr="006306B5">
        <w:rPr>
          <w:rFonts w:ascii="Times New Roman" w:eastAsia="Times New Roman" w:hAnsi="Times New Roman" w:cs="Times New Roman"/>
          <w:sz w:val="24"/>
          <w:szCs w:val="24"/>
          <w:lang w:eastAsia="en-AU"/>
        </w:rPr>
        <w:t> 8.357-451), but unlike Adam’s speech, the Creature’s narrative is also an attempt at persuasion, an argument of </w:t>
      </w:r>
      <w:r w:rsidRPr="006306B5">
        <w:rPr>
          <w:rFonts w:ascii="Times New Roman" w:eastAsia="Times New Roman" w:hAnsi="Times New Roman" w:cs="Times New Roman"/>
          <w:i/>
          <w:iCs/>
          <w:sz w:val="24"/>
          <w:szCs w:val="24"/>
          <w:lang w:eastAsia="en-AU"/>
        </w:rPr>
        <w:t>logos</w:t>
      </w:r>
      <w:r w:rsidRPr="006306B5">
        <w:rPr>
          <w:rFonts w:ascii="Times New Roman" w:eastAsia="Times New Roman" w:hAnsi="Times New Roman" w:cs="Times New Roman"/>
          <w:sz w:val="24"/>
          <w:szCs w:val="24"/>
          <w:lang w:eastAsia="en-AU"/>
        </w:rPr>
        <w:t>, </w:t>
      </w:r>
      <w:r w:rsidRPr="006306B5">
        <w:rPr>
          <w:rFonts w:ascii="Times New Roman" w:eastAsia="Times New Roman" w:hAnsi="Times New Roman" w:cs="Times New Roman"/>
          <w:i/>
          <w:iCs/>
          <w:sz w:val="24"/>
          <w:szCs w:val="24"/>
          <w:lang w:eastAsia="en-AU"/>
        </w:rPr>
        <w:t>pathos</w:t>
      </w:r>
      <w:r w:rsidRPr="006306B5">
        <w:rPr>
          <w:rFonts w:ascii="Times New Roman" w:eastAsia="Times New Roman" w:hAnsi="Times New Roman" w:cs="Times New Roman"/>
          <w:sz w:val="24"/>
          <w:szCs w:val="24"/>
          <w:lang w:eastAsia="en-AU"/>
        </w:rPr>
        <w:t>, and </w:t>
      </w:r>
      <w:r w:rsidRPr="006306B5">
        <w:rPr>
          <w:rFonts w:ascii="Times New Roman" w:eastAsia="Times New Roman" w:hAnsi="Times New Roman" w:cs="Times New Roman"/>
          <w:i/>
          <w:iCs/>
          <w:sz w:val="24"/>
          <w:szCs w:val="24"/>
          <w:lang w:eastAsia="en-AU"/>
        </w:rPr>
        <w:t>ethos</w:t>
      </w:r>
      <w:r w:rsidRPr="006306B5">
        <w:rPr>
          <w:rFonts w:ascii="Times New Roman" w:eastAsia="Times New Roman" w:hAnsi="Times New Roman" w:cs="Times New Roman"/>
          <w:sz w:val="24"/>
          <w:szCs w:val="24"/>
          <w:lang w:eastAsia="en-AU"/>
        </w:rPr>
        <w:t> designed to “seduce” (or tempt) Frankenstein into cooperation with the Creature’s desires. The narrative intention is thus also enabled by Satan’s temptation of Eve (</w:t>
      </w:r>
      <w:r w:rsidRPr="006306B5">
        <w:rPr>
          <w:rFonts w:ascii="Times New Roman" w:eastAsia="Times New Roman" w:hAnsi="Times New Roman" w:cs="Times New Roman"/>
          <w:i/>
          <w:iCs/>
          <w:sz w:val="24"/>
          <w:szCs w:val="24"/>
          <w:lang w:eastAsia="en-AU"/>
        </w:rPr>
        <w:t>PL</w:t>
      </w:r>
      <w:r w:rsidRPr="006306B5">
        <w:rPr>
          <w:rFonts w:ascii="Times New Roman" w:eastAsia="Times New Roman" w:hAnsi="Times New Roman" w:cs="Times New Roman"/>
          <w:sz w:val="24"/>
          <w:szCs w:val="24"/>
          <w:lang w:eastAsia="en-AU"/>
        </w:rPr>
        <w:t> 9.532-732). Once again, the Adam-Satan dichotomy frames the text of the Creature’s narrative: his Satanic attempt at persuasion argues that he is Adam </w:t>
      </w:r>
      <w:r w:rsidRPr="006306B5">
        <w:rPr>
          <w:rFonts w:ascii="Times New Roman" w:eastAsia="Times New Roman" w:hAnsi="Times New Roman" w:cs="Times New Roman"/>
          <w:i/>
          <w:iCs/>
          <w:sz w:val="24"/>
          <w:szCs w:val="24"/>
          <w:lang w:eastAsia="en-AU"/>
        </w:rPr>
        <w:t>manqué</w:t>
      </w:r>
      <w:r w:rsidRPr="006306B5">
        <w:rPr>
          <w:rFonts w:ascii="Times New Roman" w:eastAsia="Times New Roman" w:hAnsi="Times New Roman" w:cs="Times New Roman"/>
          <w:sz w:val="24"/>
          <w:szCs w:val="24"/>
          <w:lang w:eastAsia="en-AU"/>
        </w:rPr>
        <w:t> in need of a companion, and that if he were given an Eve, he would revert to a true Adamic state.</w:t>
      </w:r>
      <w:hyperlink r:id="rId22" w:anchor="no15" w:tooltip="Beth Newman presents a useful analysis of the Creature’s narrative intention as an attempt at seduction (150-51). Such a reading supports my claim that the Creature’s intention is informed by his iden[…]" w:history="1">
        <w:r w:rsidRPr="006306B5">
          <w:rPr>
            <w:rFonts w:ascii="Helvetica" w:eastAsia="Times New Roman" w:hAnsi="Helvetica" w:cs="Helvetica"/>
            <w:color w:val="FF4242"/>
            <w:sz w:val="20"/>
            <w:szCs w:val="20"/>
            <w:lang w:eastAsia="en-AU"/>
          </w:rPr>
          <w:t>[15]</w:t>
        </w:r>
      </w:hyperlink>
    </w:p>
    <w:p w14:paraId="1CC89D34" w14:textId="77777777" w:rsidR="006306B5" w:rsidRPr="006306B5" w:rsidRDefault="006306B5" w:rsidP="006306B5">
      <w:pPr>
        <w:spacing w:before="360" w:after="120" w:line="240" w:lineRule="auto"/>
        <w:jc w:val="center"/>
        <w:outlineLvl w:val="1"/>
        <w:rPr>
          <w:rFonts w:ascii="Times New Roman" w:eastAsia="Times New Roman" w:hAnsi="Times New Roman" w:cs="Times New Roman"/>
          <w:b/>
          <w:bCs/>
          <w:color w:val="FF4242"/>
          <w:sz w:val="47"/>
          <w:szCs w:val="47"/>
          <w:lang w:eastAsia="en-AU"/>
        </w:rPr>
      </w:pPr>
      <w:r w:rsidRPr="006306B5">
        <w:rPr>
          <w:rFonts w:ascii="Times New Roman" w:eastAsia="Times New Roman" w:hAnsi="Times New Roman" w:cs="Times New Roman"/>
          <w:b/>
          <w:bCs/>
          <w:color w:val="FF4242"/>
          <w:sz w:val="47"/>
          <w:szCs w:val="47"/>
          <w:lang w:eastAsia="en-AU"/>
        </w:rPr>
        <w:t>IV</w:t>
      </w:r>
    </w:p>
    <w:p w14:paraId="57438A96" w14:textId="77777777" w:rsidR="006306B5" w:rsidRPr="006306B5" w:rsidRDefault="006306B5" w:rsidP="006306B5">
      <w:pPr>
        <w:spacing w:after="0" w:line="240" w:lineRule="auto"/>
        <w:rPr>
          <w:rFonts w:ascii="Times New Roman" w:eastAsia="Times New Roman" w:hAnsi="Times New Roman" w:cs="Times New Roman"/>
          <w:sz w:val="24"/>
          <w:szCs w:val="24"/>
          <w:lang w:eastAsia="en-AU"/>
        </w:rPr>
      </w:pPr>
      <w:r w:rsidRPr="006306B5">
        <w:rPr>
          <w:rFonts w:ascii="Times New Roman" w:eastAsia="Times New Roman" w:hAnsi="Times New Roman" w:cs="Times New Roman"/>
          <w:sz w:val="24"/>
          <w:szCs w:val="24"/>
          <w:lang w:eastAsia="en-AU"/>
        </w:rPr>
        <w:t>These same levels of refiguration shape the outset narratives of Frankenstein and Walton. Just as the Creature’s narrative refigures </w:t>
      </w:r>
      <w:r w:rsidRPr="006306B5">
        <w:rPr>
          <w:rFonts w:ascii="Times New Roman" w:eastAsia="Times New Roman" w:hAnsi="Times New Roman" w:cs="Times New Roman"/>
          <w:i/>
          <w:iCs/>
          <w:sz w:val="24"/>
          <w:szCs w:val="24"/>
          <w:lang w:eastAsia="en-AU"/>
        </w:rPr>
        <w:t>Paradise Lost</w:t>
      </w:r>
      <w:r w:rsidRPr="006306B5">
        <w:rPr>
          <w:rFonts w:ascii="Times New Roman" w:eastAsia="Times New Roman" w:hAnsi="Times New Roman" w:cs="Times New Roman"/>
          <w:sz w:val="24"/>
          <w:szCs w:val="24"/>
          <w:lang w:eastAsia="en-AU"/>
        </w:rPr>
        <w:t> rhetorically, elementally, and intentionally, so Frankenstein’s narrative refigures the Creature’s, as the latter becomes the enabling text of the former. It is important to keep in mind that we are tracing the </w:t>
      </w:r>
      <w:r w:rsidRPr="006306B5">
        <w:rPr>
          <w:rFonts w:ascii="Times New Roman" w:eastAsia="Times New Roman" w:hAnsi="Times New Roman" w:cs="Times New Roman"/>
          <w:i/>
          <w:iCs/>
          <w:sz w:val="24"/>
          <w:szCs w:val="24"/>
          <w:lang w:eastAsia="en-AU"/>
        </w:rPr>
        <w:t>narrative sequence</w:t>
      </w:r>
      <w:r w:rsidRPr="006306B5">
        <w:rPr>
          <w:rFonts w:ascii="Times New Roman" w:eastAsia="Times New Roman" w:hAnsi="Times New Roman" w:cs="Times New Roman"/>
          <w:sz w:val="24"/>
          <w:szCs w:val="24"/>
          <w:lang w:eastAsia="en-AU"/>
        </w:rPr>
        <w:t> of Shelley’s tale, in which Frankenstein’s narrative act follows (and thus may be formally and significantly enabled by) the Creature’s narrative. It matters not at all that many of the events narrated by Frankenstein precede the Creature’s narrative, or even his existence; we are concerned instead with a sequence of narrative acts and, from that sequence, attempting to trace the threads of their serial influence.</w:t>
      </w:r>
    </w:p>
    <w:p w14:paraId="55288D42" w14:textId="77777777" w:rsidR="006306B5" w:rsidRPr="006306B5" w:rsidRDefault="006306B5" w:rsidP="006306B5">
      <w:pPr>
        <w:spacing w:after="0" w:line="240" w:lineRule="auto"/>
        <w:rPr>
          <w:rFonts w:ascii="Times New Roman" w:eastAsia="Times New Roman" w:hAnsi="Times New Roman" w:cs="Times New Roman"/>
          <w:sz w:val="24"/>
          <w:szCs w:val="24"/>
          <w:lang w:eastAsia="en-AU"/>
        </w:rPr>
      </w:pPr>
      <w:r w:rsidRPr="006306B5">
        <w:rPr>
          <w:rFonts w:ascii="Times New Roman" w:eastAsia="Times New Roman" w:hAnsi="Times New Roman" w:cs="Times New Roman"/>
          <w:sz w:val="24"/>
          <w:szCs w:val="24"/>
          <w:lang w:eastAsia="en-AU"/>
        </w:rPr>
        <w:t>We see again rhetorical refiguration as Frankenstein’s narrative adopts quasi-Miltonic terms, phrases, and identifiers. But Frankenstein’s narrative is not directly enabled by </w:t>
      </w:r>
      <w:r w:rsidRPr="006306B5">
        <w:rPr>
          <w:rFonts w:ascii="Times New Roman" w:eastAsia="Times New Roman" w:hAnsi="Times New Roman" w:cs="Times New Roman"/>
          <w:i/>
          <w:iCs/>
          <w:sz w:val="24"/>
          <w:szCs w:val="24"/>
          <w:lang w:eastAsia="en-AU"/>
        </w:rPr>
        <w:t>Paradise Lost</w:t>
      </w:r>
      <w:r w:rsidRPr="006306B5">
        <w:rPr>
          <w:rFonts w:ascii="Times New Roman" w:eastAsia="Times New Roman" w:hAnsi="Times New Roman" w:cs="Times New Roman"/>
          <w:sz w:val="24"/>
          <w:szCs w:val="24"/>
          <w:lang w:eastAsia="en-AU"/>
        </w:rPr>
        <w:t>; rather, it reshapes the Creature’s text, which has itself been shaped by Milton’s epic.</w:t>
      </w:r>
      <w:hyperlink r:id="rId23" w:anchor="no16" w:tooltip="There is certainly a great deal of poetry reading in Shelley’s novel, but it is left largely to Walton, Elizabeth and Clerval. Though Walton registers his impression that " w:history="1">
        <w:r w:rsidRPr="006306B5">
          <w:rPr>
            <w:rFonts w:ascii="Helvetica" w:eastAsia="Times New Roman" w:hAnsi="Helvetica" w:cs="Helvetica"/>
            <w:color w:val="FF4242"/>
            <w:sz w:val="20"/>
            <w:szCs w:val="20"/>
            <w:lang w:eastAsia="en-AU"/>
          </w:rPr>
          <w:t>[16]</w:t>
        </w:r>
      </w:hyperlink>
      <w:r w:rsidRPr="006306B5">
        <w:rPr>
          <w:rFonts w:ascii="Times New Roman" w:eastAsia="Times New Roman" w:hAnsi="Times New Roman" w:cs="Times New Roman"/>
          <w:sz w:val="24"/>
          <w:szCs w:val="24"/>
          <w:lang w:eastAsia="en-AU"/>
        </w:rPr>
        <w:t> Thus, for example, Frankenstein may describe his guilt over Justine Moritz’s execution by telling Walton that “I bore a hell within me” (88), but that phrase would have been suggested to Frankenstein by the Creature’s use of it months earlier in his own narrative (“I, like the arch fiend,” says the Creature, “bore a hell within me” [136]). The telling point is that this particular phrase does not appear in </w:t>
      </w:r>
      <w:r w:rsidRPr="006306B5">
        <w:rPr>
          <w:rFonts w:ascii="Times New Roman" w:eastAsia="Times New Roman" w:hAnsi="Times New Roman" w:cs="Times New Roman"/>
          <w:i/>
          <w:iCs/>
          <w:sz w:val="24"/>
          <w:szCs w:val="24"/>
          <w:lang w:eastAsia="en-AU"/>
        </w:rPr>
        <w:t>Paradise Lost</w:t>
      </w:r>
      <w:r w:rsidRPr="006306B5">
        <w:rPr>
          <w:rFonts w:ascii="Times New Roman" w:eastAsia="Times New Roman" w:hAnsi="Times New Roman" w:cs="Times New Roman"/>
          <w:sz w:val="24"/>
          <w:szCs w:val="24"/>
          <w:lang w:eastAsia="en-AU"/>
        </w:rPr>
        <w:t> at all. We come close, perhaps, in Satan’s realization that “Which way I fly is Hell; myself am Hell” (</w:t>
      </w:r>
      <w:r w:rsidRPr="006306B5">
        <w:rPr>
          <w:rFonts w:ascii="Times New Roman" w:eastAsia="Times New Roman" w:hAnsi="Times New Roman" w:cs="Times New Roman"/>
          <w:i/>
          <w:iCs/>
          <w:sz w:val="24"/>
          <w:szCs w:val="24"/>
          <w:lang w:eastAsia="en-AU"/>
        </w:rPr>
        <w:t>PL</w:t>
      </w:r>
      <w:r w:rsidRPr="006306B5">
        <w:rPr>
          <w:rFonts w:ascii="Times New Roman" w:eastAsia="Times New Roman" w:hAnsi="Times New Roman" w:cs="Times New Roman"/>
          <w:sz w:val="24"/>
          <w:szCs w:val="24"/>
          <w:lang w:eastAsia="en-AU"/>
        </w:rPr>
        <w:t> 4.75), or in Milton’s description of “the hot Hell that always in him [Satan] burns” (</w:t>
      </w:r>
      <w:r w:rsidRPr="006306B5">
        <w:rPr>
          <w:rFonts w:ascii="Times New Roman" w:eastAsia="Times New Roman" w:hAnsi="Times New Roman" w:cs="Times New Roman"/>
          <w:i/>
          <w:iCs/>
          <w:sz w:val="24"/>
          <w:szCs w:val="24"/>
          <w:lang w:eastAsia="en-AU"/>
        </w:rPr>
        <w:t>PL</w:t>
      </w:r>
      <w:r w:rsidRPr="006306B5">
        <w:rPr>
          <w:rFonts w:ascii="Times New Roman" w:eastAsia="Times New Roman" w:hAnsi="Times New Roman" w:cs="Times New Roman"/>
          <w:sz w:val="24"/>
          <w:szCs w:val="24"/>
          <w:lang w:eastAsia="en-AU"/>
        </w:rPr>
        <w:t> 9.467), but the Creature’s phrase is his own invention, a simile likening himself to Satan. Frankenstein’s appropriation of the phrase indicates the signal rhetorical influence of the Creature’s text on his own narrative—that this outset narrative has been enabled by the inset, preceding narrative frame.</w:t>
      </w:r>
    </w:p>
    <w:p w14:paraId="0FC004FB" w14:textId="77777777" w:rsidR="006306B5" w:rsidRPr="006306B5" w:rsidRDefault="006306B5" w:rsidP="006306B5">
      <w:pPr>
        <w:spacing w:after="0" w:line="240" w:lineRule="auto"/>
        <w:rPr>
          <w:rFonts w:ascii="Times New Roman" w:eastAsia="Times New Roman" w:hAnsi="Times New Roman" w:cs="Times New Roman"/>
          <w:sz w:val="24"/>
          <w:szCs w:val="24"/>
          <w:lang w:eastAsia="en-AU"/>
        </w:rPr>
      </w:pPr>
      <w:r w:rsidRPr="006306B5">
        <w:rPr>
          <w:rFonts w:ascii="Times New Roman" w:eastAsia="Times New Roman" w:hAnsi="Times New Roman" w:cs="Times New Roman"/>
          <w:sz w:val="24"/>
          <w:szCs w:val="24"/>
          <w:lang w:eastAsia="en-AU"/>
        </w:rPr>
        <w:t xml:space="preserve">In its elemental and intentional refiguration of the Creature’s narrative, Frankenstein’s tale introduces a system of ironic expansion and reversal. Just as the Creature identifies with Adam by inverting him (“I ought to have been thy Adam”), so Frankenstein, though less consciously, identifies with the Creature by a second inversion—by returning Adam to an upright position. If the Creature contextualizes himself in the Adam-Satan dichotomy, Frankenstein adopts and expands that suggested frame of reference, becoming first creature (Adam), then creator (God), and finally a vengeful demon (Satan). Speaking of his parents early on in his narrative, Frankenstein tells Walton that “I was their plaything and their idol [. . .] the being to which they had given life” (33-34) and that they “were not the tyrants to rule our lot according to their caprice, but the agents and creators of all the many delights which we enjoyed” (37). Influenced by the Creature’s tale, Frankenstein represents his parents as godlike beings who bestowed upon their Adam the “gift” of Elizabeth Lavenza, “the beautiful and adored companion of all my occupations and pleasures,” an Eve whom </w:t>
      </w:r>
      <w:r w:rsidRPr="006306B5">
        <w:rPr>
          <w:rFonts w:ascii="Times New Roman" w:eastAsia="Times New Roman" w:hAnsi="Times New Roman" w:cs="Times New Roman"/>
          <w:sz w:val="24"/>
          <w:szCs w:val="24"/>
          <w:lang w:eastAsia="en-AU"/>
        </w:rPr>
        <w:lastRenderedPageBreak/>
        <w:t>Frankenstein considered “mine—mine to protect, love, and cherish” (35-36). Finally, Frankenstein’s description of his youthful interests echoes Adam’s curiosity about the workings of creation in his conversations with Raphael (</w:t>
      </w:r>
      <w:r w:rsidRPr="006306B5">
        <w:rPr>
          <w:rFonts w:ascii="Times New Roman" w:eastAsia="Times New Roman" w:hAnsi="Times New Roman" w:cs="Times New Roman"/>
          <w:i/>
          <w:iCs/>
          <w:sz w:val="24"/>
          <w:szCs w:val="24"/>
          <w:lang w:eastAsia="en-AU"/>
        </w:rPr>
        <w:t>PL</w:t>
      </w:r>
      <w:r w:rsidRPr="006306B5">
        <w:rPr>
          <w:rFonts w:ascii="Times New Roman" w:eastAsia="Times New Roman" w:hAnsi="Times New Roman" w:cs="Times New Roman"/>
          <w:sz w:val="24"/>
          <w:szCs w:val="24"/>
          <w:lang w:eastAsia="en-AU"/>
        </w:rPr>
        <w:t> 7): “It was the secrets of heaven and earth that I desired to learn,” Frankenstein tells Walton, “[. . .] my enquiries were directed to the metaphysical, or, in its highest sense, the physical secrets of the world” (37). Indeed, Frankenstein’s lengthy narration of his studies in natural philosophy, and particularly his belief in the writings of alchemists, mirrors the Creature’s credulity when confronted with the “true histories” of the portmanteau texts. These particular story elements have been selected for narration by Frankenstein because they are indicated and activated by the principal concerns of the Creature’s narrative: the Miltonic themes of creation and duty which come to have situational meaning to Frankenstein as he relates his story to Walton. Looking back through the lens of events which have led him to the present, and particularly through the narrative frame provided by the Creature’s text, Frankenstein identifies his younger self with the Creature’s own ironically (un)Adamic existence. Frankenstein’s narrative intention, too, is enabled by the Creature’s apparent motives. Taking his cue from Adam, the Creature structures his narrative to elicit a sense of duty from Frankenstein by sharing his misery and making explicit his need for companionship.</w:t>
      </w:r>
    </w:p>
    <w:p w14:paraId="548BC927" w14:textId="77777777" w:rsidR="006306B5" w:rsidRPr="006306B5" w:rsidRDefault="006306B5" w:rsidP="006306B5">
      <w:pPr>
        <w:spacing w:after="0" w:line="240" w:lineRule="auto"/>
        <w:rPr>
          <w:rFonts w:ascii="Times New Roman" w:eastAsia="Times New Roman" w:hAnsi="Times New Roman" w:cs="Times New Roman"/>
          <w:sz w:val="24"/>
          <w:szCs w:val="24"/>
          <w:lang w:eastAsia="en-AU"/>
        </w:rPr>
      </w:pPr>
      <w:r w:rsidRPr="006306B5">
        <w:rPr>
          <w:rFonts w:ascii="Times New Roman" w:eastAsia="Times New Roman" w:hAnsi="Times New Roman" w:cs="Times New Roman"/>
          <w:sz w:val="24"/>
          <w:szCs w:val="24"/>
          <w:lang w:eastAsia="en-AU"/>
        </w:rPr>
        <w:t>Frankenstein’s narrative to Walton is shaped by similar forces, as Frankenstein attempts to make Walton see himself in the tale he tells: “Unhappy man!” he exclaims to Walton, “Do you share my madness? Have you drunk also of the intoxicating draft? Hear me,—let me reveal my tale, and you will dash the cup from your lips!” (28). Frankenstein sees in Walton the same reckless ambition that has “blasted” his own life, an ambition that marks Walton as a companion of sorts, “pursuing the same course, exposing yourself to the same dangers which have rendered me what I am” (30). The Creature’s narrative, designed to demonstrate the necessity of companionship, thus exerts its influence over Frankenstein’s narrative as well. Both tales are confessional, but they are also directive, and again we see the pattern of ironic inversion: the Creature concludes by demanding that Frankenstein create a mate, while Frankenstein ends by insisting that Walton destroy the Creature: “swear to me Walton,” he says, “that he shall not escape; that you will seek him, and satisfy my vengeance in his death” (208). Even the details of this inverted parallel are surprisingly similar. The Creature tells Frankenstein that he will watch from afar as Frankenstein fashions a companion, and promises that “when you are ready I shall appear” (148). Likewise, Frankenstein tells Walton to be ready to “thrust your sword into his [the Creature’s] heart,” adding, “I will hover near, and direct the steel aright” (209). Just as the Creature refigures aspects of </w:t>
      </w:r>
      <w:r w:rsidRPr="006306B5">
        <w:rPr>
          <w:rFonts w:ascii="Times New Roman" w:eastAsia="Times New Roman" w:hAnsi="Times New Roman" w:cs="Times New Roman"/>
          <w:i/>
          <w:iCs/>
          <w:sz w:val="24"/>
          <w:szCs w:val="24"/>
          <w:lang w:eastAsia="en-AU"/>
        </w:rPr>
        <w:t>Paradise Lost</w:t>
      </w:r>
      <w:r w:rsidRPr="006306B5">
        <w:rPr>
          <w:rFonts w:ascii="Times New Roman" w:eastAsia="Times New Roman" w:hAnsi="Times New Roman" w:cs="Times New Roman"/>
          <w:sz w:val="24"/>
          <w:szCs w:val="24"/>
          <w:lang w:eastAsia="en-AU"/>
        </w:rPr>
        <w:t> for Frankenstein’s ears, so Frankenstein’s narrative is shaped by the frame-work of the Creature’s text and becomes a variation on the original theme.</w:t>
      </w:r>
      <w:hyperlink r:id="rId24" w:anchor="no17" w:tooltip="Anne Mellor argues that the " w:history="1">
        <w:r w:rsidRPr="006306B5">
          <w:rPr>
            <w:rFonts w:ascii="Helvetica" w:eastAsia="Times New Roman" w:hAnsi="Helvetica" w:cs="Helvetica"/>
            <w:color w:val="FF4242"/>
            <w:sz w:val="20"/>
            <w:szCs w:val="20"/>
            <w:lang w:eastAsia="en-AU"/>
          </w:rPr>
          <w:t>[17]</w:t>
        </w:r>
      </w:hyperlink>
    </w:p>
    <w:p w14:paraId="11B0D14F" w14:textId="77777777" w:rsidR="006306B5" w:rsidRPr="006306B5" w:rsidRDefault="006306B5" w:rsidP="006306B5">
      <w:pPr>
        <w:spacing w:after="173" w:line="240" w:lineRule="auto"/>
        <w:rPr>
          <w:rFonts w:ascii="Times New Roman" w:eastAsia="Times New Roman" w:hAnsi="Times New Roman" w:cs="Times New Roman"/>
          <w:sz w:val="24"/>
          <w:szCs w:val="24"/>
          <w:lang w:eastAsia="en-AU"/>
        </w:rPr>
      </w:pPr>
      <w:r w:rsidRPr="006306B5">
        <w:rPr>
          <w:rFonts w:ascii="Times New Roman" w:eastAsia="Times New Roman" w:hAnsi="Times New Roman" w:cs="Times New Roman"/>
          <w:sz w:val="24"/>
          <w:szCs w:val="24"/>
          <w:lang w:eastAsia="en-AU"/>
        </w:rPr>
        <w:t>We reach the final stage in this sequence of enabling texts with Walton’s narrative to his sister, Margaret Saville, a complex that includes epistolary text recounting Walton’s own history, transcriptions of Frankenstein’s tale (interpolating, second hand, the Creature’s text), and Walton’s relation of Frankenstein’s death and the Creature’s final appearance. Walton’s narrative is perhaps least distinct of all, due partly to its embedding complexity, and partly to the changing contexts of Walton’s address. His narrative is fragmented formally, rhetorically, elementally, and intentionally. It begins as a series of separately-posted letters and then assumes a mock epistolarity when it becomes clear that Walton can no longer send his correspondence. The narrative then transforms into a formalized, edited autobiography complete with numbered chapter headings as Frankenstein’s narrative takes over, and finally appends a dated diary, now only nominally addressed to Margaret. Walton’s narrative is first intended as a travelogue, then becomes a vehicle for other narratives, and finally turns into a testimony to the truth of Frankenstein’s tale. Of the three major narratives, Walton’s is most evidently a refiguration of parts—as a text, it is the most monstrous of them all.</w:t>
      </w:r>
    </w:p>
    <w:p w14:paraId="475A8C01" w14:textId="77777777" w:rsidR="006306B5" w:rsidRPr="006306B5" w:rsidRDefault="006306B5" w:rsidP="006306B5">
      <w:pPr>
        <w:spacing w:after="0" w:line="240" w:lineRule="auto"/>
        <w:rPr>
          <w:rFonts w:ascii="Times New Roman" w:eastAsia="Times New Roman" w:hAnsi="Times New Roman" w:cs="Times New Roman"/>
          <w:sz w:val="24"/>
          <w:szCs w:val="24"/>
          <w:lang w:eastAsia="en-AU"/>
        </w:rPr>
      </w:pPr>
      <w:r w:rsidRPr="006306B5">
        <w:rPr>
          <w:rFonts w:ascii="Times New Roman" w:eastAsia="Times New Roman" w:hAnsi="Times New Roman" w:cs="Times New Roman"/>
          <w:sz w:val="24"/>
          <w:szCs w:val="24"/>
          <w:lang w:eastAsia="en-AU"/>
        </w:rPr>
        <w:lastRenderedPageBreak/>
        <w:t>It is tempting to read the influence of Frankenstein’s narrative in Walton’s initial letters (those written before he meets Frankenstein), but such influence must obviously be dismissed. Instead, by posing a number of reading problems, the letters suggest the complex system of influences in the other narratives even as Shelley carefully divorces this part of Walton’s narrative from that system. If there is a true “picture-frame” text in </w:t>
      </w:r>
      <w:r w:rsidRPr="006306B5">
        <w:rPr>
          <w:rFonts w:ascii="Times New Roman" w:eastAsia="Times New Roman" w:hAnsi="Times New Roman" w:cs="Times New Roman"/>
          <w:i/>
          <w:iCs/>
          <w:sz w:val="24"/>
          <w:szCs w:val="24"/>
          <w:lang w:eastAsia="en-AU"/>
        </w:rPr>
        <w:t>Frankenstein</w:t>
      </w:r>
      <w:r w:rsidRPr="006306B5">
        <w:rPr>
          <w:rFonts w:ascii="Times New Roman" w:eastAsia="Times New Roman" w:hAnsi="Times New Roman" w:cs="Times New Roman"/>
          <w:sz w:val="24"/>
          <w:szCs w:val="24"/>
          <w:lang w:eastAsia="en-AU"/>
        </w:rPr>
        <w:t>, as opposed to a “frame-work” structure, the early portion of Walton’s narrative suggests it; the narratives of the Creature and Frankenstein cannot (yet) have enabled the shape of Walton’s initial letters, but these letters do serve as a separate, artificial border that is thematically (rather than effectually) linked to the embedded narratives. The letters thus give rise to a distinction that has not been evident until this stage of the narrative sequence: a distinction between Walton’s intention as narrator—to record his journey—and Shelley’s intention as author—to provide a liminal space that eases our attention toward the interiors of her novel. We read, for example, of Walton’s desire for companionship, for a friend “who could sympathise with me; whose eyes would reply to mine” (19). We read also of his ambition, similar to Frankenstein’s in the projected good of its effects, “the inestimable benefit which I shall confer on all mankind to the last generation” (16). These sentiments, so human and familiar, will be transformed and heightened to a sublime alterity in the </w:t>
      </w:r>
      <w:r w:rsidRPr="006306B5">
        <w:rPr>
          <w:rFonts w:ascii="Times New Roman" w:eastAsia="Times New Roman" w:hAnsi="Times New Roman" w:cs="Times New Roman"/>
          <w:i/>
          <w:iCs/>
          <w:sz w:val="24"/>
          <w:szCs w:val="24"/>
          <w:lang w:eastAsia="en-AU"/>
        </w:rPr>
        <w:t>reading</w:t>
      </w:r>
      <w:r w:rsidRPr="006306B5">
        <w:rPr>
          <w:rFonts w:ascii="Times New Roman" w:eastAsia="Times New Roman" w:hAnsi="Times New Roman" w:cs="Times New Roman"/>
          <w:sz w:val="24"/>
          <w:szCs w:val="24"/>
          <w:lang w:eastAsia="en-AU"/>
        </w:rPr>
        <w:t> (rather than the </w:t>
      </w:r>
      <w:r w:rsidRPr="006306B5">
        <w:rPr>
          <w:rFonts w:ascii="Times New Roman" w:eastAsia="Times New Roman" w:hAnsi="Times New Roman" w:cs="Times New Roman"/>
          <w:i/>
          <w:iCs/>
          <w:sz w:val="24"/>
          <w:szCs w:val="24"/>
          <w:lang w:eastAsia="en-AU"/>
        </w:rPr>
        <w:t>narrative</w:t>
      </w:r>
      <w:r w:rsidRPr="006306B5">
        <w:rPr>
          <w:rFonts w:ascii="Times New Roman" w:eastAsia="Times New Roman" w:hAnsi="Times New Roman" w:cs="Times New Roman"/>
          <w:sz w:val="24"/>
          <w:szCs w:val="24"/>
          <w:lang w:eastAsia="en-AU"/>
        </w:rPr>
        <w:t>) sequence, as we move from Walton’s text to the narratives of Frankenstein and the Creature.</w:t>
      </w:r>
    </w:p>
    <w:p w14:paraId="77B9E710" w14:textId="77777777" w:rsidR="006306B5" w:rsidRPr="006306B5" w:rsidRDefault="006306B5" w:rsidP="006306B5">
      <w:pPr>
        <w:spacing w:after="0" w:line="240" w:lineRule="auto"/>
        <w:rPr>
          <w:rFonts w:ascii="Times New Roman" w:eastAsia="Times New Roman" w:hAnsi="Times New Roman" w:cs="Times New Roman"/>
          <w:sz w:val="24"/>
          <w:szCs w:val="24"/>
          <w:lang w:eastAsia="en-AU"/>
        </w:rPr>
      </w:pPr>
      <w:r w:rsidRPr="006306B5">
        <w:rPr>
          <w:rFonts w:ascii="Times New Roman" w:eastAsia="Times New Roman" w:hAnsi="Times New Roman" w:cs="Times New Roman"/>
          <w:sz w:val="24"/>
          <w:szCs w:val="24"/>
          <w:lang w:eastAsia="en-AU"/>
        </w:rPr>
        <w:t>But even if these correspondences to Frankenstein and his Creature are not the result of </w:t>
      </w:r>
      <w:r w:rsidRPr="006306B5">
        <w:rPr>
          <w:rFonts w:ascii="Times New Roman" w:eastAsia="Times New Roman" w:hAnsi="Times New Roman" w:cs="Times New Roman"/>
          <w:i/>
          <w:iCs/>
          <w:sz w:val="24"/>
          <w:szCs w:val="24"/>
          <w:lang w:eastAsia="en-AU"/>
        </w:rPr>
        <w:t>their</w:t>
      </w:r>
      <w:r w:rsidRPr="006306B5">
        <w:rPr>
          <w:rFonts w:ascii="Times New Roman" w:eastAsia="Times New Roman" w:hAnsi="Times New Roman" w:cs="Times New Roman"/>
          <w:sz w:val="24"/>
          <w:szCs w:val="24"/>
          <w:lang w:eastAsia="en-AU"/>
        </w:rPr>
        <w:t> narrative influence, Walton’s initial letters do suggest </w:t>
      </w:r>
      <w:r w:rsidRPr="006306B5">
        <w:rPr>
          <w:rFonts w:ascii="Times New Roman" w:eastAsia="Times New Roman" w:hAnsi="Times New Roman" w:cs="Times New Roman"/>
          <w:i/>
          <w:iCs/>
          <w:sz w:val="24"/>
          <w:szCs w:val="24"/>
          <w:lang w:eastAsia="en-AU"/>
        </w:rPr>
        <w:t>other</w:t>
      </w:r>
      <w:r w:rsidRPr="006306B5">
        <w:rPr>
          <w:rFonts w:ascii="Times New Roman" w:eastAsia="Times New Roman" w:hAnsi="Times New Roman" w:cs="Times New Roman"/>
          <w:sz w:val="24"/>
          <w:szCs w:val="24"/>
          <w:lang w:eastAsia="en-AU"/>
        </w:rPr>
        <w:t> rhetorical, elemental and intentional influences, and so prepare Shelley’s reader for the sequence of enabling texts that will follow. For example, the combination of Walton’s youthful reading in maritime literature and his erstwhile poetic ambitions lead him naturally (if anachronistically) to cast Frankenstein in the role of Coleridge’s Ancient Mariner, to whom he alludes on several occasions.</w:t>
      </w:r>
      <w:hyperlink r:id="rId25" w:anchor="no18" w:tooltip="Literary anachronisms occur several times in Frankenstein. Leonard Wolf’s chronology of the novel’s events denies the possibility of consistent, accurate dating (333-37), but Mellor conjectures that W[…]" w:history="1">
        <w:r w:rsidRPr="006306B5">
          <w:rPr>
            <w:rFonts w:ascii="Helvetica" w:eastAsia="Times New Roman" w:hAnsi="Helvetica" w:cs="Helvetica"/>
            <w:color w:val="FF4242"/>
            <w:sz w:val="20"/>
            <w:szCs w:val="20"/>
            <w:lang w:eastAsia="en-AU"/>
          </w:rPr>
          <w:t>[18]</w:t>
        </w:r>
      </w:hyperlink>
      <w:r w:rsidRPr="006306B5">
        <w:rPr>
          <w:rFonts w:ascii="Times New Roman" w:eastAsia="Times New Roman" w:hAnsi="Times New Roman" w:cs="Times New Roman"/>
          <w:sz w:val="24"/>
          <w:szCs w:val="24"/>
          <w:lang w:eastAsia="en-AU"/>
        </w:rPr>
        <w:t> Like the Mariner’s “glittering eye” (Coleridge, line 3), Frankenstein’s “eyes have generally an expression of wildness, and even of madness” (25), and Frankenstein seizes upon Walton as a kind of wedding guest to whom he must tell his tale. After hearing Frankenstein’s story, Walton himself assumes the role of the Mariner in his address to Margaret. Though not an effect of the Milton-Creature-Frankenstein frame-work structure, Walton’s adoption of the Coleridgian frame of reference prefigures the enabling textual frames that will follow in the reading sequence of the novel, even as it post-figures those frames in the narrative sequence. Coleridge acts for Walton as an Ur-frame, preparing him for Frankenstein’s narrative in much the same way that Goethe and Plutarch provide frames for the Creature’s reading of Milton. In a kind of psychic prolepsis, Walton here anticipates Frankenstein and the tale he tells, conjuring a friend from his own desires. Walton-the-poet creates in his imagination what Walton-the-explorer cannot yet discover in the world:</w:t>
      </w:r>
    </w:p>
    <w:p w14:paraId="31E255D0" w14:textId="77777777" w:rsidR="006306B5" w:rsidRPr="006306B5" w:rsidRDefault="006306B5" w:rsidP="006306B5">
      <w:pPr>
        <w:spacing w:after="173" w:line="240" w:lineRule="auto"/>
        <w:rPr>
          <w:rFonts w:ascii="Helvetica" w:eastAsia="Times New Roman" w:hAnsi="Helvetica" w:cs="Helvetica"/>
          <w:sz w:val="21"/>
          <w:szCs w:val="21"/>
          <w:lang w:eastAsia="en-AU"/>
        </w:rPr>
      </w:pPr>
      <w:r w:rsidRPr="006306B5">
        <w:rPr>
          <w:rFonts w:ascii="Helvetica" w:eastAsia="Times New Roman" w:hAnsi="Helvetica" w:cs="Helvetica"/>
          <w:sz w:val="21"/>
          <w:szCs w:val="21"/>
          <w:lang w:eastAsia="en-AU"/>
        </w:rPr>
        <w:t>I have often attributed my attachment to, my passionate enthusiasm for, the dangerous mysteries of ocean, to that production of the most imaginative of modern poets [Coleridge]. There is something at work in my soul, which I do not understand [. . .] a love for the marvellous, a belief in the marvellous, intertwined in all my projects, which hurries me out of the common pathways of men [. . .].</w:t>
      </w:r>
    </w:p>
    <w:p w14:paraId="5302CFEC" w14:textId="77777777" w:rsidR="006306B5" w:rsidRPr="006306B5" w:rsidRDefault="006306B5" w:rsidP="006306B5">
      <w:pPr>
        <w:spacing w:line="240" w:lineRule="auto"/>
        <w:rPr>
          <w:rFonts w:ascii="Times New Roman" w:eastAsia="Times New Roman" w:hAnsi="Times New Roman" w:cs="Times New Roman"/>
          <w:sz w:val="24"/>
          <w:szCs w:val="24"/>
          <w:lang w:eastAsia="en-AU"/>
        </w:rPr>
      </w:pPr>
      <w:r w:rsidRPr="006306B5">
        <w:rPr>
          <w:rFonts w:ascii="Helvetica" w:eastAsia="Times New Roman" w:hAnsi="Helvetica" w:cs="Helvetica"/>
          <w:color w:val="707070"/>
          <w:sz w:val="21"/>
          <w:szCs w:val="21"/>
          <w:lang w:eastAsia="en-AU"/>
        </w:rPr>
        <w:t>21-22</w:t>
      </w:r>
    </w:p>
    <w:p w14:paraId="2DEF75E4" w14:textId="77777777" w:rsidR="006306B5" w:rsidRPr="006306B5" w:rsidRDefault="006306B5" w:rsidP="006306B5">
      <w:pPr>
        <w:spacing w:after="173" w:line="240" w:lineRule="auto"/>
        <w:rPr>
          <w:rFonts w:ascii="Times New Roman" w:eastAsia="Times New Roman" w:hAnsi="Times New Roman" w:cs="Times New Roman"/>
          <w:sz w:val="24"/>
          <w:szCs w:val="24"/>
          <w:lang w:eastAsia="en-AU"/>
        </w:rPr>
      </w:pPr>
      <w:r w:rsidRPr="006306B5">
        <w:rPr>
          <w:rFonts w:ascii="Times New Roman" w:eastAsia="Times New Roman" w:hAnsi="Times New Roman" w:cs="Times New Roman"/>
          <w:sz w:val="24"/>
          <w:szCs w:val="24"/>
          <w:lang w:eastAsia="en-AU"/>
        </w:rPr>
        <w:t xml:space="preserve">Like Frankenstein’s anticipation of the being he will create, Walton’s wishes are ironically reversed in their fulfillment. He asks, “do I not deserve to accomplish some great purpose?” and desires “that some encouraging voice would answer in the affirmative” (17), but Frankenstein will urge him instead to “dash the cup from [his] lips” (28). Walton’s narrative begins as an adventure story, only to be countered and transformed by Frankenstein’s (initially) cautionary tale. In another ironic reversal, though, Walton’s text becomes a cautionary tale that is again countered by Frankenstein, who in recounting his own story has </w:t>
      </w:r>
      <w:r w:rsidRPr="006306B5">
        <w:rPr>
          <w:rFonts w:ascii="Times New Roman" w:eastAsia="Times New Roman" w:hAnsi="Times New Roman" w:cs="Times New Roman"/>
          <w:sz w:val="24"/>
          <w:szCs w:val="24"/>
          <w:lang w:eastAsia="en-AU"/>
        </w:rPr>
        <w:lastRenderedPageBreak/>
        <w:t>refueled the flames of his own ambition—this time to destroy his creation. In chastising Walton’s men for turning aside from their mission, Frankenstein actually exhorts Walton to further action on his behalf:</w:t>
      </w:r>
    </w:p>
    <w:p w14:paraId="568A678C" w14:textId="77777777" w:rsidR="006306B5" w:rsidRPr="006306B5" w:rsidRDefault="006306B5" w:rsidP="006306B5">
      <w:pPr>
        <w:spacing w:after="173" w:line="240" w:lineRule="auto"/>
        <w:rPr>
          <w:rFonts w:ascii="Helvetica" w:eastAsia="Times New Roman" w:hAnsi="Helvetica" w:cs="Helvetica"/>
          <w:sz w:val="21"/>
          <w:szCs w:val="21"/>
          <w:lang w:eastAsia="en-AU"/>
        </w:rPr>
      </w:pPr>
      <w:r w:rsidRPr="006306B5">
        <w:rPr>
          <w:rFonts w:ascii="Helvetica" w:eastAsia="Times New Roman" w:hAnsi="Helvetica" w:cs="Helvetica"/>
          <w:sz w:val="21"/>
          <w:szCs w:val="21"/>
          <w:lang w:eastAsia="en-AU"/>
        </w:rPr>
        <w:t>“Are you then so easily turned from your design? [. . .] You were hereafter to be hailed as the benefactors of your species; your names adored [. . .]. Do not return to your families with the stigma of disgrace marked on your brows. Return, as heroes who have fought and conquered, and who know not what it is to turn their backs on the foe.”</w:t>
      </w:r>
    </w:p>
    <w:p w14:paraId="16B336C9" w14:textId="77777777" w:rsidR="006306B5" w:rsidRPr="006306B5" w:rsidRDefault="006306B5" w:rsidP="006306B5">
      <w:pPr>
        <w:spacing w:line="240" w:lineRule="auto"/>
        <w:rPr>
          <w:rFonts w:ascii="Times New Roman" w:eastAsia="Times New Roman" w:hAnsi="Times New Roman" w:cs="Times New Roman"/>
          <w:sz w:val="24"/>
          <w:szCs w:val="24"/>
          <w:lang w:eastAsia="en-AU"/>
        </w:rPr>
      </w:pPr>
      <w:r w:rsidRPr="006306B5">
        <w:rPr>
          <w:rFonts w:ascii="Helvetica" w:eastAsia="Times New Roman" w:hAnsi="Helvetica" w:cs="Helvetica"/>
          <w:color w:val="707070"/>
          <w:sz w:val="21"/>
          <w:szCs w:val="21"/>
          <w:lang w:eastAsia="en-AU"/>
        </w:rPr>
        <w:t>214-15</w:t>
      </w:r>
    </w:p>
    <w:p w14:paraId="74497716" w14:textId="77777777" w:rsidR="006306B5" w:rsidRPr="006306B5" w:rsidRDefault="006306B5" w:rsidP="006306B5">
      <w:pPr>
        <w:spacing w:after="173" w:line="240" w:lineRule="auto"/>
        <w:rPr>
          <w:rFonts w:ascii="Times New Roman" w:eastAsia="Times New Roman" w:hAnsi="Times New Roman" w:cs="Times New Roman"/>
          <w:sz w:val="24"/>
          <w:szCs w:val="24"/>
          <w:lang w:eastAsia="en-AU"/>
        </w:rPr>
      </w:pPr>
      <w:r w:rsidRPr="006306B5">
        <w:rPr>
          <w:rFonts w:ascii="Times New Roman" w:eastAsia="Times New Roman" w:hAnsi="Times New Roman" w:cs="Times New Roman"/>
          <w:sz w:val="24"/>
          <w:szCs w:val="24"/>
          <w:lang w:eastAsia="en-AU"/>
        </w:rPr>
        <w:t>The counterpoint of intention and effect between Walton and Frankenstein contributes to the fragmented nature of Walton’s narrative.</w:t>
      </w:r>
    </w:p>
    <w:p w14:paraId="416A7E6E" w14:textId="77777777" w:rsidR="006306B5" w:rsidRPr="006306B5" w:rsidRDefault="006306B5" w:rsidP="006306B5">
      <w:pPr>
        <w:spacing w:after="173" w:line="240" w:lineRule="auto"/>
        <w:rPr>
          <w:rFonts w:ascii="Times New Roman" w:eastAsia="Times New Roman" w:hAnsi="Times New Roman" w:cs="Times New Roman"/>
          <w:sz w:val="24"/>
          <w:szCs w:val="24"/>
          <w:lang w:eastAsia="en-AU"/>
        </w:rPr>
      </w:pPr>
      <w:r w:rsidRPr="006306B5">
        <w:rPr>
          <w:rFonts w:ascii="Times New Roman" w:eastAsia="Times New Roman" w:hAnsi="Times New Roman" w:cs="Times New Roman"/>
          <w:sz w:val="24"/>
          <w:szCs w:val="24"/>
          <w:lang w:eastAsia="en-AU"/>
        </w:rPr>
        <w:t>The part of Walton’s text following Frankenstein’s narrative act, however, is certainly enabled by the narratives preceding it. The difficulty here is to ascertain just how much of the text belongs to Walton. Other voices obviously speak through his text, but Frankenstein has exerted some further authority over it, having “corrected” and “augmented” Walton’s notes, “giving life and spirit to the conversations he held with his enemy” (210). Frankenstein has again assembled a “creature,” this time a textual creation from the parts of Walton’s notes, and imbued that creature with “life and spirit.” At the same time, we cannot be certain how much of the text is “true”; though he is persuaded to believe it, Walton nevertheless calls Frankenstein’s story “the strangest tale that ever imagination formed” (210).</w:t>
      </w:r>
    </w:p>
    <w:p w14:paraId="2D810A1E" w14:textId="77777777" w:rsidR="006306B5" w:rsidRPr="006306B5" w:rsidRDefault="006306B5" w:rsidP="006306B5">
      <w:pPr>
        <w:spacing w:after="0" w:line="240" w:lineRule="auto"/>
        <w:rPr>
          <w:rFonts w:ascii="Times New Roman" w:eastAsia="Times New Roman" w:hAnsi="Times New Roman" w:cs="Times New Roman"/>
          <w:sz w:val="24"/>
          <w:szCs w:val="24"/>
          <w:lang w:eastAsia="en-AU"/>
        </w:rPr>
      </w:pPr>
      <w:r w:rsidRPr="006306B5">
        <w:rPr>
          <w:rFonts w:ascii="Times New Roman" w:eastAsia="Times New Roman" w:hAnsi="Times New Roman" w:cs="Times New Roman"/>
          <w:sz w:val="24"/>
          <w:szCs w:val="24"/>
          <w:lang w:eastAsia="en-AU"/>
        </w:rPr>
        <w:t>Walton’s narrative creates difficulties in reading the frame-work structure of Shelley’s novel largely because it has not yet been embedded within another narrative, and so has not yet become an enabling text. That embedding, if it is to occur, must happen outside the text of Shelley’s novel, which thus assumes an open form. </w:t>
      </w:r>
      <w:r w:rsidRPr="006306B5">
        <w:rPr>
          <w:rFonts w:ascii="Times New Roman" w:eastAsia="Times New Roman" w:hAnsi="Times New Roman" w:cs="Times New Roman"/>
          <w:i/>
          <w:iCs/>
          <w:sz w:val="24"/>
          <w:szCs w:val="24"/>
          <w:lang w:eastAsia="en-AU"/>
        </w:rPr>
        <w:t>Frankenstein</w:t>
      </w:r>
      <w:r w:rsidRPr="006306B5">
        <w:rPr>
          <w:rFonts w:ascii="Times New Roman" w:eastAsia="Times New Roman" w:hAnsi="Times New Roman" w:cs="Times New Roman"/>
          <w:sz w:val="24"/>
          <w:szCs w:val="24"/>
          <w:lang w:eastAsia="en-AU"/>
        </w:rPr>
        <w:t>, like any frame narrative, implicitly invites its own assimilation within other, subsequent narratives. After all, each of the major narratives in </w:t>
      </w:r>
      <w:r w:rsidRPr="006306B5">
        <w:rPr>
          <w:rFonts w:ascii="Times New Roman" w:eastAsia="Times New Roman" w:hAnsi="Times New Roman" w:cs="Times New Roman"/>
          <w:i/>
          <w:iCs/>
          <w:sz w:val="24"/>
          <w:szCs w:val="24"/>
          <w:lang w:eastAsia="en-AU"/>
        </w:rPr>
        <w:t>Frankenstein</w:t>
      </w:r>
      <w:r w:rsidRPr="006306B5">
        <w:rPr>
          <w:rFonts w:ascii="Times New Roman" w:eastAsia="Times New Roman" w:hAnsi="Times New Roman" w:cs="Times New Roman"/>
          <w:sz w:val="24"/>
          <w:szCs w:val="24"/>
          <w:lang w:eastAsia="en-AU"/>
        </w:rPr>
        <w:t> seeks to differentiate itself from the narrative which has enabled it and comes finally to encompass and exert authority over its “parent.” Here again the “frame-work” metaphor aptly describes these processes; each successive tale in the narrative sequence, while shaped by the text within, comes to cover that enabling text as a kind of façade with a texture of its own. Such matters of indeterminacy coincide with the “openness” of the novel’s themes, its structural ending, and indeed the “openness” of each of the major narratives that the novel contains.</w:t>
      </w:r>
      <w:hyperlink r:id="rId26" w:anchor="no19" w:tooltip="I use the term openness both in the broad affective sense given to it by Wayne Booth (the " w:history="1">
        <w:r w:rsidRPr="006306B5">
          <w:rPr>
            <w:rFonts w:ascii="Helvetica" w:eastAsia="Times New Roman" w:hAnsi="Helvetica" w:cs="Helvetica"/>
            <w:color w:val="FF4242"/>
            <w:sz w:val="20"/>
            <w:szCs w:val="20"/>
            <w:lang w:eastAsia="en-AU"/>
          </w:rPr>
          <w:t>[19]</w:t>
        </w:r>
      </w:hyperlink>
    </w:p>
    <w:p w14:paraId="4A6DF7AA" w14:textId="77777777" w:rsidR="006306B5" w:rsidRPr="006306B5" w:rsidRDefault="006306B5" w:rsidP="006306B5">
      <w:pPr>
        <w:spacing w:after="0" w:line="240" w:lineRule="auto"/>
        <w:rPr>
          <w:rFonts w:ascii="Times New Roman" w:eastAsia="Times New Roman" w:hAnsi="Times New Roman" w:cs="Times New Roman"/>
          <w:sz w:val="24"/>
          <w:szCs w:val="24"/>
          <w:lang w:eastAsia="en-AU"/>
        </w:rPr>
      </w:pPr>
      <w:r w:rsidRPr="006306B5">
        <w:rPr>
          <w:rFonts w:ascii="Times New Roman" w:eastAsia="Times New Roman" w:hAnsi="Times New Roman" w:cs="Times New Roman"/>
          <w:sz w:val="24"/>
          <w:szCs w:val="24"/>
          <w:lang w:eastAsia="en-AU"/>
        </w:rPr>
        <w:t>And where does this enabling and activating sequence end? At what point does the core of significant structure cease its straining outward, its reshaping of itself toward the perceiver? In theory, and in the practical case of Shelley’s work, it does not do so. Frame narratives, conceived as frame-</w:t>
      </w:r>
      <w:r w:rsidRPr="006306B5">
        <w:rPr>
          <w:rFonts w:ascii="Times New Roman" w:eastAsia="Times New Roman" w:hAnsi="Times New Roman" w:cs="Times New Roman"/>
          <w:i/>
          <w:iCs/>
          <w:sz w:val="24"/>
          <w:szCs w:val="24"/>
          <w:lang w:eastAsia="en-AU"/>
        </w:rPr>
        <w:t>works</w:t>
      </w:r>
      <w:r w:rsidRPr="006306B5">
        <w:rPr>
          <w:rFonts w:ascii="Times New Roman" w:eastAsia="Times New Roman" w:hAnsi="Times New Roman" w:cs="Times New Roman"/>
          <w:sz w:val="24"/>
          <w:szCs w:val="24"/>
          <w:lang w:eastAsia="en-AU"/>
        </w:rPr>
        <w:t>, clearly model a sequence of narrative and invite readers to continue the reshaping process. (Criticism, surely, is just such a response, an invitation accepted.) In this conception, perceivers are always potentially projectors who will assimilate, embed, and refigure the matter in their own ways, to their own ends. </w:t>
      </w:r>
      <w:r w:rsidRPr="006306B5">
        <w:rPr>
          <w:rFonts w:ascii="Times New Roman" w:eastAsia="Times New Roman" w:hAnsi="Times New Roman" w:cs="Times New Roman"/>
          <w:i/>
          <w:iCs/>
          <w:sz w:val="24"/>
          <w:szCs w:val="24"/>
          <w:lang w:eastAsia="en-AU"/>
        </w:rPr>
        <w:t>Frankenstein</w:t>
      </w:r>
      <w:r w:rsidRPr="006306B5">
        <w:rPr>
          <w:rFonts w:ascii="Times New Roman" w:eastAsia="Times New Roman" w:hAnsi="Times New Roman" w:cs="Times New Roman"/>
          <w:sz w:val="24"/>
          <w:szCs w:val="24"/>
          <w:lang w:eastAsia="en-AU"/>
        </w:rPr>
        <w:t> is an unusually heightened example, itself merely a fragment of what has become a much larger process in which the myth refashions and projects itself over and over, in fiction, on stage and screen, in comics, cartoons—and criticism.</w:t>
      </w:r>
    </w:p>
    <w:p w14:paraId="77C31BA2" w14:textId="77777777" w:rsidR="006306B5" w:rsidRPr="006306B5" w:rsidRDefault="006306B5" w:rsidP="006306B5">
      <w:pPr>
        <w:spacing w:before="360" w:after="120" w:line="240" w:lineRule="auto"/>
        <w:ind w:left="1107" w:right="-345"/>
        <w:outlineLvl w:val="1"/>
        <w:rPr>
          <w:rFonts w:ascii="Times New Roman" w:eastAsia="Times New Roman" w:hAnsi="Times New Roman" w:cs="Times New Roman"/>
          <w:b/>
          <w:bCs/>
          <w:color w:val="FF4242"/>
          <w:sz w:val="47"/>
          <w:szCs w:val="47"/>
          <w:lang w:eastAsia="en-AU"/>
        </w:rPr>
      </w:pPr>
      <w:r w:rsidRPr="006306B5">
        <w:rPr>
          <w:rFonts w:ascii="Times New Roman" w:eastAsia="Times New Roman" w:hAnsi="Times New Roman" w:cs="Times New Roman"/>
          <w:b/>
          <w:bCs/>
          <w:color w:val="FF4242"/>
          <w:sz w:val="47"/>
          <w:szCs w:val="47"/>
          <w:lang w:eastAsia="en-AU"/>
        </w:rPr>
        <w:t>Appendices</w:t>
      </w:r>
    </w:p>
    <w:p w14:paraId="1307FEC1" w14:textId="77777777" w:rsidR="006306B5" w:rsidRPr="006306B5" w:rsidRDefault="006306B5" w:rsidP="006306B5">
      <w:pPr>
        <w:spacing w:before="240" w:after="120" w:line="240" w:lineRule="auto"/>
        <w:outlineLvl w:val="1"/>
        <w:rPr>
          <w:rFonts w:ascii="Times New Roman" w:eastAsia="Times New Roman" w:hAnsi="Times New Roman" w:cs="Times New Roman"/>
          <w:b/>
          <w:bCs/>
          <w:color w:val="FF4242"/>
          <w:sz w:val="47"/>
          <w:szCs w:val="47"/>
          <w:lang w:eastAsia="en-AU"/>
        </w:rPr>
      </w:pPr>
      <w:r w:rsidRPr="006306B5">
        <w:rPr>
          <w:rFonts w:ascii="Times New Roman" w:eastAsia="Times New Roman" w:hAnsi="Times New Roman" w:cs="Times New Roman"/>
          <w:b/>
          <w:bCs/>
          <w:color w:val="FF4242"/>
          <w:sz w:val="47"/>
          <w:szCs w:val="47"/>
          <w:lang w:eastAsia="en-AU"/>
        </w:rPr>
        <w:t>Notes</w:t>
      </w:r>
    </w:p>
    <w:p w14:paraId="34C4F0FB" w14:textId="77777777" w:rsidR="006306B5" w:rsidRPr="006306B5" w:rsidRDefault="00213400" w:rsidP="006306B5">
      <w:pPr>
        <w:numPr>
          <w:ilvl w:val="0"/>
          <w:numId w:val="2"/>
        </w:numPr>
        <w:spacing w:after="0" w:line="240" w:lineRule="auto"/>
        <w:ind w:left="1122"/>
        <w:rPr>
          <w:rFonts w:ascii="Times New Roman" w:eastAsia="Times New Roman" w:hAnsi="Times New Roman" w:cs="Times New Roman"/>
          <w:sz w:val="21"/>
          <w:szCs w:val="21"/>
          <w:lang w:eastAsia="en-AU"/>
        </w:rPr>
      </w:pPr>
      <w:hyperlink r:id="rId27" w:anchor="re1no1" w:history="1">
        <w:r w:rsidR="006306B5" w:rsidRPr="006306B5">
          <w:rPr>
            <w:rFonts w:ascii="Helvetica" w:eastAsia="Times New Roman" w:hAnsi="Helvetica" w:cs="Helvetica"/>
            <w:color w:val="FF4242"/>
            <w:sz w:val="18"/>
            <w:szCs w:val="18"/>
            <w:lang w:eastAsia="en-AU"/>
          </w:rPr>
          <w:t>[1]</w:t>
        </w:r>
      </w:hyperlink>
    </w:p>
    <w:p w14:paraId="025D8FE0" w14:textId="77777777" w:rsidR="006306B5" w:rsidRPr="006306B5" w:rsidRDefault="006306B5" w:rsidP="006306B5">
      <w:pPr>
        <w:spacing w:before="120" w:after="173" w:line="240" w:lineRule="auto"/>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Mary Ann Caws provides a survey of modern aesthetic frame theory, including the seminal views of Georg Simmel, José Ortega y Gasset, Paul Claudel, and Jacques Derrida, among others (11-21). Caws focuses on critical concern with what she calls “setting apart” and “setting in,” or exclusion and inclusion. My comments on “outer” and “inner” in relation to frame metonymy are influenced by Caws and several of the theorists she mentions.</w:t>
      </w:r>
    </w:p>
    <w:p w14:paraId="5A652AD0" w14:textId="77777777" w:rsidR="006306B5" w:rsidRPr="006306B5" w:rsidRDefault="00213400" w:rsidP="006306B5">
      <w:pPr>
        <w:numPr>
          <w:ilvl w:val="0"/>
          <w:numId w:val="2"/>
        </w:numPr>
        <w:spacing w:after="0" w:line="240" w:lineRule="auto"/>
        <w:ind w:left="1122"/>
        <w:rPr>
          <w:rFonts w:ascii="Times New Roman" w:eastAsia="Times New Roman" w:hAnsi="Times New Roman" w:cs="Times New Roman"/>
          <w:sz w:val="21"/>
          <w:szCs w:val="21"/>
          <w:lang w:eastAsia="en-AU"/>
        </w:rPr>
      </w:pPr>
      <w:hyperlink r:id="rId28" w:anchor="re1no2" w:history="1">
        <w:r w:rsidR="006306B5" w:rsidRPr="006306B5">
          <w:rPr>
            <w:rFonts w:ascii="Helvetica" w:eastAsia="Times New Roman" w:hAnsi="Helvetica" w:cs="Helvetica"/>
            <w:color w:val="FF4242"/>
            <w:sz w:val="18"/>
            <w:szCs w:val="18"/>
            <w:lang w:eastAsia="en-AU"/>
          </w:rPr>
          <w:t>[2]</w:t>
        </w:r>
      </w:hyperlink>
    </w:p>
    <w:p w14:paraId="76284E5F" w14:textId="77777777" w:rsidR="006306B5" w:rsidRPr="006306B5" w:rsidRDefault="006306B5" w:rsidP="006306B5">
      <w:pPr>
        <w:spacing w:after="0" w:line="240" w:lineRule="auto"/>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 Closely connected to this view is Darko Suvin’s discussion of “defamiliarization” and “estrangement and cognition” as functions of science fiction (3-15). Rosemary Jackson calls such alterity “</w:t>
      </w:r>
      <w:r w:rsidRPr="006306B5">
        <w:rPr>
          <w:rFonts w:ascii="Helvetica" w:eastAsia="Times New Roman" w:hAnsi="Helvetica" w:cs="Helvetica"/>
          <w:i/>
          <w:iCs/>
          <w:sz w:val="21"/>
          <w:szCs w:val="21"/>
          <w:lang w:eastAsia="en-AU"/>
        </w:rPr>
        <w:t>paraxis</w:t>
      </w:r>
      <w:r w:rsidRPr="006306B5">
        <w:rPr>
          <w:rFonts w:ascii="Times New Roman" w:eastAsia="Times New Roman" w:hAnsi="Times New Roman" w:cs="Times New Roman"/>
          <w:sz w:val="21"/>
          <w:szCs w:val="21"/>
          <w:lang w:eastAsia="en-AU"/>
        </w:rPr>
        <w:t>,” noting that “in a secularized culture, desire for otherness is not displaced into alternative regions of heaven or hell, but is directed towards the absent areas of this world, transforming it into something other than the familiar, comfortable one. Instead of an alternative order, it creates ‘alterity’” (19).</w:t>
      </w:r>
    </w:p>
    <w:p w14:paraId="03537712" w14:textId="77777777" w:rsidR="006306B5" w:rsidRPr="006306B5" w:rsidRDefault="00213400" w:rsidP="006306B5">
      <w:pPr>
        <w:numPr>
          <w:ilvl w:val="0"/>
          <w:numId w:val="2"/>
        </w:numPr>
        <w:spacing w:after="0" w:line="240" w:lineRule="auto"/>
        <w:ind w:left="1122"/>
        <w:rPr>
          <w:rFonts w:ascii="Times New Roman" w:eastAsia="Times New Roman" w:hAnsi="Times New Roman" w:cs="Times New Roman"/>
          <w:sz w:val="21"/>
          <w:szCs w:val="21"/>
          <w:lang w:eastAsia="en-AU"/>
        </w:rPr>
      </w:pPr>
      <w:hyperlink r:id="rId29" w:anchor="re1no3" w:history="1">
        <w:r w:rsidR="006306B5" w:rsidRPr="006306B5">
          <w:rPr>
            <w:rFonts w:ascii="Helvetica" w:eastAsia="Times New Roman" w:hAnsi="Helvetica" w:cs="Helvetica"/>
            <w:color w:val="FF4242"/>
            <w:sz w:val="18"/>
            <w:szCs w:val="18"/>
            <w:lang w:eastAsia="en-AU"/>
          </w:rPr>
          <w:t>[3]</w:t>
        </w:r>
      </w:hyperlink>
    </w:p>
    <w:p w14:paraId="340B9806" w14:textId="77777777" w:rsidR="006306B5" w:rsidRPr="006306B5" w:rsidRDefault="006306B5" w:rsidP="006306B5">
      <w:pPr>
        <w:spacing w:after="0" w:line="240" w:lineRule="auto"/>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My approach to definition is modeled on Peter Brooks’s discussion of the equally rich term “plot” (11-12). I have also borrowed words and phrases freely from both the </w:t>
      </w:r>
      <w:r w:rsidRPr="006306B5">
        <w:rPr>
          <w:rFonts w:ascii="Helvetica" w:eastAsia="Times New Roman" w:hAnsi="Helvetica" w:cs="Helvetica"/>
          <w:i/>
          <w:iCs/>
          <w:sz w:val="21"/>
          <w:szCs w:val="21"/>
          <w:lang w:eastAsia="en-AU"/>
        </w:rPr>
        <w:t>Oxford English Dictionary</w:t>
      </w:r>
      <w:r w:rsidRPr="006306B5">
        <w:rPr>
          <w:rFonts w:ascii="Times New Roman" w:eastAsia="Times New Roman" w:hAnsi="Times New Roman" w:cs="Times New Roman"/>
          <w:sz w:val="21"/>
          <w:szCs w:val="21"/>
          <w:lang w:eastAsia="en-AU"/>
        </w:rPr>
        <w:t> (version 3.0) and the </w:t>
      </w:r>
      <w:r w:rsidRPr="006306B5">
        <w:rPr>
          <w:rFonts w:ascii="Helvetica" w:eastAsia="Times New Roman" w:hAnsi="Helvetica" w:cs="Helvetica"/>
          <w:i/>
          <w:iCs/>
          <w:sz w:val="21"/>
          <w:szCs w:val="21"/>
          <w:lang w:eastAsia="en-AU"/>
        </w:rPr>
        <w:t>American Heritage Dictionary</w:t>
      </w:r>
      <w:r w:rsidRPr="006306B5">
        <w:rPr>
          <w:rFonts w:ascii="Times New Roman" w:eastAsia="Times New Roman" w:hAnsi="Times New Roman" w:cs="Times New Roman"/>
          <w:sz w:val="21"/>
          <w:szCs w:val="21"/>
          <w:lang w:eastAsia="en-AU"/>
        </w:rPr>
        <w:t> (4th ed.).</w:t>
      </w:r>
    </w:p>
    <w:p w14:paraId="3BD3F7A6" w14:textId="77777777" w:rsidR="006306B5" w:rsidRPr="006306B5" w:rsidRDefault="00213400" w:rsidP="006306B5">
      <w:pPr>
        <w:numPr>
          <w:ilvl w:val="0"/>
          <w:numId w:val="2"/>
        </w:numPr>
        <w:spacing w:after="0" w:line="240" w:lineRule="auto"/>
        <w:ind w:left="1122"/>
        <w:rPr>
          <w:rFonts w:ascii="Times New Roman" w:eastAsia="Times New Roman" w:hAnsi="Times New Roman" w:cs="Times New Roman"/>
          <w:sz w:val="21"/>
          <w:szCs w:val="21"/>
          <w:lang w:eastAsia="en-AU"/>
        </w:rPr>
      </w:pPr>
      <w:hyperlink r:id="rId30" w:anchor="re1no4" w:history="1">
        <w:r w:rsidR="006306B5" w:rsidRPr="006306B5">
          <w:rPr>
            <w:rFonts w:ascii="Helvetica" w:eastAsia="Times New Roman" w:hAnsi="Helvetica" w:cs="Helvetica"/>
            <w:color w:val="FF4242"/>
            <w:sz w:val="18"/>
            <w:szCs w:val="18"/>
            <w:lang w:eastAsia="en-AU"/>
          </w:rPr>
          <w:t>[4]</w:t>
        </w:r>
      </w:hyperlink>
    </w:p>
    <w:p w14:paraId="4DD06123" w14:textId="77777777" w:rsidR="006306B5" w:rsidRPr="006306B5" w:rsidRDefault="006306B5" w:rsidP="006306B5">
      <w:pPr>
        <w:spacing w:after="0" w:line="240" w:lineRule="auto"/>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This is a metaphoric description of some points made by Marvin Minsky about “frames of reference” (211-77). See also Erving Goffman’s discussions of “primary frameworks” and “frames of reference” (especially 21-45), and Gerald Prince’s useful definitions of </w:t>
      </w:r>
      <w:r w:rsidRPr="006306B5">
        <w:rPr>
          <w:rFonts w:ascii="Helvetica" w:eastAsia="Times New Roman" w:hAnsi="Helvetica" w:cs="Helvetica"/>
          <w:i/>
          <w:iCs/>
          <w:sz w:val="21"/>
          <w:szCs w:val="21"/>
          <w:lang w:eastAsia="en-AU"/>
        </w:rPr>
        <w:t>frame</w:t>
      </w:r>
      <w:r w:rsidRPr="006306B5">
        <w:rPr>
          <w:rFonts w:ascii="Times New Roman" w:eastAsia="Times New Roman" w:hAnsi="Times New Roman" w:cs="Times New Roman"/>
          <w:sz w:val="21"/>
          <w:szCs w:val="21"/>
          <w:lang w:eastAsia="en-AU"/>
        </w:rPr>
        <w:t>, </w:t>
      </w:r>
      <w:r w:rsidRPr="006306B5">
        <w:rPr>
          <w:rFonts w:ascii="Helvetica" w:eastAsia="Times New Roman" w:hAnsi="Helvetica" w:cs="Helvetica"/>
          <w:i/>
          <w:iCs/>
          <w:sz w:val="21"/>
          <w:szCs w:val="21"/>
          <w:lang w:eastAsia="en-AU"/>
        </w:rPr>
        <w:t>plan</w:t>
      </w:r>
      <w:r w:rsidRPr="006306B5">
        <w:rPr>
          <w:rFonts w:ascii="Times New Roman" w:eastAsia="Times New Roman" w:hAnsi="Times New Roman" w:cs="Times New Roman"/>
          <w:sz w:val="21"/>
          <w:szCs w:val="21"/>
          <w:lang w:eastAsia="en-AU"/>
        </w:rPr>
        <w:t>, </w:t>
      </w:r>
      <w:r w:rsidRPr="006306B5">
        <w:rPr>
          <w:rFonts w:ascii="Helvetica" w:eastAsia="Times New Roman" w:hAnsi="Helvetica" w:cs="Helvetica"/>
          <w:i/>
          <w:iCs/>
          <w:sz w:val="21"/>
          <w:szCs w:val="21"/>
          <w:lang w:eastAsia="en-AU"/>
        </w:rPr>
        <w:t>schema</w:t>
      </w:r>
      <w:r w:rsidRPr="006306B5">
        <w:rPr>
          <w:rFonts w:ascii="Times New Roman" w:eastAsia="Times New Roman" w:hAnsi="Times New Roman" w:cs="Times New Roman"/>
          <w:sz w:val="21"/>
          <w:szCs w:val="21"/>
          <w:lang w:eastAsia="en-AU"/>
        </w:rPr>
        <w:t>, and </w:t>
      </w:r>
      <w:r w:rsidRPr="006306B5">
        <w:rPr>
          <w:rFonts w:ascii="Helvetica" w:eastAsia="Times New Roman" w:hAnsi="Helvetica" w:cs="Helvetica"/>
          <w:i/>
          <w:iCs/>
          <w:sz w:val="21"/>
          <w:szCs w:val="21"/>
          <w:lang w:eastAsia="en-AU"/>
        </w:rPr>
        <w:t>scripts</w:t>
      </w:r>
      <w:r w:rsidRPr="006306B5">
        <w:rPr>
          <w:rFonts w:ascii="Times New Roman" w:eastAsia="Times New Roman" w:hAnsi="Times New Roman" w:cs="Times New Roman"/>
          <w:sz w:val="21"/>
          <w:szCs w:val="21"/>
          <w:lang w:eastAsia="en-AU"/>
        </w:rPr>
        <w:t> (</w:t>
      </w:r>
      <w:r w:rsidRPr="006306B5">
        <w:rPr>
          <w:rFonts w:ascii="Helvetica" w:eastAsia="Times New Roman" w:hAnsi="Helvetica" w:cs="Helvetica"/>
          <w:i/>
          <w:iCs/>
          <w:sz w:val="21"/>
          <w:szCs w:val="21"/>
          <w:lang w:eastAsia="en-AU"/>
        </w:rPr>
        <w:t>Dictionary</w:t>
      </w:r>
      <w:r w:rsidRPr="006306B5">
        <w:rPr>
          <w:rFonts w:ascii="Times New Roman" w:eastAsia="Times New Roman" w:hAnsi="Times New Roman" w:cs="Times New Roman"/>
          <w:sz w:val="21"/>
          <w:szCs w:val="21"/>
          <w:lang w:eastAsia="en-AU"/>
        </w:rPr>
        <w:t> 33, 71, 84).</w:t>
      </w:r>
    </w:p>
    <w:p w14:paraId="4E2B60A5" w14:textId="77777777" w:rsidR="006306B5" w:rsidRPr="006306B5" w:rsidRDefault="00213400" w:rsidP="006306B5">
      <w:pPr>
        <w:numPr>
          <w:ilvl w:val="0"/>
          <w:numId w:val="2"/>
        </w:numPr>
        <w:spacing w:after="0" w:line="240" w:lineRule="auto"/>
        <w:ind w:left="1122"/>
        <w:rPr>
          <w:rFonts w:ascii="Times New Roman" w:eastAsia="Times New Roman" w:hAnsi="Times New Roman" w:cs="Times New Roman"/>
          <w:sz w:val="21"/>
          <w:szCs w:val="21"/>
          <w:lang w:eastAsia="en-AU"/>
        </w:rPr>
      </w:pPr>
      <w:hyperlink r:id="rId31" w:anchor="re1no5" w:history="1">
        <w:r w:rsidR="006306B5" w:rsidRPr="006306B5">
          <w:rPr>
            <w:rFonts w:ascii="Helvetica" w:eastAsia="Times New Roman" w:hAnsi="Helvetica" w:cs="Helvetica"/>
            <w:color w:val="FF4242"/>
            <w:sz w:val="18"/>
            <w:szCs w:val="18"/>
            <w:lang w:eastAsia="en-AU"/>
          </w:rPr>
          <w:t>[5]</w:t>
        </w:r>
      </w:hyperlink>
    </w:p>
    <w:p w14:paraId="7127671D" w14:textId="77777777" w:rsidR="006306B5" w:rsidRPr="006306B5" w:rsidRDefault="006306B5" w:rsidP="006306B5">
      <w:pPr>
        <w:spacing w:before="120" w:after="173" w:line="240" w:lineRule="auto"/>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 I refer, of course, to Henry James's 1896 tale "The Figure in the Carpet."</w:t>
      </w:r>
    </w:p>
    <w:p w14:paraId="0FABC730" w14:textId="77777777" w:rsidR="006306B5" w:rsidRPr="006306B5" w:rsidRDefault="00213400" w:rsidP="006306B5">
      <w:pPr>
        <w:numPr>
          <w:ilvl w:val="0"/>
          <w:numId w:val="2"/>
        </w:numPr>
        <w:spacing w:after="0" w:line="240" w:lineRule="auto"/>
        <w:ind w:left="1122"/>
        <w:rPr>
          <w:rFonts w:ascii="Times New Roman" w:eastAsia="Times New Roman" w:hAnsi="Times New Roman" w:cs="Times New Roman"/>
          <w:sz w:val="21"/>
          <w:szCs w:val="21"/>
          <w:lang w:eastAsia="en-AU"/>
        </w:rPr>
      </w:pPr>
      <w:hyperlink r:id="rId32" w:anchor="re1no6" w:history="1">
        <w:r w:rsidR="006306B5" w:rsidRPr="006306B5">
          <w:rPr>
            <w:rFonts w:ascii="Helvetica" w:eastAsia="Times New Roman" w:hAnsi="Helvetica" w:cs="Helvetica"/>
            <w:color w:val="FF4242"/>
            <w:sz w:val="18"/>
            <w:szCs w:val="18"/>
            <w:lang w:eastAsia="en-AU"/>
          </w:rPr>
          <w:t>[6]</w:t>
        </w:r>
      </w:hyperlink>
    </w:p>
    <w:p w14:paraId="4C053575" w14:textId="77777777" w:rsidR="006306B5" w:rsidRPr="006306B5" w:rsidRDefault="006306B5" w:rsidP="006306B5">
      <w:pPr>
        <w:spacing w:before="120" w:after="173" w:line="240" w:lineRule="auto"/>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For a fuller discussion of this inwardly-directed reading process, see Gerrig.</w:t>
      </w:r>
    </w:p>
    <w:p w14:paraId="7EE0AC1B" w14:textId="77777777" w:rsidR="006306B5" w:rsidRPr="006306B5" w:rsidRDefault="00213400" w:rsidP="006306B5">
      <w:pPr>
        <w:numPr>
          <w:ilvl w:val="0"/>
          <w:numId w:val="2"/>
        </w:numPr>
        <w:spacing w:after="0" w:line="240" w:lineRule="auto"/>
        <w:ind w:left="1122"/>
        <w:rPr>
          <w:rFonts w:ascii="Times New Roman" w:eastAsia="Times New Roman" w:hAnsi="Times New Roman" w:cs="Times New Roman"/>
          <w:sz w:val="21"/>
          <w:szCs w:val="21"/>
          <w:lang w:eastAsia="en-AU"/>
        </w:rPr>
      </w:pPr>
      <w:hyperlink r:id="rId33" w:anchor="re1no7" w:history="1">
        <w:r w:rsidR="006306B5" w:rsidRPr="006306B5">
          <w:rPr>
            <w:rFonts w:ascii="Helvetica" w:eastAsia="Times New Roman" w:hAnsi="Helvetica" w:cs="Helvetica"/>
            <w:color w:val="FF4242"/>
            <w:sz w:val="18"/>
            <w:szCs w:val="18"/>
            <w:lang w:eastAsia="en-AU"/>
          </w:rPr>
          <w:t>[7]</w:t>
        </w:r>
      </w:hyperlink>
    </w:p>
    <w:p w14:paraId="0C378983" w14:textId="77777777" w:rsidR="006306B5" w:rsidRPr="006306B5" w:rsidRDefault="006306B5" w:rsidP="006306B5">
      <w:pPr>
        <w:spacing w:after="0" w:line="240" w:lineRule="auto"/>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The epigraph reads, “Did I request thee, Maker, from my clay / To mould me man? Did I solicit thee / From darkness to promote me?—” (</w:t>
      </w:r>
      <w:r w:rsidRPr="006306B5">
        <w:rPr>
          <w:rFonts w:ascii="Helvetica" w:eastAsia="Times New Roman" w:hAnsi="Helvetica" w:cs="Helvetica"/>
          <w:i/>
          <w:iCs/>
          <w:sz w:val="21"/>
          <w:szCs w:val="21"/>
          <w:lang w:eastAsia="en-AU"/>
        </w:rPr>
        <w:t>Paradise Lost</w:t>
      </w:r>
      <w:r w:rsidRPr="006306B5">
        <w:rPr>
          <w:rFonts w:ascii="Times New Roman" w:eastAsia="Times New Roman" w:hAnsi="Times New Roman" w:cs="Times New Roman"/>
          <w:sz w:val="21"/>
          <w:szCs w:val="21"/>
          <w:lang w:eastAsia="en-AU"/>
        </w:rPr>
        <w:t> [10.743-45]). We might also consult Shelley’s </w:t>
      </w:r>
      <w:r w:rsidRPr="006306B5">
        <w:rPr>
          <w:rFonts w:ascii="Helvetica" w:eastAsia="Times New Roman" w:hAnsi="Helvetica" w:cs="Helvetica"/>
          <w:i/>
          <w:iCs/>
          <w:sz w:val="21"/>
          <w:szCs w:val="21"/>
          <w:lang w:eastAsia="en-AU"/>
        </w:rPr>
        <w:t>Journals</w:t>
      </w:r>
      <w:r w:rsidRPr="006306B5">
        <w:rPr>
          <w:rFonts w:ascii="Times New Roman" w:eastAsia="Times New Roman" w:hAnsi="Times New Roman" w:cs="Times New Roman"/>
          <w:sz w:val="21"/>
          <w:szCs w:val="21"/>
          <w:lang w:eastAsia="en-AU"/>
        </w:rPr>
        <w:t>, which show that she had read </w:t>
      </w:r>
      <w:r w:rsidRPr="006306B5">
        <w:rPr>
          <w:rFonts w:ascii="Helvetica" w:eastAsia="Times New Roman" w:hAnsi="Helvetica" w:cs="Helvetica"/>
          <w:i/>
          <w:iCs/>
          <w:sz w:val="21"/>
          <w:szCs w:val="21"/>
          <w:lang w:eastAsia="en-AU"/>
        </w:rPr>
        <w:t>Paradise Lost</w:t>
      </w:r>
      <w:r w:rsidRPr="006306B5">
        <w:rPr>
          <w:rFonts w:ascii="Times New Roman" w:eastAsia="Times New Roman" w:hAnsi="Times New Roman" w:cs="Times New Roman"/>
          <w:sz w:val="21"/>
          <w:szCs w:val="21"/>
          <w:lang w:eastAsia="en-AU"/>
        </w:rPr>
        <w:t> in 1815 and that Percy Shelley had been reading </w:t>
      </w:r>
      <w:r w:rsidRPr="006306B5">
        <w:rPr>
          <w:rFonts w:ascii="Helvetica" w:eastAsia="Times New Roman" w:hAnsi="Helvetica" w:cs="Helvetica"/>
          <w:i/>
          <w:iCs/>
          <w:sz w:val="21"/>
          <w:szCs w:val="21"/>
          <w:lang w:eastAsia="en-AU"/>
        </w:rPr>
        <w:t>Paradise Lost</w:t>
      </w:r>
      <w:r w:rsidRPr="006306B5">
        <w:rPr>
          <w:rFonts w:ascii="Times New Roman" w:eastAsia="Times New Roman" w:hAnsi="Times New Roman" w:cs="Times New Roman"/>
          <w:sz w:val="21"/>
          <w:szCs w:val="21"/>
          <w:lang w:eastAsia="en-AU"/>
        </w:rPr>
        <w:t> aloud to her in November 1816 while she was at work on </w:t>
      </w:r>
      <w:r w:rsidRPr="006306B5">
        <w:rPr>
          <w:rFonts w:ascii="Helvetica" w:eastAsia="Times New Roman" w:hAnsi="Helvetica" w:cs="Helvetica"/>
          <w:i/>
          <w:iCs/>
          <w:sz w:val="21"/>
          <w:szCs w:val="21"/>
          <w:lang w:eastAsia="en-AU"/>
        </w:rPr>
        <w:t>Frankenstein</w:t>
      </w:r>
      <w:r w:rsidRPr="006306B5">
        <w:rPr>
          <w:rFonts w:ascii="Times New Roman" w:eastAsia="Times New Roman" w:hAnsi="Times New Roman" w:cs="Times New Roman"/>
          <w:sz w:val="21"/>
          <w:szCs w:val="21"/>
          <w:lang w:eastAsia="en-AU"/>
        </w:rPr>
        <w:t> (1: 89, 1: 96; 1: 146-47). While detailed thematic comparisons between </w:t>
      </w:r>
      <w:r w:rsidRPr="006306B5">
        <w:rPr>
          <w:rFonts w:ascii="Helvetica" w:eastAsia="Times New Roman" w:hAnsi="Helvetica" w:cs="Helvetica"/>
          <w:i/>
          <w:iCs/>
          <w:sz w:val="21"/>
          <w:szCs w:val="21"/>
          <w:lang w:eastAsia="en-AU"/>
        </w:rPr>
        <w:t>Frankenstein</w:t>
      </w:r>
      <w:r w:rsidRPr="006306B5">
        <w:rPr>
          <w:rFonts w:ascii="Times New Roman" w:eastAsia="Times New Roman" w:hAnsi="Times New Roman" w:cs="Times New Roman"/>
          <w:sz w:val="21"/>
          <w:szCs w:val="21"/>
          <w:lang w:eastAsia="en-AU"/>
        </w:rPr>
        <w:t> and </w:t>
      </w:r>
      <w:r w:rsidRPr="006306B5">
        <w:rPr>
          <w:rFonts w:ascii="Helvetica" w:eastAsia="Times New Roman" w:hAnsi="Helvetica" w:cs="Helvetica"/>
          <w:i/>
          <w:iCs/>
          <w:sz w:val="21"/>
          <w:szCs w:val="21"/>
          <w:lang w:eastAsia="en-AU"/>
        </w:rPr>
        <w:t>Paradise Lost</w:t>
      </w:r>
      <w:r w:rsidRPr="006306B5">
        <w:rPr>
          <w:rFonts w:ascii="Times New Roman" w:eastAsia="Times New Roman" w:hAnsi="Times New Roman" w:cs="Times New Roman"/>
          <w:sz w:val="21"/>
          <w:szCs w:val="21"/>
          <w:lang w:eastAsia="en-AU"/>
        </w:rPr>
        <w:t> are beyond the scope of this essay, several studies confirm that Shelley had Milton firmly in mind and close at hand. A reasonable sample might include Small; Ketterer; Knoepflmacher; Ping; Soyka; and Lamb.</w:t>
      </w:r>
    </w:p>
    <w:p w14:paraId="49A32A40" w14:textId="77777777" w:rsidR="006306B5" w:rsidRPr="006306B5" w:rsidRDefault="00213400" w:rsidP="006306B5">
      <w:pPr>
        <w:numPr>
          <w:ilvl w:val="0"/>
          <w:numId w:val="2"/>
        </w:numPr>
        <w:spacing w:after="0" w:line="240" w:lineRule="auto"/>
        <w:ind w:left="1122"/>
        <w:rPr>
          <w:rFonts w:ascii="Times New Roman" w:eastAsia="Times New Roman" w:hAnsi="Times New Roman" w:cs="Times New Roman"/>
          <w:sz w:val="21"/>
          <w:szCs w:val="21"/>
          <w:lang w:eastAsia="en-AU"/>
        </w:rPr>
      </w:pPr>
      <w:hyperlink r:id="rId34" w:anchor="re1no8" w:history="1">
        <w:r w:rsidR="006306B5" w:rsidRPr="006306B5">
          <w:rPr>
            <w:rFonts w:ascii="Helvetica" w:eastAsia="Times New Roman" w:hAnsi="Helvetica" w:cs="Helvetica"/>
            <w:color w:val="FF4242"/>
            <w:sz w:val="18"/>
            <w:szCs w:val="18"/>
            <w:lang w:eastAsia="en-AU"/>
          </w:rPr>
          <w:t>[8]</w:t>
        </w:r>
      </w:hyperlink>
    </w:p>
    <w:p w14:paraId="1398B3EB" w14:textId="77777777" w:rsidR="006306B5" w:rsidRPr="006306B5" w:rsidRDefault="006306B5" w:rsidP="006306B5">
      <w:pPr>
        <w:spacing w:after="0" w:line="240" w:lineRule="auto"/>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What I call the “reading sequence” is the standard view of </w:t>
      </w:r>
      <w:r w:rsidRPr="006306B5">
        <w:rPr>
          <w:rFonts w:ascii="Helvetica" w:eastAsia="Times New Roman" w:hAnsi="Helvetica" w:cs="Helvetica"/>
          <w:i/>
          <w:iCs/>
          <w:sz w:val="21"/>
          <w:szCs w:val="21"/>
          <w:lang w:eastAsia="en-AU"/>
        </w:rPr>
        <w:t>Frankenstein</w:t>
      </w:r>
      <w:r w:rsidRPr="006306B5">
        <w:rPr>
          <w:rFonts w:ascii="Times New Roman" w:eastAsia="Times New Roman" w:hAnsi="Times New Roman" w:cs="Times New Roman"/>
          <w:sz w:val="21"/>
          <w:szCs w:val="21"/>
          <w:lang w:eastAsia="en-AU"/>
        </w:rPr>
        <w:t>’s narrative structure, the engagement with which Beth Newman describes as “peeling back one story to discover another as though peeling an onion” (144). For an especially useful account of this structure, see Dunn. Wayne Chandler notes parallels between the narratee (Margaret Saville-Shelley’s reader) and “the plethora of other readers in the novel” as evidence of “the importance of the reader and the reading experience to </w:t>
      </w:r>
      <w:r w:rsidRPr="006306B5">
        <w:rPr>
          <w:rFonts w:ascii="Helvetica" w:eastAsia="Times New Roman" w:hAnsi="Helvetica" w:cs="Helvetica"/>
          <w:i/>
          <w:iCs/>
          <w:sz w:val="21"/>
          <w:szCs w:val="21"/>
          <w:lang w:eastAsia="en-AU"/>
        </w:rPr>
        <w:t>Frankenstein</w:t>
      </w:r>
      <w:r w:rsidRPr="006306B5">
        <w:rPr>
          <w:rFonts w:ascii="Times New Roman" w:eastAsia="Times New Roman" w:hAnsi="Times New Roman" w:cs="Times New Roman"/>
          <w:sz w:val="21"/>
          <w:szCs w:val="21"/>
          <w:lang w:eastAsia="en-AU"/>
        </w:rPr>
        <w:t>” (43).</w:t>
      </w:r>
    </w:p>
    <w:p w14:paraId="643AE99A" w14:textId="77777777" w:rsidR="006306B5" w:rsidRPr="006306B5" w:rsidRDefault="00213400" w:rsidP="006306B5">
      <w:pPr>
        <w:numPr>
          <w:ilvl w:val="0"/>
          <w:numId w:val="2"/>
        </w:numPr>
        <w:spacing w:after="0" w:line="240" w:lineRule="auto"/>
        <w:ind w:left="1122"/>
        <w:rPr>
          <w:rFonts w:ascii="Times New Roman" w:eastAsia="Times New Roman" w:hAnsi="Times New Roman" w:cs="Times New Roman"/>
          <w:sz w:val="21"/>
          <w:szCs w:val="21"/>
          <w:lang w:eastAsia="en-AU"/>
        </w:rPr>
      </w:pPr>
      <w:hyperlink r:id="rId35" w:anchor="re1no9" w:history="1">
        <w:r w:rsidR="006306B5" w:rsidRPr="006306B5">
          <w:rPr>
            <w:rFonts w:ascii="Helvetica" w:eastAsia="Times New Roman" w:hAnsi="Helvetica" w:cs="Helvetica"/>
            <w:color w:val="FF4242"/>
            <w:sz w:val="18"/>
            <w:szCs w:val="18"/>
            <w:lang w:eastAsia="en-AU"/>
          </w:rPr>
          <w:t>[9]</w:t>
        </w:r>
      </w:hyperlink>
    </w:p>
    <w:p w14:paraId="4320B1BB" w14:textId="77777777" w:rsidR="006306B5" w:rsidRPr="006306B5" w:rsidRDefault="006306B5" w:rsidP="006306B5">
      <w:pPr>
        <w:spacing w:before="120" w:after="173" w:line="240" w:lineRule="auto"/>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Syndy M. Conger has suggested that this silence and culpability cause Frankenstein to shift from protagonist to antagonist over the course of the novel (63-64).</w:t>
      </w:r>
    </w:p>
    <w:p w14:paraId="584F2547" w14:textId="77777777" w:rsidR="006306B5" w:rsidRPr="006306B5" w:rsidRDefault="00213400" w:rsidP="006306B5">
      <w:pPr>
        <w:numPr>
          <w:ilvl w:val="0"/>
          <w:numId w:val="2"/>
        </w:numPr>
        <w:spacing w:after="0" w:line="240" w:lineRule="auto"/>
        <w:ind w:left="1122"/>
        <w:rPr>
          <w:rFonts w:ascii="Times New Roman" w:eastAsia="Times New Roman" w:hAnsi="Times New Roman" w:cs="Times New Roman"/>
          <w:sz w:val="21"/>
          <w:szCs w:val="21"/>
          <w:lang w:eastAsia="en-AU"/>
        </w:rPr>
      </w:pPr>
      <w:hyperlink r:id="rId36" w:anchor="re1no10" w:history="1">
        <w:r w:rsidR="006306B5" w:rsidRPr="006306B5">
          <w:rPr>
            <w:rFonts w:ascii="Helvetica" w:eastAsia="Times New Roman" w:hAnsi="Helvetica" w:cs="Helvetica"/>
            <w:color w:val="FF4242"/>
            <w:sz w:val="18"/>
            <w:szCs w:val="18"/>
            <w:lang w:eastAsia="en-AU"/>
          </w:rPr>
          <w:t>[10]</w:t>
        </w:r>
      </w:hyperlink>
    </w:p>
    <w:p w14:paraId="6F560688" w14:textId="77777777" w:rsidR="006306B5" w:rsidRPr="006306B5" w:rsidRDefault="006306B5" w:rsidP="006306B5">
      <w:pPr>
        <w:spacing w:before="120" w:after="173" w:line="240" w:lineRule="auto"/>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 This reading is perhaps a new twist on the well-established notion of Shelley’s “hideous progeny”: that the Creature is a figure of the monstrous text Shelley found herself creating. See Ketterer 9-16; Mellor 52-69; Cottom 60-71; Baldick 30-62; and Botting 2-33.</w:t>
      </w:r>
    </w:p>
    <w:p w14:paraId="52458545" w14:textId="77777777" w:rsidR="006306B5" w:rsidRPr="006306B5" w:rsidRDefault="00213400" w:rsidP="006306B5">
      <w:pPr>
        <w:numPr>
          <w:ilvl w:val="0"/>
          <w:numId w:val="2"/>
        </w:numPr>
        <w:spacing w:after="0" w:line="240" w:lineRule="auto"/>
        <w:ind w:left="1122"/>
        <w:rPr>
          <w:rFonts w:ascii="Times New Roman" w:eastAsia="Times New Roman" w:hAnsi="Times New Roman" w:cs="Times New Roman"/>
          <w:sz w:val="21"/>
          <w:szCs w:val="21"/>
          <w:lang w:eastAsia="en-AU"/>
        </w:rPr>
      </w:pPr>
      <w:hyperlink r:id="rId37" w:anchor="re1no11" w:history="1">
        <w:r w:rsidR="006306B5" w:rsidRPr="006306B5">
          <w:rPr>
            <w:rFonts w:ascii="Helvetica" w:eastAsia="Times New Roman" w:hAnsi="Helvetica" w:cs="Helvetica"/>
            <w:color w:val="FF4242"/>
            <w:sz w:val="18"/>
            <w:szCs w:val="18"/>
            <w:lang w:eastAsia="en-AU"/>
          </w:rPr>
          <w:t>[11]</w:t>
        </w:r>
      </w:hyperlink>
    </w:p>
    <w:p w14:paraId="50167744" w14:textId="77777777" w:rsidR="006306B5" w:rsidRPr="006306B5" w:rsidRDefault="006306B5" w:rsidP="006306B5">
      <w:pPr>
        <w:spacing w:after="0" w:line="240" w:lineRule="auto"/>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For </w:t>
      </w:r>
      <w:r w:rsidRPr="006306B5">
        <w:rPr>
          <w:rFonts w:ascii="Helvetica" w:eastAsia="Times New Roman" w:hAnsi="Helvetica" w:cs="Helvetica"/>
          <w:i/>
          <w:iCs/>
          <w:sz w:val="21"/>
          <w:szCs w:val="21"/>
          <w:lang w:eastAsia="en-AU"/>
        </w:rPr>
        <w:t>story</w:t>
      </w:r>
      <w:r w:rsidRPr="006306B5">
        <w:rPr>
          <w:rFonts w:ascii="Times New Roman" w:eastAsia="Times New Roman" w:hAnsi="Times New Roman" w:cs="Times New Roman"/>
          <w:sz w:val="21"/>
          <w:szCs w:val="21"/>
          <w:lang w:eastAsia="en-AU"/>
        </w:rPr>
        <w:t> as abstract material and </w:t>
      </w:r>
      <w:r w:rsidRPr="006306B5">
        <w:rPr>
          <w:rFonts w:ascii="Helvetica" w:eastAsia="Times New Roman" w:hAnsi="Helvetica" w:cs="Helvetica"/>
          <w:i/>
          <w:iCs/>
          <w:sz w:val="21"/>
          <w:szCs w:val="21"/>
          <w:lang w:eastAsia="en-AU"/>
        </w:rPr>
        <w:t>text</w:t>
      </w:r>
      <w:r w:rsidRPr="006306B5">
        <w:rPr>
          <w:rFonts w:ascii="Times New Roman" w:eastAsia="Times New Roman" w:hAnsi="Times New Roman" w:cs="Times New Roman"/>
          <w:sz w:val="21"/>
          <w:szCs w:val="21"/>
          <w:lang w:eastAsia="en-AU"/>
        </w:rPr>
        <w:t> as reconstructed story, see Prince, </w:t>
      </w:r>
      <w:r w:rsidRPr="006306B5">
        <w:rPr>
          <w:rFonts w:ascii="Helvetica" w:eastAsia="Times New Roman" w:hAnsi="Helvetica" w:cs="Helvetica"/>
          <w:i/>
          <w:iCs/>
          <w:sz w:val="21"/>
          <w:szCs w:val="21"/>
          <w:lang w:eastAsia="en-AU"/>
        </w:rPr>
        <w:t>A Grammar</w:t>
      </w:r>
      <w:r w:rsidRPr="006306B5">
        <w:rPr>
          <w:rFonts w:ascii="Times New Roman" w:eastAsia="Times New Roman" w:hAnsi="Times New Roman" w:cs="Times New Roman"/>
          <w:sz w:val="21"/>
          <w:szCs w:val="21"/>
          <w:lang w:eastAsia="en-AU"/>
        </w:rPr>
        <w:t> 13. Following Genette, I will use the term </w:t>
      </w:r>
      <w:r w:rsidRPr="006306B5">
        <w:rPr>
          <w:rFonts w:ascii="Helvetica" w:eastAsia="Times New Roman" w:hAnsi="Helvetica" w:cs="Helvetica"/>
          <w:i/>
          <w:iCs/>
          <w:sz w:val="21"/>
          <w:szCs w:val="21"/>
          <w:lang w:eastAsia="en-AU"/>
        </w:rPr>
        <w:t>story</w:t>
      </w:r>
      <w:r w:rsidRPr="006306B5">
        <w:rPr>
          <w:rFonts w:ascii="Times New Roman" w:eastAsia="Times New Roman" w:hAnsi="Times New Roman" w:cs="Times New Roman"/>
          <w:sz w:val="21"/>
          <w:szCs w:val="21"/>
          <w:lang w:eastAsia="en-AU"/>
        </w:rPr>
        <w:t> (“</w:t>
      </w:r>
      <w:r w:rsidRPr="006306B5">
        <w:rPr>
          <w:rFonts w:ascii="Helvetica" w:eastAsia="Times New Roman" w:hAnsi="Helvetica" w:cs="Helvetica"/>
          <w:i/>
          <w:iCs/>
          <w:sz w:val="21"/>
          <w:szCs w:val="21"/>
          <w:lang w:eastAsia="en-AU"/>
        </w:rPr>
        <w:t>histoire</w:t>
      </w:r>
      <w:r w:rsidRPr="006306B5">
        <w:rPr>
          <w:rFonts w:ascii="Times New Roman" w:eastAsia="Times New Roman" w:hAnsi="Times New Roman" w:cs="Times New Roman"/>
          <w:sz w:val="21"/>
          <w:szCs w:val="21"/>
          <w:lang w:eastAsia="en-AU"/>
        </w:rPr>
        <w:t>”) to refer to the “signified or narrative content”—the events that have taken place—and </w:t>
      </w:r>
      <w:r w:rsidRPr="006306B5">
        <w:rPr>
          <w:rFonts w:ascii="Helvetica" w:eastAsia="Times New Roman" w:hAnsi="Helvetica" w:cs="Helvetica"/>
          <w:i/>
          <w:iCs/>
          <w:sz w:val="21"/>
          <w:szCs w:val="21"/>
          <w:lang w:eastAsia="en-AU"/>
        </w:rPr>
        <w:t>narrative</w:t>
      </w:r>
      <w:r w:rsidRPr="006306B5">
        <w:rPr>
          <w:rFonts w:ascii="Times New Roman" w:eastAsia="Times New Roman" w:hAnsi="Times New Roman" w:cs="Times New Roman"/>
          <w:sz w:val="21"/>
          <w:szCs w:val="21"/>
          <w:lang w:eastAsia="en-AU"/>
        </w:rPr>
        <w:t> (“</w:t>
      </w:r>
      <w:r w:rsidRPr="006306B5">
        <w:rPr>
          <w:rFonts w:ascii="Helvetica" w:eastAsia="Times New Roman" w:hAnsi="Helvetica" w:cs="Helvetica"/>
          <w:i/>
          <w:iCs/>
          <w:sz w:val="21"/>
          <w:szCs w:val="21"/>
          <w:lang w:eastAsia="en-AU"/>
        </w:rPr>
        <w:t>récit</w:t>
      </w:r>
      <w:r w:rsidRPr="006306B5">
        <w:rPr>
          <w:rFonts w:ascii="Times New Roman" w:eastAsia="Times New Roman" w:hAnsi="Times New Roman" w:cs="Times New Roman"/>
          <w:sz w:val="21"/>
          <w:szCs w:val="21"/>
          <w:lang w:eastAsia="en-AU"/>
        </w:rPr>
        <w:t>”) or </w:t>
      </w:r>
      <w:r w:rsidRPr="006306B5">
        <w:rPr>
          <w:rFonts w:ascii="Helvetica" w:eastAsia="Times New Roman" w:hAnsi="Helvetica" w:cs="Helvetica"/>
          <w:i/>
          <w:iCs/>
          <w:sz w:val="21"/>
          <w:szCs w:val="21"/>
          <w:lang w:eastAsia="en-AU"/>
        </w:rPr>
        <w:t>text</w:t>
      </w:r>
      <w:r w:rsidRPr="006306B5">
        <w:rPr>
          <w:rFonts w:ascii="Times New Roman" w:eastAsia="Times New Roman" w:hAnsi="Times New Roman" w:cs="Times New Roman"/>
          <w:sz w:val="21"/>
          <w:szCs w:val="21"/>
          <w:lang w:eastAsia="en-AU"/>
        </w:rPr>
        <w:t xml:space="preserve"> to describe “the signifier, statement, discourse or </w:t>
      </w:r>
      <w:r w:rsidRPr="006306B5">
        <w:rPr>
          <w:rFonts w:ascii="Times New Roman" w:eastAsia="Times New Roman" w:hAnsi="Times New Roman" w:cs="Times New Roman"/>
          <w:sz w:val="21"/>
          <w:szCs w:val="21"/>
          <w:lang w:eastAsia="en-AU"/>
        </w:rPr>
        <w:lastRenderedPageBreak/>
        <w:t>narrative text itself”—the specific representation of events, whether in Walton’s reading sequence, Frankenstein’s action sequence, or the Creature’s narrative sequence (Genette 27).</w:t>
      </w:r>
    </w:p>
    <w:p w14:paraId="08EA4552" w14:textId="77777777" w:rsidR="006306B5" w:rsidRPr="006306B5" w:rsidRDefault="00213400" w:rsidP="006306B5">
      <w:pPr>
        <w:numPr>
          <w:ilvl w:val="0"/>
          <w:numId w:val="2"/>
        </w:numPr>
        <w:spacing w:after="0" w:line="240" w:lineRule="auto"/>
        <w:ind w:left="1122"/>
        <w:rPr>
          <w:rFonts w:ascii="Times New Roman" w:eastAsia="Times New Roman" w:hAnsi="Times New Roman" w:cs="Times New Roman"/>
          <w:sz w:val="21"/>
          <w:szCs w:val="21"/>
          <w:lang w:eastAsia="en-AU"/>
        </w:rPr>
      </w:pPr>
      <w:hyperlink r:id="rId38" w:anchor="re1no12" w:history="1">
        <w:r w:rsidR="006306B5" w:rsidRPr="006306B5">
          <w:rPr>
            <w:rFonts w:ascii="Helvetica" w:eastAsia="Times New Roman" w:hAnsi="Helvetica" w:cs="Helvetica"/>
            <w:color w:val="FF4242"/>
            <w:sz w:val="18"/>
            <w:szCs w:val="18"/>
            <w:lang w:eastAsia="en-AU"/>
          </w:rPr>
          <w:t>[12]</w:t>
        </w:r>
      </w:hyperlink>
    </w:p>
    <w:p w14:paraId="1E72178F" w14:textId="77777777" w:rsidR="006306B5" w:rsidRPr="006306B5" w:rsidRDefault="006306B5" w:rsidP="006306B5">
      <w:pPr>
        <w:spacing w:after="0" w:line="240" w:lineRule="auto"/>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For discussions of </w:t>
      </w:r>
      <w:r w:rsidRPr="006306B5">
        <w:rPr>
          <w:rFonts w:ascii="Helvetica" w:eastAsia="Times New Roman" w:hAnsi="Helvetica" w:cs="Helvetica"/>
          <w:i/>
          <w:iCs/>
          <w:sz w:val="21"/>
          <w:szCs w:val="21"/>
          <w:lang w:eastAsia="en-AU"/>
        </w:rPr>
        <w:t>mise en abyme</w:t>
      </w:r>
      <w:r w:rsidRPr="006306B5">
        <w:rPr>
          <w:rFonts w:ascii="Times New Roman" w:eastAsia="Times New Roman" w:hAnsi="Times New Roman" w:cs="Times New Roman"/>
          <w:sz w:val="21"/>
          <w:szCs w:val="21"/>
          <w:lang w:eastAsia="en-AU"/>
        </w:rPr>
        <w:t> and its complexities, see Prince, </w:t>
      </w:r>
      <w:r w:rsidRPr="006306B5">
        <w:rPr>
          <w:rFonts w:ascii="Helvetica" w:eastAsia="Times New Roman" w:hAnsi="Helvetica" w:cs="Helvetica"/>
          <w:i/>
          <w:iCs/>
          <w:sz w:val="21"/>
          <w:szCs w:val="21"/>
          <w:lang w:eastAsia="en-AU"/>
        </w:rPr>
        <w:t>Dictionary</w:t>
      </w:r>
      <w:r w:rsidRPr="006306B5">
        <w:rPr>
          <w:rFonts w:ascii="Times New Roman" w:eastAsia="Times New Roman" w:hAnsi="Times New Roman" w:cs="Times New Roman"/>
          <w:sz w:val="21"/>
          <w:szCs w:val="21"/>
          <w:lang w:eastAsia="en-AU"/>
        </w:rPr>
        <w:t> 53; Dällenbach; and Jefferson. Bal, though, notes that “in language </w:t>
      </w:r>
      <w:r w:rsidRPr="006306B5">
        <w:rPr>
          <w:rFonts w:ascii="Helvetica" w:eastAsia="Times New Roman" w:hAnsi="Helvetica" w:cs="Helvetica"/>
          <w:i/>
          <w:iCs/>
          <w:sz w:val="21"/>
          <w:szCs w:val="21"/>
          <w:lang w:eastAsia="en-AU"/>
        </w:rPr>
        <w:t>mise en abyme</w:t>
      </w:r>
      <w:r w:rsidRPr="006306B5">
        <w:rPr>
          <w:rFonts w:ascii="Times New Roman" w:eastAsia="Times New Roman" w:hAnsi="Times New Roman" w:cs="Times New Roman"/>
          <w:sz w:val="21"/>
          <w:szCs w:val="21"/>
          <w:lang w:eastAsia="en-AU"/>
        </w:rPr>
        <w:t> occurs in a less ‘ideal’ form” than it does in “graphic representation,” the infinite regress pertaining only to a “</w:t>
      </w:r>
      <w:r w:rsidRPr="006306B5">
        <w:rPr>
          <w:rFonts w:ascii="Helvetica" w:eastAsia="Times New Roman" w:hAnsi="Helvetica" w:cs="Helvetica"/>
          <w:i/>
          <w:iCs/>
          <w:sz w:val="21"/>
          <w:szCs w:val="21"/>
          <w:lang w:eastAsia="en-AU"/>
        </w:rPr>
        <w:t>certain aspect</w:t>
      </w:r>
      <w:r w:rsidRPr="006306B5">
        <w:rPr>
          <w:rFonts w:ascii="Times New Roman" w:eastAsia="Times New Roman" w:hAnsi="Times New Roman" w:cs="Times New Roman"/>
          <w:sz w:val="21"/>
          <w:szCs w:val="21"/>
          <w:lang w:eastAsia="en-AU"/>
        </w:rPr>
        <w:t>” of the text, “not the totality of an image.” Bal thus suggests </w:t>
      </w:r>
      <w:r w:rsidRPr="006306B5">
        <w:rPr>
          <w:rFonts w:ascii="Helvetica" w:eastAsia="Times New Roman" w:hAnsi="Helvetica" w:cs="Helvetica"/>
          <w:i/>
          <w:iCs/>
          <w:sz w:val="21"/>
          <w:szCs w:val="21"/>
          <w:lang w:eastAsia="en-AU"/>
        </w:rPr>
        <w:t>mirror text</w:t>
      </w:r>
      <w:r w:rsidRPr="006306B5">
        <w:rPr>
          <w:rFonts w:ascii="Times New Roman" w:eastAsia="Times New Roman" w:hAnsi="Times New Roman" w:cs="Times New Roman"/>
          <w:sz w:val="21"/>
          <w:szCs w:val="21"/>
          <w:lang w:eastAsia="en-AU"/>
        </w:rPr>
        <w:t> as a more precise term (</w:t>
      </w:r>
      <w:r w:rsidRPr="006306B5">
        <w:rPr>
          <w:rFonts w:ascii="Helvetica" w:eastAsia="Times New Roman" w:hAnsi="Helvetica" w:cs="Helvetica"/>
          <w:i/>
          <w:iCs/>
          <w:sz w:val="21"/>
          <w:szCs w:val="21"/>
          <w:lang w:eastAsia="en-AU"/>
        </w:rPr>
        <w:t>Narratology</w:t>
      </w:r>
      <w:r w:rsidRPr="006306B5">
        <w:rPr>
          <w:rFonts w:ascii="Times New Roman" w:eastAsia="Times New Roman" w:hAnsi="Times New Roman" w:cs="Times New Roman"/>
          <w:sz w:val="21"/>
          <w:szCs w:val="21"/>
          <w:lang w:eastAsia="en-AU"/>
        </w:rPr>
        <w:t> 146).</w:t>
      </w:r>
    </w:p>
    <w:p w14:paraId="19FE8857" w14:textId="77777777" w:rsidR="006306B5" w:rsidRPr="006306B5" w:rsidRDefault="00213400" w:rsidP="006306B5">
      <w:pPr>
        <w:numPr>
          <w:ilvl w:val="0"/>
          <w:numId w:val="2"/>
        </w:numPr>
        <w:spacing w:after="0" w:line="240" w:lineRule="auto"/>
        <w:ind w:left="1122"/>
        <w:rPr>
          <w:rFonts w:ascii="Times New Roman" w:eastAsia="Times New Roman" w:hAnsi="Times New Roman" w:cs="Times New Roman"/>
          <w:sz w:val="21"/>
          <w:szCs w:val="21"/>
          <w:lang w:eastAsia="en-AU"/>
        </w:rPr>
      </w:pPr>
      <w:hyperlink r:id="rId39" w:anchor="re1no13" w:history="1">
        <w:r w:rsidR="006306B5" w:rsidRPr="006306B5">
          <w:rPr>
            <w:rFonts w:ascii="Helvetica" w:eastAsia="Times New Roman" w:hAnsi="Helvetica" w:cs="Helvetica"/>
            <w:color w:val="FF4242"/>
            <w:sz w:val="18"/>
            <w:szCs w:val="18"/>
            <w:lang w:eastAsia="en-AU"/>
          </w:rPr>
          <w:t>[13]</w:t>
        </w:r>
      </w:hyperlink>
    </w:p>
    <w:p w14:paraId="54C13EB5" w14:textId="77777777" w:rsidR="006306B5" w:rsidRPr="006306B5" w:rsidRDefault="006306B5" w:rsidP="006306B5">
      <w:pPr>
        <w:spacing w:after="0" w:line="240" w:lineRule="auto"/>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I borrow the term </w:t>
      </w:r>
      <w:r w:rsidRPr="006306B5">
        <w:rPr>
          <w:rFonts w:ascii="Helvetica" w:eastAsia="Times New Roman" w:hAnsi="Helvetica" w:cs="Helvetica"/>
          <w:i/>
          <w:iCs/>
          <w:sz w:val="21"/>
          <w:szCs w:val="21"/>
          <w:lang w:eastAsia="en-AU"/>
        </w:rPr>
        <w:t>embedded narrative</w:t>
      </w:r>
      <w:r w:rsidRPr="006306B5">
        <w:rPr>
          <w:rFonts w:ascii="Times New Roman" w:eastAsia="Times New Roman" w:hAnsi="Times New Roman" w:cs="Times New Roman"/>
          <w:sz w:val="21"/>
          <w:szCs w:val="21"/>
          <w:lang w:eastAsia="en-AU"/>
        </w:rPr>
        <w:t> from Bal in order to emphasize the internal location of narratives within other narratives. According to Bal, “There is embedding when a </w:t>
      </w:r>
      <w:r w:rsidRPr="006306B5">
        <w:rPr>
          <w:rFonts w:ascii="Helvetica" w:eastAsia="Times New Roman" w:hAnsi="Helvetica" w:cs="Helvetica"/>
          <w:i/>
          <w:iCs/>
          <w:sz w:val="21"/>
          <w:szCs w:val="21"/>
          <w:lang w:eastAsia="en-AU"/>
        </w:rPr>
        <w:t>narrative object</w:t>
      </w:r>
      <w:r w:rsidRPr="006306B5">
        <w:rPr>
          <w:rFonts w:ascii="Times New Roman" w:eastAsia="Times New Roman" w:hAnsi="Times New Roman" w:cs="Times New Roman"/>
          <w:sz w:val="21"/>
          <w:szCs w:val="21"/>
          <w:lang w:eastAsia="en-AU"/>
        </w:rPr>
        <w:t> [. . .] becomes the subject of the following level [. . .]. Whenever a narrative subject becomes the object of a superior level, the superior level becomes a metalevel (metatext or meta-narrative)” (“Notes” 45). Such embedding requires a divorce of narrative from narrating subject, so that it becomes a </w:t>
      </w:r>
      <w:r w:rsidRPr="006306B5">
        <w:rPr>
          <w:rFonts w:ascii="Helvetica" w:eastAsia="Times New Roman" w:hAnsi="Helvetica" w:cs="Helvetica"/>
          <w:i/>
          <w:iCs/>
          <w:sz w:val="21"/>
          <w:szCs w:val="21"/>
          <w:lang w:eastAsia="en-AU"/>
        </w:rPr>
        <w:t>text</w:t>
      </w:r>
      <w:r w:rsidRPr="006306B5">
        <w:rPr>
          <w:rFonts w:ascii="Times New Roman" w:eastAsia="Times New Roman" w:hAnsi="Times New Roman" w:cs="Times New Roman"/>
          <w:sz w:val="21"/>
          <w:szCs w:val="21"/>
          <w:lang w:eastAsia="en-AU"/>
        </w:rPr>
        <w:t>: the object of another’s narrative. In other words, to be embedded, a narrative must be appropriated and made an element of a “meta-narrative.”</w:t>
      </w:r>
    </w:p>
    <w:p w14:paraId="148F7C13" w14:textId="77777777" w:rsidR="006306B5" w:rsidRPr="006306B5" w:rsidRDefault="00213400" w:rsidP="006306B5">
      <w:pPr>
        <w:numPr>
          <w:ilvl w:val="0"/>
          <w:numId w:val="2"/>
        </w:numPr>
        <w:spacing w:after="0" w:line="240" w:lineRule="auto"/>
        <w:ind w:left="1122"/>
        <w:rPr>
          <w:rFonts w:ascii="Times New Roman" w:eastAsia="Times New Roman" w:hAnsi="Times New Roman" w:cs="Times New Roman"/>
          <w:sz w:val="21"/>
          <w:szCs w:val="21"/>
          <w:lang w:eastAsia="en-AU"/>
        </w:rPr>
      </w:pPr>
      <w:hyperlink r:id="rId40" w:anchor="re1no14" w:history="1">
        <w:r w:rsidR="006306B5" w:rsidRPr="006306B5">
          <w:rPr>
            <w:rFonts w:ascii="Helvetica" w:eastAsia="Times New Roman" w:hAnsi="Helvetica" w:cs="Helvetica"/>
            <w:color w:val="FF4242"/>
            <w:sz w:val="18"/>
            <w:szCs w:val="18"/>
            <w:lang w:eastAsia="en-AU"/>
          </w:rPr>
          <w:t>[14]</w:t>
        </w:r>
      </w:hyperlink>
    </w:p>
    <w:p w14:paraId="5F97A1F8" w14:textId="77777777" w:rsidR="006306B5" w:rsidRPr="006306B5" w:rsidRDefault="006306B5" w:rsidP="006306B5">
      <w:pPr>
        <w:spacing w:before="120" w:after="173" w:line="240" w:lineRule="auto"/>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For more detailed accounts of such rhetorical allusions, see Desser 53-65. See also Small, Ketterer, Knoepflmacher, Lamb, Soyka, and Ping.</w:t>
      </w:r>
    </w:p>
    <w:p w14:paraId="572D825B" w14:textId="77777777" w:rsidR="006306B5" w:rsidRPr="006306B5" w:rsidRDefault="00213400" w:rsidP="006306B5">
      <w:pPr>
        <w:numPr>
          <w:ilvl w:val="0"/>
          <w:numId w:val="2"/>
        </w:numPr>
        <w:spacing w:after="0" w:line="240" w:lineRule="auto"/>
        <w:ind w:left="1122"/>
        <w:rPr>
          <w:rFonts w:ascii="Times New Roman" w:eastAsia="Times New Roman" w:hAnsi="Times New Roman" w:cs="Times New Roman"/>
          <w:sz w:val="21"/>
          <w:szCs w:val="21"/>
          <w:lang w:eastAsia="en-AU"/>
        </w:rPr>
      </w:pPr>
      <w:hyperlink r:id="rId41" w:anchor="re1no15" w:history="1">
        <w:r w:rsidR="006306B5" w:rsidRPr="006306B5">
          <w:rPr>
            <w:rFonts w:ascii="Helvetica" w:eastAsia="Times New Roman" w:hAnsi="Helvetica" w:cs="Helvetica"/>
            <w:color w:val="FF4242"/>
            <w:sz w:val="18"/>
            <w:szCs w:val="18"/>
            <w:lang w:eastAsia="en-AU"/>
          </w:rPr>
          <w:t>[15]</w:t>
        </w:r>
      </w:hyperlink>
    </w:p>
    <w:p w14:paraId="07EEC00B" w14:textId="77777777" w:rsidR="006306B5" w:rsidRPr="006306B5" w:rsidRDefault="006306B5" w:rsidP="006306B5">
      <w:pPr>
        <w:spacing w:before="120" w:after="173" w:line="240" w:lineRule="auto"/>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Beth Newman presents a useful analysis of the Creature’s narrative intention as an attempt at seduction (150-51). Such a reading supports my claim that the Creature’s intention is informed by his identification with both Adam and Satan: Adam’s wish for a companion, and Satan’s temptation or (seduction) of Eve.</w:t>
      </w:r>
    </w:p>
    <w:p w14:paraId="6D4A1772" w14:textId="77777777" w:rsidR="006306B5" w:rsidRPr="006306B5" w:rsidRDefault="00213400" w:rsidP="006306B5">
      <w:pPr>
        <w:numPr>
          <w:ilvl w:val="0"/>
          <w:numId w:val="2"/>
        </w:numPr>
        <w:spacing w:after="0" w:line="240" w:lineRule="auto"/>
        <w:ind w:left="1122"/>
        <w:rPr>
          <w:rFonts w:ascii="Times New Roman" w:eastAsia="Times New Roman" w:hAnsi="Times New Roman" w:cs="Times New Roman"/>
          <w:sz w:val="21"/>
          <w:szCs w:val="21"/>
          <w:lang w:eastAsia="en-AU"/>
        </w:rPr>
      </w:pPr>
      <w:hyperlink r:id="rId42" w:anchor="re1no16" w:history="1">
        <w:r w:rsidR="006306B5" w:rsidRPr="006306B5">
          <w:rPr>
            <w:rFonts w:ascii="Helvetica" w:eastAsia="Times New Roman" w:hAnsi="Helvetica" w:cs="Helvetica"/>
            <w:color w:val="FF4242"/>
            <w:sz w:val="18"/>
            <w:szCs w:val="18"/>
            <w:lang w:eastAsia="en-AU"/>
          </w:rPr>
          <w:t>[16]</w:t>
        </w:r>
      </w:hyperlink>
    </w:p>
    <w:p w14:paraId="4E726C1F" w14:textId="77777777" w:rsidR="006306B5" w:rsidRPr="006306B5" w:rsidRDefault="006306B5" w:rsidP="006306B5">
      <w:pPr>
        <w:spacing w:after="0" w:line="240" w:lineRule="auto"/>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There is certainly a great deal of poetry reading in Shelley’s novel, but it is left largely to Walton, Elizabeth and Clerval. Though Walton registers his impression that “On every point of general literature he [Frankenstein] displays unbounded knowledge” (210), Frankenstein himself emphasizes only his reading in natural philosophy and, later, in “the works of orientalists” (69). Frankenstein alludes to </w:t>
      </w:r>
      <w:r w:rsidRPr="006306B5">
        <w:rPr>
          <w:rFonts w:ascii="Helvetica" w:eastAsia="Times New Roman" w:hAnsi="Helvetica" w:cs="Helvetica"/>
          <w:i/>
          <w:iCs/>
          <w:sz w:val="21"/>
          <w:szCs w:val="21"/>
          <w:lang w:eastAsia="en-AU"/>
        </w:rPr>
        <w:t>Paradise Lost</w:t>
      </w:r>
      <w:r w:rsidRPr="006306B5">
        <w:rPr>
          <w:rFonts w:ascii="Times New Roman" w:eastAsia="Times New Roman" w:hAnsi="Times New Roman" w:cs="Times New Roman"/>
          <w:sz w:val="21"/>
          <w:szCs w:val="21"/>
          <w:lang w:eastAsia="en-AU"/>
        </w:rPr>
        <w:t>, of course, but seems to do so in the Creature’s terms, and only as suggested by the Creature’s narrative.</w:t>
      </w:r>
    </w:p>
    <w:p w14:paraId="16AAB6E8" w14:textId="77777777" w:rsidR="006306B5" w:rsidRPr="006306B5" w:rsidRDefault="00213400" w:rsidP="006306B5">
      <w:pPr>
        <w:numPr>
          <w:ilvl w:val="0"/>
          <w:numId w:val="2"/>
        </w:numPr>
        <w:spacing w:after="0" w:line="240" w:lineRule="auto"/>
        <w:ind w:left="1122"/>
        <w:rPr>
          <w:rFonts w:ascii="Times New Roman" w:eastAsia="Times New Roman" w:hAnsi="Times New Roman" w:cs="Times New Roman"/>
          <w:sz w:val="21"/>
          <w:szCs w:val="21"/>
          <w:lang w:eastAsia="en-AU"/>
        </w:rPr>
      </w:pPr>
      <w:hyperlink r:id="rId43" w:anchor="re1no17" w:history="1">
        <w:r w:rsidR="006306B5" w:rsidRPr="006306B5">
          <w:rPr>
            <w:rFonts w:ascii="Helvetica" w:eastAsia="Times New Roman" w:hAnsi="Helvetica" w:cs="Helvetica"/>
            <w:color w:val="FF4242"/>
            <w:sz w:val="18"/>
            <w:szCs w:val="18"/>
            <w:lang w:eastAsia="en-AU"/>
          </w:rPr>
          <w:t>[17]</w:t>
        </w:r>
      </w:hyperlink>
    </w:p>
    <w:p w14:paraId="2E37AD5C" w14:textId="77777777" w:rsidR="006306B5" w:rsidRPr="006306B5" w:rsidRDefault="006306B5" w:rsidP="006306B5">
      <w:pPr>
        <w:spacing w:before="120" w:after="173" w:line="240" w:lineRule="auto"/>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Anne Mellor argues that the “friendship” between Walton and Frankenstein is essentially egoistic in nature and selfish in intention, as each man seeks in the other “a mirror of his self who will reflect back his own joys and sorrows [. . .] the friendship of his genuine alter-ego” (110). Such a view corresponds to my reading of these frame-work structures, as each outset, enabled narrative acts as a “mirror” or “alter-ego” of the embedded enabling text.</w:t>
      </w:r>
    </w:p>
    <w:p w14:paraId="29027C6A" w14:textId="77777777" w:rsidR="006306B5" w:rsidRPr="006306B5" w:rsidRDefault="00213400" w:rsidP="006306B5">
      <w:pPr>
        <w:numPr>
          <w:ilvl w:val="0"/>
          <w:numId w:val="2"/>
        </w:numPr>
        <w:spacing w:after="0" w:line="240" w:lineRule="auto"/>
        <w:ind w:left="1122"/>
        <w:rPr>
          <w:rFonts w:ascii="Times New Roman" w:eastAsia="Times New Roman" w:hAnsi="Times New Roman" w:cs="Times New Roman"/>
          <w:sz w:val="21"/>
          <w:szCs w:val="21"/>
          <w:lang w:eastAsia="en-AU"/>
        </w:rPr>
      </w:pPr>
      <w:hyperlink r:id="rId44" w:anchor="re1no18" w:history="1">
        <w:r w:rsidR="006306B5" w:rsidRPr="006306B5">
          <w:rPr>
            <w:rFonts w:ascii="Helvetica" w:eastAsia="Times New Roman" w:hAnsi="Helvetica" w:cs="Helvetica"/>
            <w:color w:val="FF4242"/>
            <w:sz w:val="18"/>
            <w:szCs w:val="18"/>
            <w:lang w:eastAsia="en-AU"/>
          </w:rPr>
          <w:t>[18]</w:t>
        </w:r>
      </w:hyperlink>
    </w:p>
    <w:p w14:paraId="5F6BA7C0" w14:textId="77777777" w:rsidR="006306B5" w:rsidRPr="006306B5" w:rsidRDefault="006306B5" w:rsidP="006306B5">
      <w:pPr>
        <w:spacing w:after="0" w:line="240" w:lineRule="auto"/>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Literary anachronisms occur several times in </w:t>
      </w:r>
      <w:r w:rsidRPr="006306B5">
        <w:rPr>
          <w:rFonts w:ascii="Helvetica" w:eastAsia="Times New Roman" w:hAnsi="Helvetica" w:cs="Helvetica"/>
          <w:i/>
          <w:iCs/>
          <w:sz w:val="21"/>
          <w:szCs w:val="21"/>
          <w:lang w:eastAsia="en-AU"/>
        </w:rPr>
        <w:t>Frankenstein</w:t>
      </w:r>
      <w:r w:rsidRPr="006306B5">
        <w:rPr>
          <w:rFonts w:ascii="Times New Roman" w:eastAsia="Times New Roman" w:hAnsi="Times New Roman" w:cs="Times New Roman"/>
          <w:sz w:val="21"/>
          <w:szCs w:val="21"/>
          <w:lang w:eastAsia="en-AU"/>
        </w:rPr>
        <w:t>. Leonard Wolf’s chronology of the novel’s events denies the possibility of consistent, accurate dating (333-37), but Mellor conjectures that Walton’s first letter is written on December 11, 1796, and his last on September 12, 1797 (Mellor 54-55; 237-38), a full year before Coleridge’s “The Rime of the Ancyent Mariner” was first published in </w:t>
      </w:r>
      <w:r w:rsidRPr="006306B5">
        <w:rPr>
          <w:rFonts w:ascii="Helvetica" w:eastAsia="Times New Roman" w:hAnsi="Helvetica" w:cs="Helvetica"/>
          <w:i/>
          <w:iCs/>
          <w:sz w:val="21"/>
          <w:szCs w:val="21"/>
          <w:lang w:eastAsia="en-AU"/>
        </w:rPr>
        <w:t>Lyrical Ballads</w:t>
      </w:r>
      <w:r w:rsidRPr="006306B5">
        <w:rPr>
          <w:rFonts w:ascii="Times New Roman" w:eastAsia="Times New Roman" w:hAnsi="Times New Roman" w:cs="Times New Roman"/>
          <w:sz w:val="21"/>
          <w:szCs w:val="21"/>
          <w:lang w:eastAsia="en-AU"/>
        </w:rPr>
        <w:t>. Frankenstein later quotes from the revised “Ancient Mariner” (1800) (59), and both he and the Creature quote Percy Shelley’s “Mutability” (1816) (98, 128). Mellor notes the other prominent anachronisms as well: quotations from Wordsworth’s “Lines Written a Few Miles Above Tintern Abbey” (1798) and the third canto of Byron’s </w:t>
      </w:r>
      <w:r w:rsidRPr="006306B5">
        <w:rPr>
          <w:rFonts w:ascii="Helvetica" w:eastAsia="Times New Roman" w:hAnsi="Helvetica" w:cs="Helvetica"/>
          <w:i/>
          <w:iCs/>
          <w:sz w:val="21"/>
          <w:szCs w:val="21"/>
          <w:lang w:eastAsia="en-AU"/>
        </w:rPr>
        <w:t>Childe Harold’s Pilgrimage</w:t>
      </w:r>
      <w:r w:rsidRPr="006306B5">
        <w:rPr>
          <w:rFonts w:ascii="Times New Roman" w:eastAsia="Times New Roman" w:hAnsi="Times New Roman" w:cs="Times New Roman"/>
          <w:sz w:val="21"/>
          <w:szCs w:val="21"/>
          <w:lang w:eastAsia="en-AU"/>
        </w:rPr>
        <w:t> (1816) (Mellor 233).</w:t>
      </w:r>
    </w:p>
    <w:p w14:paraId="400F6843" w14:textId="77777777" w:rsidR="006306B5" w:rsidRPr="006306B5" w:rsidRDefault="00213400" w:rsidP="006306B5">
      <w:pPr>
        <w:numPr>
          <w:ilvl w:val="0"/>
          <w:numId w:val="2"/>
        </w:numPr>
        <w:spacing w:after="0" w:line="240" w:lineRule="auto"/>
        <w:ind w:left="1122"/>
        <w:rPr>
          <w:rFonts w:ascii="Times New Roman" w:eastAsia="Times New Roman" w:hAnsi="Times New Roman" w:cs="Times New Roman"/>
          <w:sz w:val="21"/>
          <w:szCs w:val="21"/>
          <w:lang w:eastAsia="en-AU"/>
        </w:rPr>
      </w:pPr>
      <w:hyperlink r:id="rId45" w:anchor="re1no19" w:history="1">
        <w:r w:rsidR="006306B5" w:rsidRPr="006306B5">
          <w:rPr>
            <w:rFonts w:ascii="Helvetica" w:eastAsia="Times New Roman" w:hAnsi="Helvetica" w:cs="Helvetica"/>
            <w:color w:val="FF4242"/>
            <w:sz w:val="18"/>
            <w:szCs w:val="18"/>
            <w:lang w:eastAsia="en-AU"/>
          </w:rPr>
          <w:t>[19]</w:t>
        </w:r>
      </w:hyperlink>
    </w:p>
    <w:p w14:paraId="2A1FA151" w14:textId="77777777" w:rsidR="006306B5" w:rsidRPr="006306B5" w:rsidRDefault="006306B5" w:rsidP="006306B5">
      <w:pPr>
        <w:spacing w:after="0" w:line="240" w:lineRule="auto"/>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I use the term </w:t>
      </w:r>
      <w:r w:rsidRPr="006306B5">
        <w:rPr>
          <w:rFonts w:ascii="Helvetica" w:eastAsia="Times New Roman" w:hAnsi="Helvetica" w:cs="Helvetica"/>
          <w:i/>
          <w:iCs/>
          <w:sz w:val="21"/>
          <w:szCs w:val="21"/>
          <w:lang w:eastAsia="en-AU"/>
        </w:rPr>
        <w:t>openness</w:t>
      </w:r>
      <w:r w:rsidRPr="006306B5">
        <w:rPr>
          <w:rFonts w:ascii="Times New Roman" w:eastAsia="Times New Roman" w:hAnsi="Times New Roman" w:cs="Times New Roman"/>
          <w:sz w:val="21"/>
          <w:szCs w:val="21"/>
          <w:lang w:eastAsia="en-AU"/>
        </w:rPr>
        <w:t> both in the broad affective sense given to it by Wayne Booth (the “power to shock the reader, to undermine conventions, to shatter illusions, to wake up the sleepy and complacent, to lead us to questions rather than answers, to introduce the reader to something radically ‘other’” [63]) and in the narrower structural and interpretive sense explored by Peter Rabinowitz (that is, an absence of clear coda or summation [121-22]).</w:t>
      </w:r>
    </w:p>
    <w:p w14:paraId="1A7C6523" w14:textId="77777777" w:rsidR="006306B5" w:rsidRPr="006306B5" w:rsidRDefault="006306B5" w:rsidP="006306B5">
      <w:pPr>
        <w:spacing w:before="360" w:after="120" w:line="240" w:lineRule="auto"/>
        <w:outlineLvl w:val="1"/>
        <w:rPr>
          <w:rFonts w:ascii="Times New Roman" w:eastAsia="Times New Roman" w:hAnsi="Times New Roman" w:cs="Times New Roman"/>
          <w:b/>
          <w:bCs/>
          <w:color w:val="FF4242"/>
          <w:sz w:val="47"/>
          <w:szCs w:val="47"/>
          <w:lang w:eastAsia="en-AU"/>
        </w:rPr>
      </w:pPr>
      <w:r w:rsidRPr="006306B5">
        <w:rPr>
          <w:rFonts w:ascii="Times New Roman" w:eastAsia="Times New Roman" w:hAnsi="Times New Roman" w:cs="Times New Roman"/>
          <w:b/>
          <w:bCs/>
          <w:color w:val="FF4242"/>
          <w:sz w:val="47"/>
          <w:szCs w:val="47"/>
          <w:lang w:eastAsia="en-AU"/>
        </w:rPr>
        <w:t>Works Cited</w:t>
      </w:r>
    </w:p>
    <w:p w14:paraId="3140B8D9" w14:textId="77777777" w:rsidR="006306B5" w:rsidRPr="006306B5" w:rsidRDefault="006306B5" w:rsidP="006306B5">
      <w:pPr>
        <w:numPr>
          <w:ilvl w:val="0"/>
          <w:numId w:val="3"/>
        </w:numPr>
        <w:spacing w:after="0" w:line="240" w:lineRule="auto"/>
        <w:ind w:left="1122"/>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lastRenderedPageBreak/>
        <w:t>Bal, Mieke. </w:t>
      </w:r>
      <w:r w:rsidRPr="006306B5">
        <w:rPr>
          <w:rFonts w:ascii="Helvetica" w:eastAsia="Times New Roman" w:hAnsi="Helvetica" w:cs="Helvetica"/>
          <w:i/>
          <w:iCs/>
          <w:sz w:val="21"/>
          <w:szCs w:val="21"/>
          <w:lang w:eastAsia="en-AU"/>
        </w:rPr>
        <w:t>Narratology: Introduction to the Theory of Narrative</w:t>
      </w:r>
      <w:r w:rsidRPr="006306B5">
        <w:rPr>
          <w:rFonts w:ascii="Times New Roman" w:eastAsia="Times New Roman" w:hAnsi="Times New Roman" w:cs="Times New Roman"/>
          <w:sz w:val="21"/>
          <w:szCs w:val="21"/>
          <w:lang w:eastAsia="en-AU"/>
        </w:rPr>
        <w:t>. Trans. Christine van Boheemen. Toronto: U of Toronto P, 1985.</w:t>
      </w:r>
    </w:p>
    <w:p w14:paraId="1B001B1A" w14:textId="77777777" w:rsidR="006306B5" w:rsidRPr="006306B5" w:rsidRDefault="00213400" w:rsidP="006306B5">
      <w:pPr>
        <w:spacing w:after="120" w:line="240" w:lineRule="auto"/>
        <w:rPr>
          <w:rFonts w:ascii="Times New Roman" w:eastAsia="Times New Roman" w:hAnsi="Times New Roman" w:cs="Times New Roman"/>
          <w:sz w:val="18"/>
          <w:szCs w:val="18"/>
          <w:lang w:eastAsia="en-AU"/>
        </w:rPr>
      </w:pPr>
      <w:hyperlink r:id="rId46" w:tgtFrame="_blank" w:history="1">
        <w:r w:rsidR="006306B5" w:rsidRPr="006306B5">
          <w:rPr>
            <w:rFonts w:ascii="Times New Roman" w:eastAsia="Times New Roman" w:hAnsi="Times New Roman" w:cs="Times New Roman"/>
            <w:color w:val="000000"/>
            <w:sz w:val="18"/>
            <w:szCs w:val="18"/>
            <w:lang w:eastAsia="en-AU"/>
          </w:rPr>
          <w:t>Google Scholar</w:t>
        </w:r>
      </w:hyperlink>
    </w:p>
    <w:p w14:paraId="6E1C65BF" w14:textId="77777777" w:rsidR="006306B5" w:rsidRPr="006306B5" w:rsidRDefault="006306B5" w:rsidP="006306B5">
      <w:pPr>
        <w:numPr>
          <w:ilvl w:val="0"/>
          <w:numId w:val="3"/>
        </w:numPr>
        <w:spacing w:after="0" w:line="240" w:lineRule="auto"/>
        <w:ind w:left="1122"/>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 “Notes on Narrative Embedding.” </w:t>
      </w:r>
      <w:r w:rsidRPr="006306B5">
        <w:rPr>
          <w:rFonts w:ascii="Helvetica" w:eastAsia="Times New Roman" w:hAnsi="Helvetica" w:cs="Helvetica"/>
          <w:i/>
          <w:iCs/>
          <w:sz w:val="21"/>
          <w:szCs w:val="21"/>
          <w:lang w:eastAsia="en-AU"/>
        </w:rPr>
        <w:t>Poetics Today</w:t>
      </w:r>
      <w:r w:rsidRPr="006306B5">
        <w:rPr>
          <w:rFonts w:ascii="Times New Roman" w:eastAsia="Times New Roman" w:hAnsi="Times New Roman" w:cs="Times New Roman"/>
          <w:sz w:val="21"/>
          <w:szCs w:val="21"/>
          <w:lang w:eastAsia="en-AU"/>
        </w:rPr>
        <w:t> 2.2 (1981): 41-59.</w:t>
      </w:r>
    </w:p>
    <w:p w14:paraId="52783E28" w14:textId="77777777" w:rsidR="006306B5" w:rsidRPr="006306B5" w:rsidRDefault="00213400" w:rsidP="006306B5">
      <w:pPr>
        <w:spacing w:after="120" w:line="240" w:lineRule="auto"/>
        <w:rPr>
          <w:rFonts w:ascii="Times New Roman" w:eastAsia="Times New Roman" w:hAnsi="Times New Roman" w:cs="Times New Roman"/>
          <w:sz w:val="18"/>
          <w:szCs w:val="18"/>
          <w:lang w:eastAsia="en-AU"/>
        </w:rPr>
      </w:pPr>
      <w:hyperlink r:id="rId47" w:tgtFrame="_blank" w:history="1">
        <w:r w:rsidR="006306B5" w:rsidRPr="006306B5">
          <w:rPr>
            <w:rFonts w:ascii="Times New Roman" w:eastAsia="Times New Roman" w:hAnsi="Times New Roman" w:cs="Times New Roman"/>
            <w:color w:val="000000"/>
            <w:sz w:val="18"/>
            <w:szCs w:val="18"/>
            <w:lang w:eastAsia="en-AU"/>
          </w:rPr>
          <w:t>Google Scholar</w:t>
        </w:r>
      </w:hyperlink>
      <w:r w:rsidR="006306B5" w:rsidRPr="006306B5">
        <w:rPr>
          <w:rFonts w:ascii="Times New Roman" w:eastAsia="Times New Roman" w:hAnsi="Times New Roman" w:cs="Times New Roman"/>
          <w:sz w:val="18"/>
          <w:szCs w:val="18"/>
          <w:lang w:eastAsia="en-AU"/>
        </w:rPr>
        <w:t> </w:t>
      </w:r>
      <w:hyperlink r:id="rId48" w:tgtFrame="_blank" w:history="1">
        <w:r w:rsidR="006306B5" w:rsidRPr="006306B5">
          <w:rPr>
            <w:rFonts w:ascii="Consolas" w:eastAsia="Times New Roman" w:hAnsi="Consolas" w:cs="Times New Roman"/>
            <w:color w:val="000000"/>
            <w:sz w:val="18"/>
            <w:szCs w:val="18"/>
            <w:lang w:eastAsia="en-AU"/>
          </w:rPr>
          <w:t>10.2307/1772189</w:t>
        </w:r>
      </w:hyperlink>
    </w:p>
    <w:p w14:paraId="69F5626A" w14:textId="77777777" w:rsidR="006306B5" w:rsidRPr="006306B5" w:rsidRDefault="006306B5" w:rsidP="006306B5">
      <w:pPr>
        <w:numPr>
          <w:ilvl w:val="0"/>
          <w:numId w:val="3"/>
        </w:numPr>
        <w:spacing w:after="0" w:line="240" w:lineRule="auto"/>
        <w:ind w:left="1122"/>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Baldick, Chris. </w:t>
      </w:r>
      <w:r w:rsidRPr="006306B5">
        <w:rPr>
          <w:rFonts w:ascii="Helvetica" w:eastAsia="Times New Roman" w:hAnsi="Helvetica" w:cs="Helvetica"/>
          <w:i/>
          <w:iCs/>
          <w:sz w:val="21"/>
          <w:szCs w:val="21"/>
          <w:lang w:eastAsia="en-AU"/>
        </w:rPr>
        <w:t>In </w:t>
      </w:r>
      <w:r w:rsidRPr="006306B5">
        <w:rPr>
          <w:rFonts w:ascii="Times New Roman" w:eastAsia="Times New Roman" w:hAnsi="Times New Roman" w:cs="Times New Roman"/>
          <w:sz w:val="21"/>
          <w:szCs w:val="21"/>
          <w:lang w:eastAsia="en-AU"/>
        </w:rPr>
        <w:t>Frankenstein</w:t>
      </w:r>
      <w:r w:rsidRPr="006306B5">
        <w:rPr>
          <w:rFonts w:ascii="Helvetica" w:eastAsia="Times New Roman" w:hAnsi="Helvetica" w:cs="Helvetica"/>
          <w:i/>
          <w:iCs/>
          <w:sz w:val="21"/>
          <w:szCs w:val="21"/>
          <w:lang w:eastAsia="en-AU"/>
        </w:rPr>
        <w:t>’s Shadow: Myth, Monstrosity, and Nineteenth-Century Writing</w:t>
      </w:r>
      <w:r w:rsidRPr="006306B5">
        <w:rPr>
          <w:rFonts w:ascii="Times New Roman" w:eastAsia="Times New Roman" w:hAnsi="Times New Roman" w:cs="Times New Roman"/>
          <w:sz w:val="21"/>
          <w:szCs w:val="21"/>
          <w:lang w:eastAsia="en-AU"/>
        </w:rPr>
        <w:t>. Oxford: Clarendon, 1987.</w:t>
      </w:r>
    </w:p>
    <w:p w14:paraId="05CD6D34" w14:textId="77777777" w:rsidR="006306B5" w:rsidRPr="006306B5" w:rsidRDefault="00213400" w:rsidP="006306B5">
      <w:pPr>
        <w:spacing w:after="120" w:line="240" w:lineRule="auto"/>
        <w:rPr>
          <w:rFonts w:ascii="Times New Roman" w:eastAsia="Times New Roman" w:hAnsi="Times New Roman" w:cs="Times New Roman"/>
          <w:sz w:val="18"/>
          <w:szCs w:val="18"/>
          <w:lang w:eastAsia="en-AU"/>
        </w:rPr>
      </w:pPr>
      <w:hyperlink r:id="rId49" w:tgtFrame="_blank" w:history="1">
        <w:r w:rsidR="006306B5" w:rsidRPr="006306B5">
          <w:rPr>
            <w:rFonts w:ascii="Times New Roman" w:eastAsia="Times New Roman" w:hAnsi="Times New Roman" w:cs="Times New Roman"/>
            <w:color w:val="000000"/>
            <w:sz w:val="18"/>
            <w:szCs w:val="18"/>
            <w:lang w:eastAsia="en-AU"/>
          </w:rPr>
          <w:t>Google Scholar</w:t>
        </w:r>
      </w:hyperlink>
    </w:p>
    <w:p w14:paraId="34E31E8F" w14:textId="77777777" w:rsidR="006306B5" w:rsidRPr="006306B5" w:rsidRDefault="006306B5" w:rsidP="006306B5">
      <w:pPr>
        <w:numPr>
          <w:ilvl w:val="0"/>
          <w:numId w:val="3"/>
        </w:numPr>
        <w:spacing w:after="0" w:line="240" w:lineRule="auto"/>
        <w:ind w:left="1122"/>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Botting, Fred. </w:t>
      </w:r>
      <w:r w:rsidRPr="006306B5">
        <w:rPr>
          <w:rFonts w:ascii="Helvetica" w:eastAsia="Times New Roman" w:hAnsi="Helvetica" w:cs="Helvetica"/>
          <w:i/>
          <w:iCs/>
          <w:sz w:val="21"/>
          <w:szCs w:val="21"/>
          <w:lang w:eastAsia="en-AU"/>
        </w:rPr>
        <w:t>Making Monstrous:</w:t>
      </w:r>
      <w:r w:rsidRPr="006306B5">
        <w:rPr>
          <w:rFonts w:ascii="Times New Roman" w:eastAsia="Times New Roman" w:hAnsi="Times New Roman" w:cs="Times New Roman"/>
          <w:sz w:val="21"/>
          <w:szCs w:val="21"/>
          <w:lang w:eastAsia="en-AU"/>
        </w:rPr>
        <w:t> Frankenstein</w:t>
      </w:r>
      <w:r w:rsidRPr="006306B5">
        <w:rPr>
          <w:rFonts w:ascii="Helvetica" w:eastAsia="Times New Roman" w:hAnsi="Helvetica" w:cs="Helvetica"/>
          <w:i/>
          <w:iCs/>
          <w:sz w:val="21"/>
          <w:szCs w:val="21"/>
          <w:lang w:eastAsia="en-AU"/>
        </w:rPr>
        <w:t>, Criticism, Theory</w:t>
      </w:r>
      <w:r w:rsidRPr="006306B5">
        <w:rPr>
          <w:rFonts w:ascii="Times New Roman" w:eastAsia="Times New Roman" w:hAnsi="Times New Roman" w:cs="Times New Roman"/>
          <w:sz w:val="21"/>
          <w:szCs w:val="21"/>
          <w:lang w:eastAsia="en-AU"/>
        </w:rPr>
        <w:t>. Manchester and New York: Manchester UP, 1991.</w:t>
      </w:r>
    </w:p>
    <w:p w14:paraId="08183669" w14:textId="77777777" w:rsidR="006306B5" w:rsidRPr="006306B5" w:rsidRDefault="00213400" w:rsidP="006306B5">
      <w:pPr>
        <w:spacing w:after="120" w:line="240" w:lineRule="auto"/>
        <w:rPr>
          <w:rFonts w:ascii="Times New Roman" w:eastAsia="Times New Roman" w:hAnsi="Times New Roman" w:cs="Times New Roman"/>
          <w:sz w:val="18"/>
          <w:szCs w:val="18"/>
          <w:lang w:eastAsia="en-AU"/>
        </w:rPr>
      </w:pPr>
      <w:hyperlink r:id="rId50" w:tgtFrame="_blank" w:history="1">
        <w:r w:rsidR="006306B5" w:rsidRPr="006306B5">
          <w:rPr>
            <w:rFonts w:ascii="Times New Roman" w:eastAsia="Times New Roman" w:hAnsi="Times New Roman" w:cs="Times New Roman"/>
            <w:color w:val="000000"/>
            <w:sz w:val="18"/>
            <w:szCs w:val="18"/>
            <w:lang w:eastAsia="en-AU"/>
          </w:rPr>
          <w:t>Google Scholar</w:t>
        </w:r>
      </w:hyperlink>
    </w:p>
    <w:p w14:paraId="23EC012F" w14:textId="77777777" w:rsidR="006306B5" w:rsidRPr="006306B5" w:rsidRDefault="006306B5" w:rsidP="006306B5">
      <w:pPr>
        <w:numPr>
          <w:ilvl w:val="0"/>
          <w:numId w:val="3"/>
        </w:numPr>
        <w:spacing w:after="0" w:line="240" w:lineRule="auto"/>
        <w:ind w:left="1122"/>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Brontë, Emily. </w:t>
      </w:r>
      <w:r w:rsidRPr="006306B5">
        <w:rPr>
          <w:rFonts w:ascii="Helvetica" w:eastAsia="Times New Roman" w:hAnsi="Helvetica" w:cs="Helvetica"/>
          <w:i/>
          <w:iCs/>
          <w:sz w:val="21"/>
          <w:szCs w:val="21"/>
          <w:lang w:eastAsia="en-AU"/>
        </w:rPr>
        <w:t>Wuthering Heights.</w:t>
      </w:r>
      <w:r w:rsidRPr="006306B5">
        <w:rPr>
          <w:rFonts w:ascii="Times New Roman" w:eastAsia="Times New Roman" w:hAnsi="Times New Roman" w:cs="Times New Roman"/>
          <w:sz w:val="21"/>
          <w:szCs w:val="21"/>
          <w:lang w:eastAsia="en-AU"/>
        </w:rPr>
        <w:t> 1847. Ed. Hilda Marsden and Ian Jack. Oxford: Clarendon, 1976.</w:t>
      </w:r>
    </w:p>
    <w:p w14:paraId="2FF633E7" w14:textId="77777777" w:rsidR="006306B5" w:rsidRPr="006306B5" w:rsidRDefault="00213400" w:rsidP="006306B5">
      <w:pPr>
        <w:spacing w:after="120" w:line="240" w:lineRule="auto"/>
        <w:rPr>
          <w:rFonts w:ascii="Times New Roman" w:eastAsia="Times New Roman" w:hAnsi="Times New Roman" w:cs="Times New Roman"/>
          <w:sz w:val="18"/>
          <w:szCs w:val="18"/>
          <w:lang w:eastAsia="en-AU"/>
        </w:rPr>
      </w:pPr>
      <w:hyperlink r:id="rId51" w:tgtFrame="_blank" w:history="1">
        <w:r w:rsidR="006306B5" w:rsidRPr="006306B5">
          <w:rPr>
            <w:rFonts w:ascii="Times New Roman" w:eastAsia="Times New Roman" w:hAnsi="Times New Roman" w:cs="Times New Roman"/>
            <w:color w:val="000000"/>
            <w:sz w:val="18"/>
            <w:szCs w:val="18"/>
            <w:lang w:eastAsia="en-AU"/>
          </w:rPr>
          <w:t>Google Scholar</w:t>
        </w:r>
      </w:hyperlink>
    </w:p>
    <w:p w14:paraId="1331F7DE" w14:textId="77777777" w:rsidR="006306B5" w:rsidRPr="006306B5" w:rsidRDefault="006306B5" w:rsidP="006306B5">
      <w:pPr>
        <w:numPr>
          <w:ilvl w:val="0"/>
          <w:numId w:val="3"/>
        </w:numPr>
        <w:spacing w:after="0" w:line="240" w:lineRule="auto"/>
        <w:ind w:left="1122"/>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Brooke-Rose, Christine. </w:t>
      </w:r>
      <w:r w:rsidRPr="006306B5">
        <w:rPr>
          <w:rFonts w:ascii="Helvetica" w:eastAsia="Times New Roman" w:hAnsi="Helvetica" w:cs="Helvetica"/>
          <w:i/>
          <w:iCs/>
          <w:sz w:val="21"/>
          <w:szCs w:val="21"/>
          <w:lang w:eastAsia="en-AU"/>
        </w:rPr>
        <w:t>A Rhetoric of the Unreal: Studies in Narrative and Structure, Especially of the Fantastic.</w:t>
      </w:r>
      <w:r w:rsidRPr="006306B5">
        <w:rPr>
          <w:rFonts w:ascii="Times New Roman" w:eastAsia="Times New Roman" w:hAnsi="Times New Roman" w:cs="Times New Roman"/>
          <w:sz w:val="21"/>
          <w:szCs w:val="21"/>
          <w:lang w:eastAsia="en-AU"/>
        </w:rPr>
        <w:t> New York: Cambridge UP, 1981.</w:t>
      </w:r>
    </w:p>
    <w:p w14:paraId="7EFEB60B" w14:textId="77777777" w:rsidR="006306B5" w:rsidRPr="006306B5" w:rsidRDefault="00213400" w:rsidP="006306B5">
      <w:pPr>
        <w:spacing w:after="120" w:line="240" w:lineRule="auto"/>
        <w:rPr>
          <w:rFonts w:ascii="Times New Roman" w:eastAsia="Times New Roman" w:hAnsi="Times New Roman" w:cs="Times New Roman"/>
          <w:sz w:val="18"/>
          <w:szCs w:val="18"/>
          <w:lang w:eastAsia="en-AU"/>
        </w:rPr>
      </w:pPr>
      <w:hyperlink r:id="rId52" w:tgtFrame="_blank" w:history="1">
        <w:r w:rsidR="006306B5" w:rsidRPr="006306B5">
          <w:rPr>
            <w:rFonts w:ascii="Times New Roman" w:eastAsia="Times New Roman" w:hAnsi="Times New Roman" w:cs="Times New Roman"/>
            <w:color w:val="000000"/>
            <w:sz w:val="18"/>
            <w:szCs w:val="18"/>
            <w:lang w:eastAsia="en-AU"/>
          </w:rPr>
          <w:t>Google Scholar</w:t>
        </w:r>
      </w:hyperlink>
    </w:p>
    <w:p w14:paraId="0C9ABF42" w14:textId="77777777" w:rsidR="006306B5" w:rsidRPr="006306B5" w:rsidRDefault="006306B5" w:rsidP="006306B5">
      <w:pPr>
        <w:numPr>
          <w:ilvl w:val="0"/>
          <w:numId w:val="3"/>
        </w:numPr>
        <w:spacing w:after="0" w:line="240" w:lineRule="auto"/>
        <w:ind w:left="1122"/>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Brooks, Peter. </w:t>
      </w:r>
      <w:r w:rsidRPr="006306B5">
        <w:rPr>
          <w:rFonts w:ascii="Helvetica" w:eastAsia="Times New Roman" w:hAnsi="Helvetica" w:cs="Helvetica"/>
          <w:i/>
          <w:iCs/>
          <w:sz w:val="21"/>
          <w:szCs w:val="21"/>
          <w:lang w:eastAsia="en-AU"/>
        </w:rPr>
        <w:t>Reading for the Plot: Design and Intention in Narrative</w:t>
      </w:r>
      <w:r w:rsidRPr="006306B5">
        <w:rPr>
          <w:rFonts w:ascii="Times New Roman" w:eastAsia="Times New Roman" w:hAnsi="Times New Roman" w:cs="Times New Roman"/>
          <w:sz w:val="21"/>
          <w:szCs w:val="21"/>
          <w:lang w:eastAsia="en-AU"/>
        </w:rPr>
        <w:t>. New York: Knopf, 1984.</w:t>
      </w:r>
    </w:p>
    <w:p w14:paraId="27A7F2D0" w14:textId="77777777" w:rsidR="006306B5" w:rsidRPr="006306B5" w:rsidRDefault="00213400" w:rsidP="006306B5">
      <w:pPr>
        <w:spacing w:after="120" w:line="240" w:lineRule="auto"/>
        <w:rPr>
          <w:rFonts w:ascii="Times New Roman" w:eastAsia="Times New Roman" w:hAnsi="Times New Roman" w:cs="Times New Roman"/>
          <w:sz w:val="18"/>
          <w:szCs w:val="18"/>
          <w:lang w:eastAsia="en-AU"/>
        </w:rPr>
      </w:pPr>
      <w:hyperlink r:id="rId53" w:tgtFrame="_blank" w:history="1">
        <w:r w:rsidR="006306B5" w:rsidRPr="006306B5">
          <w:rPr>
            <w:rFonts w:ascii="Times New Roman" w:eastAsia="Times New Roman" w:hAnsi="Times New Roman" w:cs="Times New Roman"/>
            <w:color w:val="000000"/>
            <w:sz w:val="18"/>
            <w:szCs w:val="18"/>
            <w:lang w:eastAsia="en-AU"/>
          </w:rPr>
          <w:t>Google Scholar</w:t>
        </w:r>
      </w:hyperlink>
    </w:p>
    <w:p w14:paraId="711AD300" w14:textId="77777777" w:rsidR="006306B5" w:rsidRPr="006306B5" w:rsidRDefault="006306B5" w:rsidP="006306B5">
      <w:pPr>
        <w:numPr>
          <w:ilvl w:val="0"/>
          <w:numId w:val="3"/>
        </w:numPr>
        <w:spacing w:after="0" w:line="240" w:lineRule="auto"/>
        <w:ind w:left="1122"/>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Caws, Mary Ann. </w:t>
      </w:r>
      <w:r w:rsidRPr="006306B5">
        <w:rPr>
          <w:rFonts w:ascii="Helvetica" w:eastAsia="Times New Roman" w:hAnsi="Helvetica" w:cs="Helvetica"/>
          <w:i/>
          <w:iCs/>
          <w:sz w:val="21"/>
          <w:szCs w:val="21"/>
          <w:lang w:eastAsia="en-AU"/>
        </w:rPr>
        <w:t>Reading Frames in Modern Fiction</w:t>
      </w:r>
      <w:r w:rsidRPr="006306B5">
        <w:rPr>
          <w:rFonts w:ascii="Times New Roman" w:eastAsia="Times New Roman" w:hAnsi="Times New Roman" w:cs="Times New Roman"/>
          <w:sz w:val="21"/>
          <w:szCs w:val="21"/>
          <w:lang w:eastAsia="en-AU"/>
        </w:rPr>
        <w:t>. Princeton, NJ: Princeton UP, 1986.</w:t>
      </w:r>
    </w:p>
    <w:p w14:paraId="2D1DA51B" w14:textId="77777777" w:rsidR="006306B5" w:rsidRPr="006306B5" w:rsidRDefault="00213400" w:rsidP="006306B5">
      <w:pPr>
        <w:spacing w:after="120" w:line="240" w:lineRule="auto"/>
        <w:rPr>
          <w:rFonts w:ascii="Times New Roman" w:eastAsia="Times New Roman" w:hAnsi="Times New Roman" w:cs="Times New Roman"/>
          <w:sz w:val="18"/>
          <w:szCs w:val="18"/>
          <w:lang w:eastAsia="en-AU"/>
        </w:rPr>
      </w:pPr>
      <w:hyperlink r:id="rId54" w:tgtFrame="_blank" w:history="1">
        <w:r w:rsidR="006306B5" w:rsidRPr="006306B5">
          <w:rPr>
            <w:rFonts w:ascii="Times New Roman" w:eastAsia="Times New Roman" w:hAnsi="Times New Roman" w:cs="Times New Roman"/>
            <w:color w:val="000000"/>
            <w:sz w:val="18"/>
            <w:szCs w:val="18"/>
            <w:lang w:eastAsia="en-AU"/>
          </w:rPr>
          <w:t>Google Scholar</w:t>
        </w:r>
      </w:hyperlink>
    </w:p>
    <w:p w14:paraId="6553CB42" w14:textId="77777777" w:rsidR="006306B5" w:rsidRPr="006306B5" w:rsidRDefault="006306B5" w:rsidP="006306B5">
      <w:pPr>
        <w:numPr>
          <w:ilvl w:val="0"/>
          <w:numId w:val="3"/>
        </w:numPr>
        <w:spacing w:after="0" w:line="240" w:lineRule="auto"/>
        <w:ind w:left="1122"/>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Chandler, Wayne A. “</w:t>
      </w:r>
      <w:r w:rsidRPr="006306B5">
        <w:rPr>
          <w:rFonts w:ascii="Helvetica" w:eastAsia="Times New Roman" w:hAnsi="Helvetica" w:cs="Helvetica"/>
          <w:i/>
          <w:iCs/>
          <w:sz w:val="21"/>
          <w:szCs w:val="21"/>
          <w:lang w:eastAsia="en-AU"/>
        </w:rPr>
        <w:t>Frankenstein</w:t>
      </w:r>
      <w:r w:rsidRPr="006306B5">
        <w:rPr>
          <w:rFonts w:ascii="Times New Roman" w:eastAsia="Times New Roman" w:hAnsi="Times New Roman" w:cs="Times New Roman"/>
          <w:sz w:val="21"/>
          <w:szCs w:val="21"/>
          <w:lang w:eastAsia="en-AU"/>
        </w:rPr>
        <w:t>’s Many Readers.” </w:t>
      </w:r>
      <w:r w:rsidRPr="006306B5">
        <w:rPr>
          <w:rFonts w:ascii="Helvetica" w:eastAsia="Times New Roman" w:hAnsi="Helvetica" w:cs="Helvetica"/>
          <w:i/>
          <w:iCs/>
          <w:sz w:val="21"/>
          <w:szCs w:val="21"/>
          <w:lang w:eastAsia="en-AU"/>
        </w:rPr>
        <w:t>Extrapolation</w:t>
      </w:r>
      <w:r w:rsidRPr="006306B5">
        <w:rPr>
          <w:rFonts w:ascii="Times New Roman" w:eastAsia="Times New Roman" w:hAnsi="Times New Roman" w:cs="Times New Roman"/>
          <w:sz w:val="21"/>
          <w:szCs w:val="21"/>
          <w:lang w:eastAsia="en-AU"/>
        </w:rPr>
        <w:t> 37.1 (1996): 37-45.</w:t>
      </w:r>
    </w:p>
    <w:p w14:paraId="5AA983A2" w14:textId="77777777" w:rsidR="006306B5" w:rsidRPr="006306B5" w:rsidRDefault="00213400" w:rsidP="006306B5">
      <w:pPr>
        <w:spacing w:after="120" w:line="240" w:lineRule="auto"/>
        <w:rPr>
          <w:rFonts w:ascii="Times New Roman" w:eastAsia="Times New Roman" w:hAnsi="Times New Roman" w:cs="Times New Roman"/>
          <w:sz w:val="18"/>
          <w:szCs w:val="18"/>
          <w:lang w:eastAsia="en-AU"/>
        </w:rPr>
      </w:pPr>
      <w:hyperlink r:id="rId55" w:tgtFrame="_blank" w:history="1">
        <w:r w:rsidR="006306B5" w:rsidRPr="006306B5">
          <w:rPr>
            <w:rFonts w:ascii="Times New Roman" w:eastAsia="Times New Roman" w:hAnsi="Times New Roman" w:cs="Times New Roman"/>
            <w:color w:val="000000"/>
            <w:sz w:val="18"/>
            <w:szCs w:val="18"/>
            <w:lang w:eastAsia="en-AU"/>
          </w:rPr>
          <w:t>Google Scholar</w:t>
        </w:r>
      </w:hyperlink>
    </w:p>
    <w:p w14:paraId="342BC3D4" w14:textId="77777777" w:rsidR="006306B5" w:rsidRPr="006306B5" w:rsidRDefault="006306B5" w:rsidP="006306B5">
      <w:pPr>
        <w:numPr>
          <w:ilvl w:val="0"/>
          <w:numId w:val="3"/>
        </w:numPr>
        <w:spacing w:after="0" w:line="240" w:lineRule="auto"/>
        <w:ind w:left="1122"/>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Coleridge, Samuel Taylor. "The Rime of the Ancient Mariner." </w:t>
      </w:r>
      <w:r w:rsidRPr="006306B5">
        <w:rPr>
          <w:rFonts w:ascii="Helvetica" w:eastAsia="Times New Roman" w:hAnsi="Helvetica" w:cs="Helvetica"/>
          <w:i/>
          <w:iCs/>
          <w:sz w:val="21"/>
          <w:szCs w:val="21"/>
          <w:lang w:eastAsia="en-AU"/>
        </w:rPr>
        <w:t>The Collected Works of Samuel Taylor Coleridge</w:t>
      </w:r>
      <w:r w:rsidRPr="006306B5">
        <w:rPr>
          <w:rFonts w:ascii="Times New Roman" w:eastAsia="Times New Roman" w:hAnsi="Times New Roman" w:cs="Times New Roman"/>
          <w:sz w:val="21"/>
          <w:szCs w:val="21"/>
          <w:lang w:eastAsia="en-AU"/>
        </w:rPr>
        <w:t>. Ed. J.C.C. Mays. Volume 16. Princeton, NJ: Princeton UP, 1971-2001. 16 vols. 504-39.</w:t>
      </w:r>
    </w:p>
    <w:p w14:paraId="0E047E06" w14:textId="77777777" w:rsidR="006306B5" w:rsidRPr="006306B5" w:rsidRDefault="00213400" w:rsidP="006306B5">
      <w:pPr>
        <w:spacing w:after="120" w:line="240" w:lineRule="auto"/>
        <w:rPr>
          <w:rFonts w:ascii="Times New Roman" w:eastAsia="Times New Roman" w:hAnsi="Times New Roman" w:cs="Times New Roman"/>
          <w:sz w:val="18"/>
          <w:szCs w:val="18"/>
          <w:lang w:eastAsia="en-AU"/>
        </w:rPr>
      </w:pPr>
      <w:hyperlink r:id="rId56" w:tgtFrame="_blank" w:history="1">
        <w:r w:rsidR="006306B5" w:rsidRPr="006306B5">
          <w:rPr>
            <w:rFonts w:ascii="Times New Roman" w:eastAsia="Times New Roman" w:hAnsi="Times New Roman" w:cs="Times New Roman"/>
            <w:color w:val="000000"/>
            <w:sz w:val="18"/>
            <w:szCs w:val="18"/>
            <w:lang w:eastAsia="en-AU"/>
          </w:rPr>
          <w:t>Google Scholar</w:t>
        </w:r>
      </w:hyperlink>
    </w:p>
    <w:p w14:paraId="5D637622" w14:textId="77777777" w:rsidR="006306B5" w:rsidRPr="006306B5" w:rsidRDefault="006306B5" w:rsidP="006306B5">
      <w:pPr>
        <w:numPr>
          <w:ilvl w:val="0"/>
          <w:numId w:val="3"/>
        </w:numPr>
        <w:spacing w:after="0" w:line="240" w:lineRule="auto"/>
        <w:ind w:left="1122"/>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Conger, Syndy M. “Aporia and Radical Empathy: </w:t>
      </w:r>
      <w:r w:rsidRPr="006306B5">
        <w:rPr>
          <w:rFonts w:ascii="Helvetica" w:eastAsia="Times New Roman" w:hAnsi="Helvetica" w:cs="Helvetica"/>
          <w:i/>
          <w:iCs/>
          <w:sz w:val="21"/>
          <w:szCs w:val="21"/>
          <w:lang w:eastAsia="en-AU"/>
        </w:rPr>
        <w:t>Frankenstein</w:t>
      </w:r>
      <w:r w:rsidRPr="006306B5">
        <w:rPr>
          <w:rFonts w:ascii="Times New Roman" w:eastAsia="Times New Roman" w:hAnsi="Times New Roman" w:cs="Times New Roman"/>
          <w:sz w:val="21"/>
          <w:szCs w:val="21"/>
          <w:lang w:eastAsia="en-AU"/>
        </w:rPr>
        <w:t> (Re)Trains the Reader.” </w:t>
      </w:r>
      <w:r w:rsidRPr="006306B5">
        <w:rPr>
          <w:rFonts w:ascii="Helvetica" w:eastAsia="Times New Roman" w:hAnsi="Helvetica" w:cs="Helvetica"/>
          <w:i/>
          <w:iCs/>
          <w:sz w:val="21"/>
          <w:szCs w:val="21"/>
          <w:lang w:eastAsia="en-AU"/>
        </w:rPr>
        <w:t>Approaches to Teaching </w:t>
      </w:r>
      <w:r w:rsidRPr="006306B5">
        <w:rPr>
          <w:rFonts w:ascii="Times New Roman" w:eastAsia="Times New Roman" w:hAnsi="Times New Roman" w:cs="Times New Roman"/>
          <w:sz w:val="21"/>
          <w:szCs w:val="21"/>
          <w:lang w:eastAsia="en-AU"/>
        </w:rPr>
        <w:t>Frankenstein. Ed. Stephen C. Behrendt. New York: MLA, 1990. 60-66.</w:t>
      </w:r>
    </w:p>
    <w:p w14:paraId="4BB7DAE8" w14:textId="77777777" w:rsidR="006306B5" w:rsidRPr="006306B5" w:rsidRDefault="00213400" w:rsidP="006306B5">
      <w:pPr>
        <w:spacing w:after="120" w:line="240" w:lineRule="auto"/>
        <w:rPr>
          <w:rFonts w:ascii="Times New Roman" w:eastAsia="Times New Roman" w:hAnsi="Times New Roman" w:cs="Times New Roman"/>
          <w:sz w:val="18"/>
          <w:szCs w:val="18"/>
          <w:lang w:eastAsia="en-AU"/>
        </w:rPr>
      </w:pPr>
      <w:hyperlink r:id="rId57" w:tgtFrame="_blank" w:history="1">
        <w:r w:rsidR="006306B5" w:rsidRPr="006306B5">
          <w:rPr>
            <w:rFonts w:ascii="Times New Roman" w:eastAsia="Times New Roman" w:hAnsi="Times New Roman" w:cs="Times New Roman"/>
            <w:color w:val="000000"/>
            <w:sz w:val="18"/>
            <w:szCs w:val="18"/>
            <w:lang w:eastAsia="en-AU"/>
          </w:rPr>
          <w:t>Google Scholar</w:t>
        </w:r>
      </w:hyperlink>
    </w:p>
    <w:p w14:paraId="6755C6FA" w14:textId="77777777" w:rsidR="006306B5" w:rsidRPr="006306B5" w:rsidRDefault="006306B5" w:rsidP="006306B5">
      <w:pPr>
        <w:numPr>
          <w:ilvl w:val="0"/>
          <w:numId w:val="3"/>
        </w:numPr>
        <w:spacing w:after="0" w:line="240" w:lineRule="auto"/>
        <w:ind w:left="1122"/>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Conrad, Joseph. </w:t>
      </w:r>
      <w:r w:rsidRPr="006306B5">
        <w:rPr>
          <w:rFonts w:ascii="Helvetica" w:eastAsia="Times New Roman" w:hAnsi="Helvetica" w:cs="Helvetica"/>
          <w:i/>
          <w:iCs/>
          <w:sz w:val="21"/>
          <w:szCs w:val="21"/>
          <w:lang w:eastAsia="en-AU"/>
        </w:rPr>
        <w:t>Heart of Darkness</w:t>
      </w:r>
      <w:r w:rsidRPr="006306B5">
        <w:rPr>
          <w:rFonts w:ascii="Times New Roman" w:eastAsia="Times New Roman" w:hAnsi="Times New Roman" w:cs="Times New Roman"/>
          <w:sz w:val="21"/>
          <w:szCs w:val="21"/>
          <w:lang w:eastAsia="en-AU"/>
        </w:rPr>
        <w:t>: </w:t>
      </w:r>
      <w:r w:rsidRPr="006306B5">
        <w:rPr>
          <w:rFonts w:ascii="Helvetica" w:eastAsia="Times New Roman" w:hAnsi="Helvetica" w:cs="Helvetica"/>
          <w:i/>
          <w:iCs/>
          <w:sz w:val="21"/>
          <w:szCs w:val="21"/>
          <w:lang w:eastAsia="en-AU"/>
        </w:rPr>
        <w:t>An Authoritative Text, Backgrounds and Sources, Criticism</w:t>
      </w:r>
      <w:r w:rsidRPr="006306B5">
        <w:rPr>
          <w:rFonts w:ascii="Times New Roman" w:eastAsia="Times New Roman" w:hAnsi="Times New Roman" w:cs="Times New Roman"/>
          <w:sz w:val="21"/>
          <w:szCs w:val="21"/>
          <w:lang w:eastAsia="en-AU"/>
        </w:rPr>
        <w:t>. 3rd ed. Ed. Robert Kimbraugh. New York: Norton, 1988.</w:t>
      </w:r>
    </w:p>
    <w:p w14:paraId="60BF56B6" w14:textId="77777777" w:rsidR="006306B5" w:rsidRPr="006306B5" w:rsidRDefault="00213400" w:rsidP="006306B5">
      <w:pPr>
        <w:spacing w:after="120" w:line="240" w:lineRule="auto"/>
        <w:rPr>
          <w:rFonts w:ascii="Times New Roman" w:eastAsia="Times New Roman" w:hAnsi="Times New Roman" w:cs="Times New Roman"/>
          <w:sz w:val="18"/>
          <w:szCs w:val="18"/>
          <w:lang w:eastAsia="en-AU"/>
        </w:rPr>
      </w:pPr>
      <w:hyperlink r:id="rId58" w:tgtFrame="_blank" w:history="1">
        <w:r w:rsidR="006306B5" w:rsidRPr="006306B5">
          <w:rPr>
            <w:rFonts w:ascii="Times New Roman" w:eastAsia="Times New Roman" w:hAnsi="Times New Roman" w:cs="Times New Roman"/>
            <w:color w:val="000000"/>
            <w:sz w:val="18"/>
            <w:szCs w:val="18"/>
            <w:lang w:eastAsia="en-AU"/>
          </w:rPr>
          <w:t>Google Scholar</w:t>
        </w:r>
      </w:hyperlink>
      <w:r w:rsidR="006306B5" w:rsidRPr="006306B5">
        <w:rPr>
          <w:rFonts w:ascii="Times New Roman" w:eastAsia="Times New Roman" w:hAnsi="Times New Roman" w:cs="Times New Roman"/>
          <w:sz w:val="18"/>
          <w:szCs w:val="18"/>
          <w:lang w:eastAsia="en-AU"/>
        </w:rPr>
        <w:t> </w:t>
      </w:r>
      <w:hyperlink r:id="rId59" w:tgtFrame="_blank" w:history="1">
        <w:r w:rsidR="006306B5" w:rsidRPr="006306B5">
          <w:rPr>
            <w:rFonts w:ascii="Consolas" w:eastAsia="Times New Roman" w:hAnsi="Consolas" w:cs="Times New Roman"/>
            <w:color w:val="000000"/>
            <w:sz w:val="18"/>
            <w:szCs w:val="18"/>
            <w:lang w:eastAsia="en-AU"/>
          </w:rPr>
          <w:t>10.2307/3683905</w:t>
        </w:r>
      </w:hyperlink>
    </w:p>
    <w:p w14:paraId="276E618E" w14:textId="77777777" w:rsidR="006306B5" w:rsidRPr="006306B5" w:rsidRDefault="006306B5" w:rsidP="006306B5">
      <w:pPr>
        <w:numPr>
          <w:ilvl w:val="0"/>
          <w:numId w:val="3"/>
        </w:numPr>
        <w:spacing w:after="0" w:line="240" w:lineRule="auto"/>
        <w:ind w:left="1122"/>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Cottom, Daniel. “</w:t>
      </w:r>
      <w:r w:rsidRPr="006306B5">
        <w:rPr>
          <w:rFonts w:ascii="Helvetica" w:eastAsia="Times New Roman" w:hAnsi="Helvetica" w:cs="Helvetica"/>
          <w:i/>
          <w:iCs/>
          <w:sz w:val="21"/>
          <w:szCs w:val="21"/>
          <w:lang w:eastAsia="en-AU"/>
        </w:rPr>
        <w:t>Frankenstein</w:t>
      </w:r>
      <w:r w:rsidRPr="006306B5">
        <w:rPr>
          <w:rFonts w:ascii="Times New Roman" w:eastAsia="Times New Roman" w:hAnsi="Times New Roman" w:cs="Times New Roman"/>
          <w:sz w:val="21"/>
          <w:szCs w:val="21"/>
          <w:lang w:eastAsia="en-AU"/>
        </w:rPr>
        <w:t> and the Monster of Representation.” </w:t>
      </w:r>
      <w:r w:rsidRPr="006306B5">
        <w:rPr>
          <w:rFonts w:ascii="Helvetica" w:eastAsia="Times New Roman" w:hAnsi="Helvetica" w:cs="Helvetica"/>
          <w:i/>
          <w:iCs/>
          <w:sz w:val="21"/>
          <w:szCs w:val="21"/>
          <w:lang w:eastAsia="en-AU"/>
        </w:rPr>
        <w:t>Sub-Stance</w:t>
      </w:r>
      <w:r w:rsidRPr="006306B5">
        <w:rPr>
          <w:rFonts w:ascii="Times New Roman" w:eastAsia="Times New Roman" w:hAnsi="Times New Roman" w:cs="Times New Roman"/>
          <w:sz w:val="21"/>
          <w:szCs w:val="21"/>
          <w:lang w:eastAsia="en-AU"/>
        </w:rPr>
        <w:t> 28 (1980): 60-71.</w:t>
      </w:r>
    </w:p>
    <w:p w14:paraId="50A14B78" w14:textId="77777777" w:rsidR="006306B5" w:rsidRPr="006306B5" w:rsidRDefault="00213400" w:rsidP="006306B5">
      <w:pPr>
        <w:spacing w:after="120" w:line="240" w:lineRule="auto"/>
        <w:rPr>
          <w:rFonts w:ascii="Times New Roman" w:eastAsia="Times New Roman" w:hAnsi="Times New Roman" w:cs="Times New Roman"/>
          <w:sz w:val="18"/>
          <w:szCs w:val="18"/>
          <w:lang w:eastAsia="en-AU"/>
        </w:rPr>
      </w:pPr>
      <w:hyperlink r:id="rId60" w:tgtFrame="_blank" w:history="1">
        <w:r w:rsidR="006306B5" w:rsidRPr="006306B5">
          <w:rPr>
            <w:rFonts w:ascii="Times New Roman" w:eastAsia="Times New Roman" w:hAnsi="Times New Roman" w:cs="Times New Roman"/>
            <w:color w:val="000000"/>
            <w:sz w:val="18"/>
            <w:szCs w:val="18"/>
            <w:lang w:eastAsia="en-AU"/>
          </w:rPr>
          <w:t>Google Scholar</w:t>
        </w:r>
      </w:hyperlink>
      <w:r w:rsidR="006306B5" w:rsidRPr="006306B5">
        <w:rPr>
          <w:rFonts w:ascii="Times New Roman" w:eastAsia="Times New Roman" w:hAnsi="Times New Roman" w:cs="Times New Roman"/>
          <w:sz w:val="18"/>
          <w:szCs w:val="18"/>
          <w:lang w:eastAsia="en-AU"/>
        </w:rPr>
        <w:t> </w:t>
      </w:r>
      <w:hyperlink r:id="rId61" w:tgtFrame="_blank" w:history="1">
        <w:r w:rsidR="006306B5" w:rsidRPr="006306B5">
          <w:rPr>
            <w:rFonts w:ascii="Consolas" w:eastAsia="Times New Roman" w:hAnsi="Consolas" w:cs="Times New Roman"/>
            <w:color w:val="000000"/>
            <w:sz w:val="18"/>
            <w:szCs w:val="18"/>
            <w:lang w:eastAsia="en-AU"/>
          </w:rPr>
          <w:t>10.4324/9780203449769</w:t>
        </w:r>
      </w:hyperlink>
    </w:p>
    <w:p w14:paraId="56D90DFD" w14:textId="77777777" w:rsidR="006306B5" w:rsidRPr="006306B5" w:rsidRDefault="006306B5" w:rsidP="006306B5">
      <w:pPr>
        <w:numPr>
          <w:ilvl w:val="0"/>
          <w:numId w:val="3"/>
        </w:numPr>
        <w:spacing w:after="0" w:line="240" w:lineRule="auto"/>
        <w:ind w:left="1122"/>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Culler, Jonathan. </w:t>
      </w:r>
      <w:r w:rsidRPr="006306B5">
        <w:rPr>
          <w:rFonts w:ascii="Helvetica" w:eastAsia="Times New Roman" w:hAnsi="Helvetica" w:cs="Helvetica"/>
          <w:i/>
          <w:iCs/>
          <w:sz w:val="21"/>
          <w:szCs w:val="21"/>
          <w:lang w:eastAsia="en-AU"/>
        </w:rPr>
        <w:t>Structuralist Poetics: Structuralism, Linguistics and the Study of Literature</w:t>
      </w:r>
      <w:r w:rsidRPr="006306B5">
        <w:rPr>
          <w:rFonts w:ascii="Times New Roman" w:eastAsia="Times New Roman" w:hAnsi="Times New Roman" w:cs="Times New Roman"/>
          <w:sz w:val="21"/>
          <w:szCs w:val="21"/>
          <w:lang w:eastAsia="en-AU"/>
        </w:rPr>
        <w:t>. London: Routledge, 1975.</w:t>
      </w:r>
    </w:p>
    <w:p w14:paraId="5FFA831E" w14:textId="77777777" w:rsidR="006306B5" w:rsidRPr="006306B5" w:rsidRDefault="00213400" w:rsidP="006306B5">
      <w:pPr>
        <w:spacing w:after="120" w:line="240" w:lineRule="auto"/>
        <w:rPr>
          <w:rFonts w:ascii="Times New Roman" w:eastAsia="Times New Roman" w:hAnsi="Times New Roman" w:cs="Times New Roman"/>
          <w:sz w:val="18"/>
          <w:szCs w:val="18"/>
          <w:lang w:eastAsia="en-AU"/>
        </w:rPr>
      </w:pPr>
      <w:hyperlink r:id="rId62" w:tgtFrame="_blank" w:history="1">
        <w:r w:rsidR="006306B5" w:rsidRPr="006306B5">
          <w:rPr>
            <w:rFonts w:ascii="Times New Roman" w:eastAsia="Times New Roman" w:hAnsi="Times New Roman" w:cs="Times New Roman"/>
            <w:color w:val="000000"/>
            <w:sz w:val="18"/>
            <w:szCs w:val="18"/>
            <w:lang w:eastAsia="en-AU"/>
          </w:rPr>
          <w:t>Google Scholar</w:t>
        </w:r>
      </w:hyperlink>
    </w:p>
    <w:p w14:paraId="2884F86E" w14:textId="77777777" w:rsidR="006306B5" w:rsidRPr="006306B5" w:rsidRDefault="006306B5" w:rsidP="006306B5">
      <w:pPr>
        <w:numPr>
          <w:ilvl w:val="0"/>
          <w:numId w:val="3"/>
        </w:numPr>
        <w:spacing w:after="0" w:line="240" w:lineRule="auto"/>
        <w:ind w:left="1122"/>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Dällenbach, Lucien. </w:t>
      </w:r>
      <w:r w:rsidRPr="006306B5">
        <w:rPr>
          <w:rFonts w:ascii="Helvetica" w:eastAsia="Times New Roman" w:hAnsi="Helvetica" w:cs="Helvetica"/>
          <w:i/>
          <w:iCs/>
          <w:sz w:val="21"/>
          <w:szCs w:val="21"/>
          <w:lang w:eastAsia="en-AU"/>
        </w:rPr>
        <w:t>Le Récit spéculaire</w:t>
      </w:r>
      <w:r w:rsidRPr="006306B5">
        <w:rPr>
          <w:rFonts w:ascii="Times New Roman" w:eastAsia="Times New Roman" w:hAnsi="Times New Roman" w:cs="Times New Roman"/>
          <w:sz w:val="21"/>
          <w:szCs w:val="21"/>
          <w:lang w:eastAsia="en-AU"/>
        </w:rPr>
        <w:t>. Paris: Seuil, 1977.</w:t>
      </w:r>
    </w:p>
    <w:p w14:paraId="103B6855" w14:textId="77777777" w:rsidR="006306B5" w:rsidRPr="006306B5" w:rsidRDefault="00213400" w:rsidP="006306B5">
      <w:pPr>
        <w:spacing w:after="120" w:line="240" w:lineRule="auto"/>
        <w:rPr>
          <w:rFonts w:ascii="Times New Roman" w:eastAsia="Times New Roman" w:hAnsi="Times New Roman" w:cs="Times New Roman"/>
          <w:sz w:val="18"/>
          <w:szCs w:val="18"/>
          <w:lang w:eastAsia="en-AU"/>
        </w:rPr>
      </w:pPr>
      <w:hyperlink r:id="rId63" w:tgtFrame="_blank" w:history="1">
        <w:r w:rsidR="006306B5" w:rsidRPr="006306B5">
          <w:rPr>
            <w:rFonts w:ascii="Times New Roman" w:eastAsia="Times New Roman" w:hAnsi="Times New Roman" w:cs="Times New Roman"/>
            <w:color w:val="000000"/>
            <w:sz w:val="18"/>
            <w:szCs w:val="18"/>
            <w:lang w:eastAsia="en-AU"/>
          </w:rPr>
          <w:t>Google Scholar</w:t>
        </w:r>
      </w:hyperlink>
    </w:p>
    <w:p w14:paraId="521E4C96" w14:textId="77777777" w:rsidR="006306B5" w:rsidRPr="006306B5" w:rsidRDefault="006306B5" w:rsidP="006306B5">
      <w:pPr>
        <w:numPr>
          <w:ilvl w:val="0"/>
          <w:numId w:val="3"/>
        </w:numPr>
        <w:spacing w:after="0" w:line="240" w:lineRule="auto"/>
        <w:ind w:left="1122"/>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Desser, David. “The New Eve: The Influence of </w:t>
      </w:r>
      <w:r w:rsidRPr="006306B5">
        <w:rPr>
          <w:rFonts w:ascii="Helvetica" w:eastAsia="Times New Roman" w:hAnsi="Helvetica" w:cs="Helvetica"/>
          <w:i/>
          <w:iCs/>
          <w:sz w:val="21"/>
          <w:szCs w:val="21"/>
          <w:lang w:eastAsia="en-AU"/>
        </w:rPr>
        <w:t>Paradise Lost</w:t>
      </w:r>
      <w:r w:rsidRPr="006306B5">
        <w:rPr>
          <w:rFonts w:ascii="Times New Roman" w:eastAsia="Times New Roman" w:hAnsi="Times New Roman" w:cs="Times New Roman"/>
          <w:sz w:val="21"/>
          <w:szCs w:val="21"/>
          <w:lang w:eastAsia="en-AU"/>
        </w:rPr>
        <w:t> and </w:t>
      </w:r>
      <w:r w:rsidRPr="006306B5">
        <w:rPr>
          <w:rFonts w:ascii="Helvetica" w:eastAsia="Times New Roman" w:hAnsi="Helvetica" w:cs="Helvetica"/>
          <w:i/>
          <w:iCs/>
          <w:sz w:val="21"/>
          <w:szCs w:val="21"/>
          <w:lang w:eastAsia="en-AU"/>
        </w:rPr>
        <w:t>Frankenstein</w:t>
      </w:r>
      <w:r w:rsidRPr="006306B5">
        <w:rPr>
          <w:rFonts w:ascii="Times New Roman" w:eastAsia="Times New Roman" w:hAnsi="Times New Roman" w:cs="Times New Roman"/>
          <w:sz w:val="21"/>
          <w:szCs w:val="21"/>
          <w:lang w:eastAsia="en-AU"/>
        </w:rPr>
        <w:t> on </w:t>
      </w:r>
      <w:r w:rsidRPr="006306B5">
        <w:rPr>
          <w:rFonts w:ascii="Helvetica" w:eastAsia="Times New Roman" w:hAnsi="Helvetica" w:cs="Helvetica"/>
          <w:i/>
          <w:iCs/>
          <w:sz w:val="21"/>
          <w:szCs w:val="21"/>
          <w:lang w:eastAsia="en-AU"/>
        </w:rPr>
        <w:t>Blade Runner</w:t>
      </w:r>
      <w:r w:rsidRPr="006306B5">
        <w:rPr>
          <w:rFonts w:ascii="Times New Roman" w:eastAsia="Times New Roman" w:hAnsi="Times New Roman" w:cs="Times New Roman"/>
          <w:sz w:val="21"/>
          <w:szCs w:val="21"/>
          <w:lang w:eastAsia="en-AU"/>
        </w:rPr>
        <w:t>.” </w:t>
      </w:r>
      <w:r w:rsidRPr="006306B5">
        <w:rPr>
          <w:rFonts w:ascii="Helvetica" w:eastAsia="Times New Roman" w:hAnsi="Helvetica" w:cs="Helvetica"/>
          <w:i/>
          <w:iCs/>
          <w:sz w:val="21"/>
          <w:szCs w:val="21"/>
          <w:lang w:eastAsia="en-AU"/>
        </w:rPr>
        <w:t>Retrofitting</w:t>
      </w:r>
      <w:r w:rsidRPr="006306B5">
        <w:rPr>
          <w:rFonts w:ascii="Times New Roman" w:eastAsia="Times New Roman" w:hAnsi="Times New Roman" w:cs="Times New Roman"/>
          <w:sz w:val="21"/>
          <w:szCs w:val="21"/>
          <w:lang w:eastAsia="en-AU"/>
        </w:rPr>
        <w:t> Blade Runner</w:t>
      </w:r>
      <w:r w:rsidRPr="006306B5">
        <w:rPr>
          <w:rFonts w:ascii="Helvetica" w:eastAsia="Times New Roman" w:hAnsi="Helvetica" w:cs="Helvetica"/>
          <w:i/>
          <w:iCs/>
          <w:sz w:val="21"/>
          <w:szCs w:val="21"/>
          <w:lang w:eastAsia="en-AU"/>
        </w:rPr>
        <w:t>: Issues in Ridley Scott’s </w:t>
      </w:r>
      <w:r w:rsidRPr="006306B5">
        <w:rPr>
          <w:rFonts w:ascii="Times New Roman" w:eastAsia="Times New Roman" w:hAnsi="Times New Roman" w:cs="Times New Roman"/>
          <w:sz w:val="21"/>
          <w:szCs w:val="21"/>
          <w:lang w:eastAsia="en-AU"/>
        </w:rPr>
        <w:t>Blade Runner </w:t>
      </w:r>
      <w:r w:rsidRPr="006306B5">
        <w:rPr>
          <w:rFonts w:ascii="Helvetica" w:eastAsia="Times New Roman" w:hAnsi="Helvetica" w:cs="Helvetica"/>
          <w:i/>
          <w:iCs/>
          <w:sz w:val="21"/>
          <w:szCs w:val="21"/>
          <w:lang w:eastAsia="en-AU"/>
        </w:rPr>
        <w:t>and Philip K. Dick’s </w:t>
      </w:r>
      <w:r w:rsidRPr="006306B5">
        <w:rPr>
          <w:rFonts w:ascii="Times New Roman" w:eastAsia="Times New Roman" w:hAnsi="Times New Roman" w:cs="Times New Roman"/>
          <w:sz w:val="21"/>
          <w:szCs w:val="21"/>
          <w:lang w:eastAsia="en-AU"/>
        </w:rPr>
        <w:t>Do Androids Dream of Electric Sheep? Bowling Green, OH: Popular, 1991. 53-65.</w:t>
      </w:r>
    </w:p>
    <w:p w14:paraId="6F6CE9CF" w14:textId="77777777" w:rsidR="006306B5" w:rsidRPr="006306B5" w:rsidRDefault="00213400" w:rsidP="006306B5">
      <w:pPr>
        <w:spacing w:after="120" w:line="240" w:lineRule="auto"/>
        <w:rPr>
          <w:rFonts w:ascii="Times New Roman" w:eastAsia="Times New Roman" w:hAnsi="Times New Roman" w:cs="Times New Roman"/>
          <w:sz w:val="18"/>
          <w:szCs w:val="18"/>
          <w:lang w:eastAsia="en-AU"/>
        </w:rPr>
      </w:pPr>
      <w:hyperlink r:id="rId64" w:tgtFrame="_blank" w:history="1">
        <w:r w:rsidR="006306B5" w:rsidRPr="006306B5">
          <w:rPr>
            <w:rFonts w:ascii="Times New Roman" w:eastAsia="Times New Roman" w:hAnsi="Times New Roman" w:cs="Times New Roman"/>
            <w:color w:val="000000"/>
            <w:sz w:val="18"/>
            <w:szCs w:val="18"/>
            <w:lang w:eastAsia="en-AU"/>
          </w:rPr>
          <w:t>Google Scholar</w:t>
        </w:r>
      </w:hyperlink>
    </w:p>
    <w:p w14:paraId="4052A9CD" w14:textId="77777777" w:rsidR="006306B5" w:rsidRPr="006306B5" w:rsidRDefault="006306B5" w:rsidP="006306B5">
      <w:pPr>
        <w:numPr>
          <w:ilvl w:val="0"/>
          <w:numId w:val="3"/>
        </w:numPr>
        <w:spacing w:after="0" w:line="240" w:lineRule="auto"/>
        <w:ind w:left="1122"/>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Dunn, Richard J. “Narrative Distance in </w:t>
      </w:r>
      <w:r w:rsidRPr="006306B5">
        <w:rPr>
          <w:rFonts w:ascii="Helvetica" w:eastAsia="Times New Roman" w:hAnsi="Helvetica" w:cs="Helvetica"/>
          <w:i/>
          <w:iCs/>
          <w:sz w:val="21"/>
          <w:szCs w:val="21"/>
          <w:lang w:eastAsia="en-AU"/>
        </w:rPr>
        <w:t>Frankenstein</w:t>
      </w:r>
      <w:r w:rsidRPr="006306B5">
        <w:rPr>
          <w:rFonts w:ascii="Times New Roman" w:eastAsia="Times New Roman" w:hAnsi="Times New Roman" w:cs="Times New Roman"/>
          <w:sz w:val="21"/>
          <w:szCs w:val="21"/>
          <w:lang w:eastAsia="en-AU"/>
        </w:rPr>
        <w:t>.” </w:t>
      </w:r>
      <w:r w:rsidRPr="006306B5">
        <w:rPr>
          <w:rFonts w:ascii="Helvetica" w:eastAsia="Times New Roman" w:hAnsi="Helvetica" w:cs="Helvetica"/>
          <w:i/>
          <w:iCs/>
          <w:sz w:val="21"/>
          <w:szCs w:val="21"/>
          <w:lang w:eastAsia="en-AU"/>
        </w:rPr>
        <w:t>Studies in the Novel</w:t>
      </w:r>
      <w:r w:rsidRPr="006306B5">
        <w:rPr>
          <w:rFonts w:ascii="Times New Roman" w:eastAsia="Times New Roman" w:hAnsi="Times New Roman" w:cs="Times New Roman"/>
          <w:sz w:val="21"/>
          <w:szCs w:val="21"/>
          <w:lang w:eastAsia="en-AU"/>
        </w:rPr>
        <w:t> 6 (1974): 408-17.</w:t>
      </w:r>
    </w:p>
    <w:p w14:paraId="3E490433" w14:textId="77777777" w:rsidR="006306B5" w:rsidRPr="006306B5" w:rsidRDefault="00213400" w:rsidP="006306B5">
      <w:pPr>
        <w:spacing w:after="120" w:line="240" w:lineRule="auto"/>
        <w:rPr>
          <w:rFonts w:ascii="Times New Roman" w:eastAsia="Times New Roman" w:hAnsi="Times New Roman" w:cs="Times New Roman"/>
          <w:sz w:val="18"/>
          <w:szCs w:val="18"/>
          <w:lang w:eastAsia="en-AU"/>
        </w:rPr>
      </w:pPr>
      <w:hyperlink r:id="rId65" w:tgtFrame="_blank" w:history="1">
        <w:r w:rsidR="006306B5" w:rsidRPr="006306B5">
          <w:rPr>
            <w:rFonts w:ascii="Times New Roman" w:eastAsia="Times New Roman" w:hAnsi="Times New Roman" w:cs="Times New Roman"/>
            <w:color w:val="000000"/>
            <w:sz w:val="18"/>
            <w:szCs w:val="18"/>
            <w:lang w:eastAsia="en-AU"/>
          </w:rPr>
          <w:t>Google Scholar</w:t>
        </w:r>
      </w:hyperlink>
    </w:p>
    <w:p w14:paraId="1232F37E" w14:textId="77777777" w:rsidR="006306B5" w:rsidRPr="006306B5" w:rsidRDefault="006306B5" w:rsidP="006306B5">
      <w:pPr>
        <w:numPr>
          <w:ilvl w:val="0"/>
          <w:numId w:val="3"/>
        </w:numPr>
        <w:spacing w:after="0" w:line="240" w:lineRule="auto"/>
        <w:ind w:left="1122"/>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“Frame.” </w:t>
      </w:r>
      <w:r w:rsidRPr="006306B5">
        <w:rPr>
          <w:rFonts w:ascii="Helvetica" w:eastAsia="Times New Roman" w:hAnsi="Helvetica" w:cs="Helvetica"/>
          <w:i/>
          <w:iCs/>
          <w:sz w:val="21"/>
          <w:szCs w:val="21"/>
          <w:lang w:eastAsia="en-AU"/>
        </w:rPr>
        <w:t>American Heritage Dictionary</w:t>
      </w:r>
      <w:r w:rsidRPr="006306B5">
        <w:rPr>
          <w:rFonts w:ascii="Times New Roman" w:eastAsia="Times New Roman" w:hAnsi="Times New Roman" w:cs="Times New Roman"/>
          <w:sz w:val="21"/>
          <w:szCs w:val="21"/>
          <w:lang w:eastAsia="en-AU"/>
        </w:rPr>
        <w:t>. 4th edition. Boston: Houghton Mifflin, 2000.</w:t>
      </w:r>
    </w:p>
    <w:p w14:paraId="47B3EFE1" w14:textId="77777777" w:rsidR="006306B5" w:rsidRPr="006306B5" w:rsidRDefault="00213400" w:rsidP="006306B5">
      <w:pPr>
        <w:spacing w:after="120" w:line="240" w:lineRule="auto"/>
        <w:rPr>
          <w:rFonts w:ascii="Times New Roman" w:eastAsia="Times New Roman" w:hAnsi="Times New Roman" w:cs="Times New Roman"/>
          <w:sz w:val="18"/>
          <w:szCs w:val="18"/>
          <w:lang w:eastAsia="en-AU"/>
        </w:rPr>
      </w:pPr>
      <w:hyperlink r:id="rId66" w:tgtFrame="_blank" w:history="1">
        <w:r w:rsidR="006306B5" w:rsidRPr="006306B5">
          <w:rPr>
            <w:rFonts w:ascii="Times New Roman" w:eastAsia="Times New Roman" w:hAnsi="Times New Roman" w:cs="Times New Roman"/>
            <w:color w:val="000000"/>
            <w:sz w:val="18"/>
            <w:szCs w:val="18"/>
            <w:lang w:eastAsia="en-AU"/>
          </w:rPr>
          <w:t>Google Scholar</w:t>
        </w:r>
      </w:hyperlink>
    </w:p>
    <w:p w14:paraId="5D067309" w14:textId="77777777" w:rsidR="006306B5" w:rsidRPr="006306B5" w:rsidRDefault="006306B5" w:rsidP="006306B5">
      <w:pPr>
        <w:numPr>
          <w:ilvl w:val="0"/>
          <w:numId w:val="3"/>
        </w:numPr>
        <w:spacing w:after="0" w:line="240" w:lineRule="auto"/>
        <w:ind w:left="1122"/>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 </w:t>
      </w:r>
      <w:r w:rsidRPr="006306B5">
        <w:rPr>
          <w:rFonts w:ascii="Helvetica" w:eastAsia="Times New Roman" w:hAnsi="Helvetica" w:cs="Helvetica"/>
          <w:i/>
          <w:iCs/>
          <w:sz w:val="21"/>
          <w:szCs w:val="21"/>
          <w:lang w:eastAsia="en-AU"/>
        </w:rPr>
        <w:t>Oxford English DictionaryVersion 3.0</w:t>
      </w:r>
      <w:r w:rsidRPr="006306B5">
        <w:rPr>
          <w:rFonts w:ascii="Times New Roman" w:eastAsia="Times New Roman" w:hAnsi="Times New Roman" w:cs="Times New Roman"/>
          <w:sz w:val="21"/>
          <w:szCs w:val="21"/>
          <w:lang w:eastAsia="en-AU"/>
        </w:rPr>
        <w:t>. Ed. John A. Simpson. Oxford: Oxford UP, 2002.</w:t>
      </w:r>
    </w:p>
    <w:p w14:paraId="5B781A7A" w14:textId="77777777" w:rsidR="006306B5" w:rsidRPr="006306B5" w:rsidRDefault="00213400" w:rsidP="006306B5">
      <w:pPr>
        <w:spacing w:after="120" w:line="240" w:lineRule="auto"/>
        <w:rPr>
          <w:rFonts w:ascii="Times New Roman" w:eastAsia="Times New Roman" w:hAnsi="Times New Roman" w:cs="Times New Roman"/>
          <w:sz w:val="18"/>
          <w:szCs w:val="18"/>
          <w:lang w:eastAsia="en-AU"/>
        </w:rPr>
      </w:pPr>
      <w:hyperlink r:id="rId67" w:tgtFrame="_blank" w:history="1">
        <w:r w:rsidR="006306B5" w:rsidRPr="006306B5">
          <w:rPr>
            <w:rFonts w:ascii="Times New Roman" w:eastAsia="Times New Roman" w:hAnsi="Times New Roman" w:cs="Times New Roman"/>
            <w:color w:val="000000"/>
            <w:sz w:val="18"/>
            <w:szCs w:val="18"/>
            <w:lang w:eastAsia="en-AU"/>
          </w:rPr>
          <w:t>Google Scholar</w:t>
        </w:r>
      </w:hyperlink>
    </w:p>
    <w:p w14:paraId="299C9DFA" w14:textId="77777777" w:rsidR="006306B5" w:rsidRPr="006306B5" w:rsidRDefault="006306B5" w:rsidP="006306B5">
      <w:pPr>
        <w:numPr>
          <w:ilvl w:val="0"/>
          <w:numId w:val="3"/>
        </w:numPr>
        <w:spacing w:after="0" w:line="240" w:lineRule="auto"/>
        <w:ind w:left="1122"/>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Genette, Gérard. </w:t>
      </w:r>
      <w:r w:rsidRPr="006306B5">
        <w:rPr>
          <w:rFonts w:ascii="Helvetica" w:eastAsia="Times New Roman" w:hAnsi="Helvetica" w:cs="Helvetica"/>
          <w:i/>
          <w:iCs/>
          <w:sz w:val="21"/>
          <w:szCs w:val="21"/>
          <w:lang w:eastAsia="en-AU"/>
        </w:rPr>
        <w:t>Narrative Discourse: An Essay in Method</w:t>
      </w:r>
      <w:r w:rsidRPr="006306B5">
        <w:rPr>
          <w:rFonts w:ascii="Times New Roman" w:eastAsia="Times New Roman" w:hAnsi="Times New Roman" w:cs="Times New Roman"/>
          <w:sz w:val="21"/>
          <w:szCs w:val="21"/>
          <w:lang w:eastAsia="en-AU"/>
        </w:rPr>
        <w:t>. Trans. Jane E. Lewin. Ithaca, NY: Cornell UP, 1980.</w:t>
      </w:r>
    </w:p>
    <w:p w14:paraId="7865499F" w14:textId="77777777" w:rsidR="006306B5" w:rsidRPr="006306B5" w:rsidRDefault="00213400" w:rsidP="006306B5">
      <w:pPr>
        <w:spacing w:after="120" w:line="240" w:lineRule="auto"/>
        <w:rPr>
          <w:rFonts w:ascii="Times New Roman" w:eastAsia="Times New Roman" w:hAnsi="Times New Roman" w:cs="Times New Roman"/>
          <w:sz w:val="18"/>
          <w:szCs w:val="18"/>
          <w:lang w:eastAsia="en-AU"/>
        </w:rPr>
      </w:pPr>
      <w:hyperlink r:id="rId68" w:tgtFrame="_blank" w:history="1">
        <w:r w:rsidR="006306B5" w:rsidRPr="006306B5">
          <w:rPr>
            <w:rFonts w:ascii="Times New Roman" w:eastAsia="Times New Roman" w:hAnsi="Times New Roman" w:cs="Times New Roman"/>
            <w:color w:val="000000"/>
            <w:sz w:val="18"/>
            <w:szCs w:val="18"/>
            <w:lang w:eastAsia="en-AU"/>
          </w:rPr>
          <w:t>Google Scholar</w:t>
        </w:r>
      </w:hyperlink>
    </w:p>
    <w:p w14:paraId="60C655BE" w14:textId="77777777" w:rsidR="006306B5" w:rsidRPr="006306B5" w:rsidRDefault="006306B5" w:rsidP="006306B5">
      <w:pPr>
        <w:numPr>
          <w:ilvl w:val="0"/>
          <w:numId w:val="3"/>
        </w:numPr>
        <w:spacing w:after="0" w:line="240" w:lineRule="auto"/>
        <w:ind w:left="1122"/>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Gerrig, Richard J. </w:t>
      </w:r>
      <w:r w:rsidRPr="006306B5">
        <w:rPr>
          <w:rFonts w:ascii="Helvetica" w:eastAsia="Times New Roman" w:hAnsi="Helvetica" w:cs="Helvetica"/>
          <w:i/>
          <w:iCs/>
          <w:sz w:val="21"/>
          <w:szCs w:val="21"/>
          <w:lang w:eastAsia="en-AU"/>
        </w:rPr>
        <w:t>Experiencing Narrative Worlds: On the Psychological Activities of Reading</w:t>
      </w:r>
      <w:r w:rsidRPr="006306B5">
        <w:rPr>
          <w:rFonts w:ascii="Times New Roman" w:eastAsia="Times New Roman" w:hAnsi="Times New Roman" w:cs="Times New Roman"/>
          <w:sz w:val="21"/>
          <w:szCs w:val="21"/>
          <w:lang w:eastAsia="en-AU"/>
        </w:rPr>
        <w:t>. New Haven and London: Yale UP, 1993.</w:t>
      </w:r>
    </w:p>
    <w:p w14:paraId="33D432F7" w14:textId="77777777" w:rsidR="006306B5" w:rsidRPr="006306B5" w:rsidRDefault="00213400" w:rsidP="006306B5">
      <w:pPr>
        <w:spacing w:after="120" w:line="240" w:lineRule="auto"/>
        <w:rPr>
          <w:rFonts w:ascii="Times New Roman" w:eastAsia="Times New Roman" w:hAnsi="Times New Roman" w:cs="Times New Roman"/>
          <w:sz w:val="18"/>
          <w:szCs w:val="18"/>
          <w:lang w:eastAsia="en-AU"/>
        </w:rPr>
      </w:pPr>
      <w:hyperlink r:id="rId69" w:tgtFrame="_blank" w:history="1">
        <w:r w:rsidR="006306B5" w:rsidRPr="006306B5">
          <w:rPr>
            <w:rFonts w:ascii="Times New Roman" w:eastAsia="Times New Roman" w:hAnsi="Times New Roman" w:cs="Times New Roman"/>
            <w:color w:val="000000"/>
            <w:sz w:val="18"/>
            <w:szCs w:val="18"/>
            <w:lang w:eastAsia="en-AU"/>
          </w:rPr>
          <w:t>Google Scholar</w:t>
        </w:r>
      </w:hyperlink>
    </w:p>
    <w:p w14:paraId="6EB3F882" w14:textId="77777777" w:rsidR="006306B5" w:rsidRPr="006306B5" w:rsidRDefault="006306B5" w:rsidP="006306B5">
      <w:pPr>
        <w:numPr>
          <w:ilvl w:val="0"/>
          <w:numId w:val="3"/>
        </w:numPr>
        <w:spacing w:after="0" w:line="240" w:lineRule="auto"/>
        <w:ind w:left="1122"/>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Goffman, Erving. </w:t>
      </w:r>
      <w:r w:rsidRPr="006306B5">
        <w:rPr>
          <w:rFonts w:ascii="Helvetica" w:eastAsia="Times New Roman" w:hAnsi="Helvetica" w:cs="Helvetica"/>
          <w:i/>
          <w:iCs/>
          <w:sz w:val="21"/>
          <w:szCs w:val="21"/>
          <w:lang w:eastAsia="en-AU"/>
        </w:rPr>
        <w:t>Frame Analysis: An Essay on the Organization of Experience</w:t>
      </w:r>
      <w:r w:rsidRPr="006306B5">
        <w:rPr>
          <w:rFonts w:ascii="Times New Roman" w:eastAsia="Times New Roman" w:hAnsi="Times New Roman" w:cs="Times New Roman"/>
          <w:sz w:val="21"/>
          <w:szCs w:val="21"/>
          <w:lang w:eastAsia="en-AU"/>
        </w:rPr>
        <w:t>. Cambridge: Harvard UP, 1974.</w:t>
      </w:r>
    </w:p>
    <w:p w14:paraId="095177B6" w14:textId="77777777" w:rsidR="006306B5" w:rsidRPr="006306B5" w:rsidRDefault="00213400" w:rsidP="006306B5">
      <w:pPr>
        <w:spacing w:after="120" w:line="240" w:lineRule="auto"/>
        <w:rPr>
          <w:rFonts w:ascii="Times New Roman" w:eastAsia="Times New Roman" w:hAnsi="Times New Roman" w:cs="Times New Roman"/>
          <w:sz w:val="18"/>
          <w:szCs w:val="18"/>
          <w:lang w:eastAsia="en-AU"/>
        </w:rPr>
      </w:pPr>
      <w:hyperlink r:id="rId70" w:tgtFrame="_blank" w:history="1">
        <w:r w:rsidR="006306B5" w:rsidRPr="006306B5">
          <w:rPr>
            <w:rFonts w:ascii="Times New Roman" w:eastAsia="Times New Roman" w:hAnsi="Times New Roman" w:cs="Times New Roman"/>
            <w:color w:val="000000"/>
            <w:sz w:val="18"/>
            <w:szCs w:val="18"/>
            <w:lang w:eastAsia="en-AU"/>
          </w:rPr>
          <w:t>Google Scholar</w:t>
        </w:r>
      </w:hyperlink>
      <w:r w:rsidR="006306B5" w:rsidRPr="006306B5">
        <w:rPr>
          <w:rFonts w:ascii="Times New Roman" w:eastAsia="Times New Roman" w:hAnsi="Times New Roman" w:cs="Times New Roman"/>
          <w:sz w:val="18"/>
          <w:szCs w:val="18"/>
          <w:lang w:eastAsia="en-AU"/>
        </w:rPr>
        <w:t> </w:t>
      </w:r>
      <w:hyperlink r:id="rId71" w:tgtFrame="_blank" w:history="1">
        <w:r w:rsidR="006306B5" w:rsidRPr="006306B5">
          <w:rPr>
            <w:rFonts w:ascii="Consolas" w:eastAsia="Times New Roman" w:hAnsi="Consolas" w:cs="Times New Roman"/>
            <w:color w:val="000000"/>
            <w:sz w:val="18"/>
            <w:szCs w:val="18"/>
            <w:lang w:eastAsia="en-AU"/>
          </w:rPr>
          <w:t>10.4324/9780203328446</w:t>
        </w:r>
      </w:hyperlink>
    </w:p>
    <w:p w14:paraId="156A2490" w14:textId="77777777" w:rsidR="006306B5" w:rsidRPr="006306B5" w:rsidRDefault="006306B5" w:rsidP="006306B5">
      <w:pPr>
        <w:numPr>
          <w:ilvl w:val="0"/>
          <w:numId w:val="3"/>
        </w:numPr>
        <w:spacing w:after="0" w:line="240" w:lineRule="auto"/>
        <w:ind w:left="1122"/>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Jackson, Rosemary. </w:t>
      </w:r>
      <w:r w:rsidRPr="006306B5">
        <w:rPr>
          <w:rFonts w:ascii="Helvetica" w:eastAsia="Times New Roman" w:hAnsi="Helvetica" w:cs="Helvetica"/>
          <w:i/>
          <w:iCs/>
          <w:sz w:val="21"/>
          <w:szCs w:val="21"/>
          <w:lang w:eastAsia="en-AU"/>
        </w:rPr>
        <w:t>Fantasy: The Literature of Subversion</w:t>
      </w:r>
      <w:r w:rsidRPr="006306B5">
        <w:rPr>
          <w:rFonts w:ascii="Times New Roman" w:eastAsia="Times New Roman" w:hAnsi="Times New Roman" w:cs="Times New Roman"/>
          <w:sz w:val="21"/>
          <w:szCs w:val="21"/>
          <w:lang w:eastAsia="en-AU"/>
        </w:rPr>
        <w:t>. New York and London: Methuen, 1981.</w:t>
      </w:r>
    </w:p>
    <w:p w14:paraId="24095891" w14:textId="77777777" w:rsidR="006306B5" w:rsidRPr="006306B5" w:rsidRDefault="00213400" w:rsidP="006306B5">
      <w:pPr>
        <w:spacing w:after="120" w:line="240" w:lineRule="auto"/>
        <w:rPr>
          <w:rFonts w:ascii="Times New Roman" w:eastAsia="Times New Roman" w:hAnsi="Times New Roman" w:cs="Times New Roman"/>
          <w:sz w:val="18"/>
          <w:szCs w:val="18"/>
          <w:lang w:eastAsia="en-AU"/>
        </w:rPr>
      </w:pPr>
      <w:hyperlink r:id="rId72" w:tgtFrame="_blank" w:history="1">
        <w:r w:rsidR="006306B5" w:rsidRPr="006306B5">
          <w:rPr>
            <w:rFonts w:ascii="Times New Roman" w:eastAsia="Times New Roman" w:hAnsi="Times New Roman" w:cs="Times New Roman"/>
            <w:color w:val="000000"/>
            <w:sz w:val="18"/>
            <w:szCs w:val="18"/>
            <w:lang w:eastAsia="en-AU"/>
          </w:rPr>
          <w:t>Google Scholar</w:t>
        </w:r>
      </w:hyperlink>
    </w:p>
    <w:p w14:paraId="15978B9E" w14:textId="77777777" w:rsidR="006306B5" w:rsidRPr="006306B5" w:rsidRDefault="006306B5" w:rsidP="006306B5">
      <w:pPr>
        <w:numPr>
          <w:ilvl w:val="0"/>
          <w:numId w:val="3"/>
        </w:numPr>
        <w:spacing w:after="0" w:line="240" w:lineRule="auto"/>
        <w:ind w:left="1122"/>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James, Henry. "The Figure in the Carpet." 1896. </w:t>
      </w:r>
      <w:r w:rsidRPr="006306B5">
        <w:rPr>
          <w:rFonts w:ascii="Helvetica" w:eastAsia="Times New Roman" w:hAnsi="Helvetica" w:cs="Helvetica"/>
          <w:i/>
          <w:iCs/>
          <w:sz w:val="21"/>
          <w:szCs w:val="21"/>
          <w:lang w:eastAsia="en-AU"/>
        </w:rPr>
        <w:t>The Complete Tales of Henry James.</w:t>
      </w:r>
      <w:r w:rsidRPr="006306B5">
        <w:rPr>
          <w:rFonts w:ascii="Times New Roman" w:eastAsia="Times New Roman" w:hAnsi="Times New Roman" w:cs="Times New Roman"/>
          <w:sz w:val="21"/>
          <w:szCs w:val="21"/>
          <w:lang w:eastAsia="en-AU"/>
        </w:rPr>
        <w:t> Ed. Leon Edel. Vol. 9. London: Rupert Hart-Davis, 1962-64. 12 vols. 273-315.</w:t>
      </w:r>
    </w:p>
    <w:p w14:paraId="71D3F72D" w14:textId="77777777" w:rsidR="006306B5" w:rsidRPr="006306B5" w:rsidRDefault="00213400" w:rsidP="006306B5">
      <w:pPr>
        <w:spacing w:after="120" w:line="240" w:lineRule="auto"/>
        <w:rPr>
          <w:rFonts w:ascii="Times New Roman" w:eastAsia="Times New Roman" w:hAnsi="Times New Roman" w:cs="Times New Roman"/>
          <w:sz w:val="18"/>
          <w:szCs w:val="18"/>
          <w:lang w:eastAsia="en-AU"/>
        </w:rPr>
      </w:pPr>
      <w:hyperlink r:id="rId73" w:tgtFrame="_blank" w:history="1">
        <w:r w:rsidR="006306B5" w:rsidRPr="006306B5">
          <w:rPr>
            <w:rFonts w:ascii="Times New Roman" w:eastAsia="Times New Roman" w:hAnsi="Times New Roman" w:cs="Times New Roman"/>
            <w:color w:val="000000"/>
            <w:sz w:val="18"/>
            <w:szCs w:val="18"/>
            <w:lang w:eastAsia="en-AU"/>
          </w:rPr>
          <w:t>Google Scholar</w:t>
        </w:r>
      </w:hyperlink>
    </w:p>
    <w:p w14:paraId="6BBE5DD3" w14:textId="77777777" w:rsidR="006306B5" w:rsidRPr="006306B5" w:rsidRDefault="006306B5" w:rsidP="006306B5">
      <w:pPr>
        <w:numPr>
          <w:ilvl w:val="0"/>
          <w:numId w:val="3"/>
        </w:numPr>
        <w:spacing w:after="0" w:line="240" w:lineRule="auto"/>
        <w:ind w:left="1122"/>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Jefferson, Ann. “</w:t>
      </w:r>
      <w:r w:rsidRPr="006306B5">
        <w:rPr>
          <w:rFonts w:ascii="Helvetica" w:eastAsia="Times New Roman" w:hAnsi="Helvetica" w:cs="Helvetica"/>
          <w:i/>
          <w:iCs/>
          <w:sz w:val="21"/>
          <w:szCs w:val="21"/>
          <w:lang w:eastAsia="en-AU"/>
        </w:rPr>
        <w:t>Mise en abyme</w:t>
      </w:r>
      <w:r w:rsidRPr="006306B5">
        <w:rPr>
          <w:rFonts w:ascii="Times New Roman" w:eastAsia="Times New Roman" w:hAnsi="Times New Roman" w:cs="Times New Roman"/>
          <w:sz w:val="21"/>
          <w:szCs w:val="21"/>
          <w:lang w:eastAsia="en-AU"/>
        </w:rPr>
        <w:t> and the Prophetic in Narrative.” </w:t>
      </w:r>
      <w:r w:rsidRPr="006306B5">
        <w:rPr>
          <w:rFonts w:ascii="Helvetica" w:eastAsia="Times New Roman" w:hAnsi="Helvetica" w:cs="Helvetica"/>
          <w:i/>
          <w:iCs/>
          <w:sz w:val="21"/>
          <w:szCs w:val="21"/>
          <w:lang w:eastAsia="en-AU"/>
        </w:rPr>
        <w:t>Style</w:t>
      </w:r>
      <w:r w:rsidRPr="006306B5">
        <w:rPr>
          <w:rFonts w:ascii="Times New Roman" w:eastAsia="Times New Roman" w:hAnsi="Times New Roman" w:cs="Times New Roman"/>
          <w:sz w:val="21"/>
          <w:szCs w:val="21"/>
          <w:lang w:eastAsia="en-AU"/>
        </w:rPr>
        <w:t> 17.2 (1983): 196-208.</w:t>
      </w:r>
    </w:p>
    <w:p w14:paraId="012257D3" w14:textId="77777777" w:rsidR="006306B5" w:rsidRPr="006306B5" w:rsidRDefault="00213400" w:rsidP="006306B5">
      <w:pPr>
        <w:spacing w:after="120" w:line="240" w:lineRule="auto"/>
        <w:rPr>
          <w:rFonts w:ascii="Times New Roman" w:eastAsia="Times New Roman" w:hAnsi="Times New Roman" w:cs="Times New Roman"/>
          <w:sz w:val="18"/>
          <w:szCs w:val="18"/>
          <w:lang w:eastAsia="en-AU"/>
        </w:rPr>
      </w:pPr>
      <w:hyperlink r:id="rId74" w:tgtFrame="_blank" w:history="1">
        <w:r w:rsidR="006306B5" w:rsidRPr="006306B5">
          <w:rPr>
            <w:rFonts w:ascii="Times New Roman" w:eastAsia="Times New Roman" w:hAnsi="Times New Roman" w:cs="Times New Roman"/>
            <w:color w:val="000000"/>
            <w:sz w:val="18"/>
            <w:szCs w:val="18"/>
            <w:lang w:eastAsia="en-AU"/>
          </w:rPr>
          <w:t>Google Scholar</w:t>
        </w:r>
      </w:hyperlink>
    </w:p>
    <w:p w14:paraId="1D8FE9FC" w14:textId="77777777" w:rsidR="006306B5" w:rsidRPr="006306B5" w:rsidRDefault="006306B5" w:rsidP="006306B5">
      <w:pPr>
        <w:numPr>
          <w:ilvl w:val="0"/>
          <w:numId w:val="3"/>
        </w:numPr>
        <w:spacing w:after="0" w:line="240" w:lineRule="auto"/>
        <w:ind w:left="1122"/>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Ketterer, David. </w:t>
      </w:r>
      <w:r w:rsidRPr="006306B5">
        <w:rPr>
          <w:rFonts w:ascii="Helvetica" w:eastAsia="Times New Roman" w:hAnsi="Helvetica" w:cs="Helvetica"/>
          <w:i/>
          <w:iCs/>
          <w:sz w:val="21"/>
          <w:szCs w:val="21"/>
          <w:lang w:eastAsia="en-AU"/>
        </w:rPr>
        <w:t>Frankenstein’s Creation: The Book, the Monster, and Human Reality</w:t>
      </w:r>
      <w:r w:rsidRPr="006306B5">
        <w:rPr>
          <w:rFonts w:ascii="Times New Roman" w:eastAsia="Times New Roman" w:hAnsi="Times New Roman" w:cs="Times New Roman"/>
          <w:sz w:val="21"/>
          <w:szCs w:val="21"/>
          <w:lang w:eastAsia="en-AU"/>
        </w:rPr>
        <w:t>. ELS Monograph Series 16. Victoria: ELS, 1979.</w:t>
      </w:r>
    </w:p>
    <w:p w14:paraId="35102218" w14:textId="77777777" w:rsidR="006306B5" w:rsidRPr="006306B5" w:rsidRDefault="00213400" w:rsidP="006306B5">
      <w:pPr>
        <w:spacing w:after="120" w:line="240" w:lineRule="auto"/>
        <w:rPr>
          <w:rFonts w:ascii="Times New Roman" w:eastAsia="Times New Roman" w:hAnsi="Times New Roman" w:cs="Times New Roman"/>
          <w:sz w:val="18"/>
          <w:szCs w:val="18"/>
          <w:lang w:eastAsia="en-AU"/>
        </w:rPr>
      </w:pPr>
      <w:hyperlink r:id="rId75" w:tgtFrame="_blank" w:history="1">
        <w:r w:rsidR="006306B5" w:rsidRPr="006306B5">
          <w:rPr>
            <w:rFonts w:ascii="Times New Roman" w:eastAsia="Times New Roman" w:hAnsi="Times New Roman" w:cs="Times New Roman"/>
            <w:color w:val="000000"/>
            <w:sz w:val="18"/>
            <w:szCs w:val="18"/>
            <w:lang w:eastAsia="en-AU"/>
          </w:rPr>
          <w:t>Google Scholar</w:t>
        </w:r>
      </w:hyperlink>
    </w:p>
    <w:p w14:paraId="46F8C4E1" w14:textId="77777777" w:rsidR="006306B5" w:rsidRPr="006306B5" w:rsidRDefault="006306B5" w:rsidP="006306B5">
      <w:pPr>
        <w:numPr>
          <w:ilvl w:val="0"/>
          <w:numId w:val="3"/>
        </w:numPr>
        <w:spacing w:after="0" w:line="240" w:lineRule="auto"/>
        <w:ind w:left="1122"/>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Knoepflmacher, U. C. “Thoughts on the Aggression of Daughters.” </w:t>
      </w:r>
      <w:r w:rsidRPr="006306B5">
        <w:rPr>
          <w:rFonts w:ascii="Helvetica" w:eastAsia="Times New Roman" w:hAnsi="Helvetica" w:cs="Helvetica"/>
          <w:i/>
          <w:iCs/>
          <w:sz w:val="21"/>
          <w:szCs w:val="21"/>
          <w:lang w:eastAsia="en-AU"/>
        </w:rPr>
        <w:t>The Endurance of </w:t>
      </w:r>
      <w:r w:rsidRPr="006306B5">
        <w:rPr>
          <w:rFonts w:ascii="Times New Roman" w:eastAsia="Times New Roman" w:hAnsi="Times New Roman" w:cs="Times New Roman"/>
          <w:sz w:val="21"/>
          <w:szCs w:val="21"/>
          <w:lang w:eastAsia="en-AU"/>
        </w:rPr>
        <w:t>Frankenstein</w:t>
      </w:r>
      <w:r w:rsidRPr="006306B5">
        <w:rPr>
          <w:rFonts w:ascii="Helvetica" w:eastAsia="Times New Roman" w:hAnsi="Helvetica" w:cs="Helvetica"/>
          <w:i/>
          <w:iCs/>
          <w:sz w:val="21"/>
          <w:szCs w:val="21"/>
          <w:lang w:eastAsia="en-AU"/>
        </w:rPr>
        <w:t>: Essays on Mary Shelley’s Novel</w:t>
      </w:r>
      <w:r w:rsidRPr="006306B5">
        <w:rPr>
          <w:rFonts w:ascii="Times New Roman" w:eastAsia="Times New Roman" w:hAnsi="Times New Roman" w:cs="Times New Roman"/>
          <w:sz w:val="21"/>
          <w:szCs w:val="21"/>
          <w:lang w:eastAsia="en-AU"/>
        </w:rPr>
        <w:t>. Ed. George Levine and U. C. Knoepflmacher. Berkeley: University of California Press, 1979. 88-119.</w:t>
      </w:r>
    </w:p>
    <w:p w14:paraId="50A5B8E0" w14:textId="77777777" w:rsidR="006306B5" w:rsidRPr="006306B5" w:rsidRDefault="00213400" w:rsidP="006306B5">
      <w:pPr>
        <w:spacing w:after="120" w:line="240" w:lineRule="auto"/>
        <w:rPr>
          <w:rFonts w:ascii="Times New Roman" w:eastAsia="Times New Roman" w:hAnsi="Times New Roman" w:cs="Times New Roman"/>
          <w:sz w:val="18"/>
          <w:szCs w:val="18"/>
          <w:lang w:eastAsia="en-AU"/>
        </w:rPr>
      </w:pPr>
      <w:hyperlink r:id="rId76" w:tgtFrame="_blank" w:history="1">
        <w:r w:rsidR="006306B5" w:rsidRPr="006306B5">
          <w:rPr>
            <w:rFonts w:ascii="Times New Roman" w:eastAsia="Times New Roman" w:hAnsi="Times New Roman" w:cs="Times New Roman"/>
            <w:color w:val="000000"/>
            <w:sz w:val="18"/>
            <w:szCs w:val="18"/>
            <w:lang w:eastAsia="en-AU"/>
          </w:rPr>
          <w:t>Google Scholar</w:t>
        </w:r>
      </w:hyperlink>
      <w:r w:rsidR="006306B5" w:rsidRPr="006306B5">
        <w:rPr>
          <w:rFonts w:ascii="Times New Roman" w:eastAsia="Times New Roman" w:hAnsi="Times New Roman" w:cs="Times New Roman"/>
          <w:sz w:val="18"/>
          <w:szCs w:val="18"/>
          <w:lang w:eastAsia="en-AU"/>
        </w:rPr>
        <w:t> </w:t>
      </w:r>
      <w:hyperlink r:id="rId77" w:tgtFrame="_blank" w:history="1">
        <w:r w:rsidR="006306B5" w:rsidRPr="006306B5">
          <w:rPr>
            <w:rFonts w:ascii="Consolas" w:eastAsia="Times New Roman" w:hAnsi="Consolas" w:cs="Times New Roman"/>
            <w:color w:val="000000"/>
            <w:sz w:val="18"/>
            <w:szCs w:val="18"/>
            <w:lang w:eastAsia="en-AU"/>
          </w:rPr>
          <w:t>10.1525/ncl.1992.47.3.99p0457o</w:t>
        </w:r>
      </w:hyperlink>
    </w:p>
    <w:p w14:paraId="00B25653" w14:textId="77777777" w:rsidR="006306B5" w:rsidRPr="006306B5" w:rsidRDefault="006306B5" w:rsidP="006306B5">
      <w:pPr>
        <w:numPr>
          <w:ilvl w:val="0"/>
          <w:numId w:val="3"/>
        </w:numPr>
        <w:spacing w:after="0" w:line="240" w:lineRule="auto"/>
        <w:ind w:left="1122"/>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Lamb, John B. “Mary Shelley’s </w:t>
      </w:r>
      <w:r w:rsidRPr="006306B5">
        <w:rPr>
          <w:rFonts w:ascii="Helvetica" w:eastAsia="Times New Roman" w:hAnsi="Helvetica" w:cs="Helvetica"/>
          <w:i/>
          <w:iCs/>
          <w:sz w:val="21"/>
          <w:szCs w:val="21"/>
          <w:lang w:eastAsia="en-AU"/>
        </w:rPr>
        <w:t>Frankenstein</w:t>
      </w:r>
      <w:r w:rsidRPr="006306B5">
        <w:rPr>
          <w:rFonts w:ascii="Times New Roman" w:eastAsia="Times New Roman" w:hAnsi="Times New Roman" w:cs="Times New Roman"/>
          <w:sz w:val="21"/>
          <w:szCs w:val="21"/>
          <w:lang w:eastAsia="en-AU"/>
        </w:rPr>
        <w:t> and Milton’s Monstrous Myth.” </w:t>
      </w:r>
      <w:r w:rsidRPr="006306B5">
        <w:rPr>
          <w:rFonts w:ascii="Helvetica" w:eastAsia="Times New Roman" w:hAnsi="Helvetica" w:cs="Helvetica"/>
          <w:i/>
          <w:iCs/>
          <w:sz w:val="21"/>
          <w:szCs w:val="21"/>
          <w:lang w:eastAsia="en-AU"/>
        </w:rPr>
        <w:t>Nineteenth-Century Literature</w:t>
      </w:r>
      <w:r w:rsidRPr="006306B5">
        <w:rPr>
          <w:rFonts w:ascii="Times New Roman" w:eastAsia="Times New Roman" w:hAnsi="Times New Roman" w:cs="Times New Roman"/>
          <w:sz w:val="21"/>
          <w:szCs w:val="21"/>
          <w:lang w:eastAsia="en-AU"/>
        </w:rPr>
        <w:t> 47.3 (1992): 303-19.</w:t>
      </w:r>
    </w:p>
    <w:p w14:paraId="54A665AC" w14:textId="77777777" w:rsidR="006306B5" w:rsidRPr="006306B5" w:rsidRDefault="00213400" w:rsidP="006306B5">
      <w:pPr>
        <w:spacing w:after="120" w:line="240" w:lineRule="auto"/>
        <w:rPr>
          <w:rFonts w:ascii="Times New Roman" w:eastAsia="Times New Roman" w:hAnsi="Times New Roman" w:cs="Times New Roman"/>
          <w:sz w:val="18"/>
          <w:szCs w:val="18"/>
          <w:lang w:eastAsia="en-AU"/>
        </w:rPr>
      </w:pPr>
      <w:hyperlink r:id="rId78" w:tgtFrame="_blank" w:history="1">
        <w:r w:rsidR="006306B5" w:rsidRPr="006306B5">
          <w:rPr>
            <w:rFonts w:ascii="Times New Roman" w:eastAsia="Times New Roman" w:hAnsi="Times New Roman" w:cs="Times New Roman"/>
            <w:color w:val="000000"/>
            <w:sz w:val="18"/>
            <w:szCs w:val="18"/>
            <w:lang w:eastAsia="en-AU"/>
          </w:rPr>
          <w:t>Google Scholar</w:t>
        </w:r>
      </w:hyperlink>
    </w:p>
    <w:p w14:paraId="0E97682E" w14:textId="77777777" w:rsidR="006306B5" w:rsidRPr="006306B5" w:rsidRDefault="006306B5" w:rsidP="006306B5">
      <w:pPr>
        <w:numPr>
          <w:ilvl w:val="0"/>
          <w:numId w:val="3"/>
        </w:numPr>
        <w:spacing w:after="0" w:line="240" w:lineRule="auto"/>
        <w:ind w:left="1122"/>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Mellor, Anne K. </w:t>
      </w:r>
      <w:r w:rsidRPr="006306B5">
        <w:rPr>
          <w:rFonts w:ascii="Helvetica" w:eastAsia="Times New Roman" w:hAnsi="Helvetica" w:cs="Helvetica"/>
          <w:i/>
          <w:iCs/>
          <w:sz w:val="21"/>
          <w:szCs w:val="21"/>
          <w:lang w:eastAsia="en-AU"/>
        </w:rPr>
        <w:t>Mary Shelley: Her Life, Her Fiction, Her Monsters</w:t>
      </w:r>
      <w:r w:rsidRPr="006306B5">
        <w:rPr>
          <w:rFonts w:ascii="Times New Roman" w:eastAsia="Times New Roman" w:hAnsi="Times New Roman" w:cs="Times New Roman"/>
          <w:sz w:val="21"/>
          <w:szCs w:val="21"/>
          <w:lang w:eastAsia="en-AU"/>
        </w:rPr>
        <w:t>. London: Methuen, 1988.</w:t>
      </w:r>
    </w:p>
    <w:p w14:paraId="618472D8" w14:textId="77777777" w:rsidR="006306B5" w:rsidRPr="006306B5" w:rsidRDefault="00213400" w:rsidP="006306B5">
      <w:pPr>
        <w:spacing w:after="120" w:line="240" w:lineRule="auto"/>
        <w:rPr>
          <w:rFonts w:ascii="Times New Roman" w:eastAsia="Times New Roman" w:hAnsi="Times New Roman" w:cs="Times New Roman"/>
          <w:sz w:val="18"/>
          <w:szCs w:val="18"/>
          <w:lang w:eastAsia="en-AU"/>
        </w:rPr>
      </w:pPr>
      <w:hyperlink r:id="rId79" w:tgtFrame="_blank" w:history="1">
        <w:r w:rsidR="006306B5" w:rsidRPr="006306B5">
          <w:rPr>
            <w:rFonts w:ascii="Times New Roman" w:eastAsia="Times New Roman" w:hAnsi="Times New Roman" w:cs="Times New Roman"/>
            <w:color w:val="000000"/>
            <w:sz w:val="18"/>
            <w:szCs w:val="18"/>
            <w:lang w:eastAsia="en-AU"/>
          </w:rPr>
          <w:t>Google Scholar</w:t>
        </w:r>
      </w:hyperlink>
    </w:p>
    <w:p w14:paraId="3136A2E9" w14:textId="77777777" w:rsidR="006306B5" w:rsidRPr="006306B5" w:rsidRDefault="006306B5" w:rsidP="006306B5">
      <w:pPr>
        <w:numPr>
          <w:ilvl w:val="0"/>
          <w:numId w:val="3"/>
        </w:numPr>
        <w:spacing w:after="0" w:line="240" w:lineRule="auto"/>
        <w:ind w:left="1122"/>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Milton, John. </w:t>
      </w:r>
      <w:r w:rsidRPr="006306B5">
        <w:rPr>
          <w:rFonts w:ascii="Helvetica" w:eastAsia="Times New Roman" w:hAnsi="Helvetica" w:cs="Helvetica"/>
          <w:i/>
          <w:iCs/>
          <w:sz w:val="21"/>
          <w:szCs w:val="21"/>
          <w:lang w:eastAsia="en-AU"/>
        </w:rPr>
        <w:t>Paradise Lost</w:t>
      </w:r>
      <w:r w:rsidRPr="006306B5">
        <w:rPr>
          <w:rFonts w:ascii="Times New Roman" w:eastAsia="Times New Roman" w:hAnsi="Times New Roman" w:cs="Times New Roman"/>
          <w:sz w:val="21"/>
          <w:szCs w:val="21"/>
          <w:lang w:eastAsia="en-AU"/>
        </w:rPr>
        <w:t>. 1667-74. </w:t>
      </w:r>
      <w:r w:rsidRPr="006306B5">
        <w:rPr>
          <w:rFonts w:ascii="Helvetica" w:eastAsia="Times New Roman" w:hAnsi="Helvetica" w:cs="Helvetica"/>
          <w:i/>
          <w:iCs/>
          <w:sz w:val="21"/>
          <w:szCs w:val="21"/>
          <w:lang w:eastAsia="en-AU"/>
        </w:rPr>
        <w:t>Complete Poems and Major Prose</w:t>
      </w:r>
      <w:r w:rsidRPr="006306B5">
        <w:rPr>
          <w:rFonts w:ascii="Times New Roman" w:eastAsia="Times New Roman" w:hAnsi="Times New Roman" w:cs="Times New Roman"/>
          <w:sz w:val="21"/>
          <w:szCs w:val="21"/>
          <w:lang w:eastAsia="en-AU"/>
        </w:rPr>
        <w:t>. Ed. Merritt Y. Hughes. New York: Odyssey, 1957. 207-469.</w:t>
      </w:r>
    </w:p>
    <w:p w14:paraId="18148157" w14:textId="77777777" w:rsidR="006306B5" w:rsidRPr="006306B5" w:rsidRDefault="00213400" w:rsidP="006306B5">
      <w:pPr>
        <w:spacing w:after="120" w:line="240" w:lineRule="auto"/>
        <w:rPr>
          <w:rFonts w:ascii="Times New Roman" w:eastAsia="Times New Roman" w:hAnsi="Times New Roman" w:cs="Times New Roman"/>
          <w:sz w:val="18"/>
          <w:szCs w:val="18"/>
          <w:lang w:eastAsia="en-AU"/>
        </w:rPr>
      </w:pPr>
      <w:hyperlink r:id="rId80" w:tgtFrame="_blank" w:history="1">
        <w:r w:rsidR="006306B5" w:rsidRPr="006306B5">
          <w:rPr>
            <w:rFonts w:ascii="Times New Roman" w:eastAsia="Times New Roman" w:hAnsi="Times New Roman" w:cs="Times New Roman"/>
            <w:color w:val="000000"/>
            <w:sz w:val="18"/>
            <w:szCs w:val="18"/>
            <w:lang w:eastAsia="en-AU"/>
          </w:rPr>
          <w:t>Google Scholar</w:t>
        </w:r>
      </w:hyperlink>
    </w:p>
    <w:p w14:paraId="65B29F06" w14:textId="77777777" w:rsidR="006306B5" w:rsidRPr="006306B5" w:rsidRDefault="006306B5" w:rsidP="006306B5">
      <w:pPr>
        <w:numPr>
          <w:ilvl w:val="0"/>
          <w:numId w:val="3"/>
        </w:numPr>
        <w:spacing w:after="0" w:line="240" w:lineRule="auto"/>
        <w:ind w:left="1122"/>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Minsky, Marvin. “A Framework for Representing Knowledge.” </w:t>
      </w:r>
      <w:r w:rsidRPr="006306B5">
        <w:rPr>
          <w:rFonts w:ascii="Helvetica" w:eastAsia="Times New Roman" w:hAnsi="Helvetica" w:cs="Helvetica"/>
          <w:i/>
          <w:iCs/>
          <w:sz w:val="21"/>
          <w:szCs w:val="21"/>
          <w:lang w:eastAsia="en-AU"/>
        </w:rPr>
        <w:t>The Psychology of Computer Vision</w:t>
      </w:r>
      <w:r w:rsidRPr="006306B5">
        <w:rPr>
          <w:rFonts w:ascii="Times New Roman" w:eastAsia="Times New Roman" w:hAnsi="Times New Roman" w:cs="Times New Roman"/>
          <w:sz w:val="21"/>
          <w:szCs w:val="21"/>
          <w:lang w:eastAsia="en-AU"/>
        </w:rPr>
        <w:t>. Ed. Patrick Winston. New York: McGraw, 1975. 211-77.</w:t>
      </w:r>
    </w:p>
    <w:p w14:paraId="108BA0C5" w14:textId="77777777" w:rsidR="006306B5" w:rsidRPr="006306B5" w:rsidRDefault="00213400" w:rsidP="006306B5">
      <w:pPr>
        <w:spacing w:after="120" w:line="240" w:lineRule="auto"/>
        <w:rPr>
          <w:rFonts w:ascii="Times New Roman" w:eastAsia="Times New Roman" w:hAnsi="Times New Roman" w:cs="Times New Roman"/>
          <w:sz w:val="18"/>
          <w:szCs w:val="18"/>
          <w:lang w:eastAsia="en-AU"/>
        </w:rPr>
      </w:pPr>
      <w:hyperlink r:id="rId81" w:tgtFrame="_blank" w:history="1">
        <w:r w:rsidR="006306B5" w:rsidRPr="006306B5">
          <w:rPr>
            <w:rFonts w:ascii="Times New Roman" w:eastAsia="Times New Roman" w:hAnsi="Times New Roman" w:cs="Times New Roman"/>
            <w:color w:val="000000"/>
            <w:sz w:val="18"/>
            <w:szCs w:val="18"/>
            <w:lang w:eastAsia="en-AU"/>
          </w:rPr>
          <w:t>Google Scholar</w:t>
        </w:r>
      </w:hyperlink>
      <w:r w:rsidR="006306B5" w:rsidRPr="006306B5">
        <w:rPr>
          <w:rFonts w:ascii="Times New Roman" w:eastAsia="Times New Roman" w:hAnsi="Times New Roman" w:cs="Times New Roman"/>
          <w:sz w:val="18"/>
          <w:szCs w:val="18"/>
          <w:lang w:eastAsia="en-AU"/>
        </w:rPr>
        <w:t> </w:t>
      </w:r>
      <w:hyperlink r:id="rId82" w:tgtFrame="_blank" w:history="1">
        <w:r w:rsidR="006306B5" w:rsidRPr="006306B5">
          <w:rPr>
            <w:rFonts w:ascii="Consolas" w:eastAsia="Times New Roman" w:hAnsi="Consolas" w:cs="Times New Roman"/>
            <w:color w:val="000000"/>
            <w:sz w:val="18"/>
            <w:szCs w:val="18"/>
            <w:lang w:eastAsia="en-AU"/>
          </w:rPr>
          <w:t>10.2307/2873151</w:t>
        </w:r>
      </w:hyperlink>
    </w:p>
    <w:p w14:paraId="57A35525" w14:textId="77777777" w:rsidR="006306B5" w:rsidRPr="006306B5" w:rsidRDefault="006306B5" w:rsidP="006306B5">
      <w:pPr>
        <w:numPr>
          <w:ilvl w:val="0"/>
          <w:numId w:val="3"/>
        </w:numPr>
        <w:spacing w:after="0" w:line="240" w:lineRule="auto"/>
        <w:ind w:left="1122"/>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Newman, Beth. “Narratives of Seduction and the Seduction of Narrative: The Frame Structure in </w:t>
      </w:r>
      <w:r w:rsidRPr="006306B5">
        <w:rPr>
          <w:rFonts w:ascii="Helvetica" w:eastAsia="Times New Roman" w:hAnsi="Helvetica" w:cs="Helvetica"/>
          <w:i/>
          <w:iCs/>
          <w:sz w:val="21"/>
          <w:szCs w:val="21"/>
          <w:lang w:eastAsia="en-AU"/>
        </w:rPr>
        <w:t>Frankenstein</w:t>
      </w:r>
      <w:r w:rsidRPr="006306B5">
        <w:rPr>
          <w:rFonts w:ascii="Times New Roman" w:eastAsia="Times New Roman" w:hAnsi="Times New Roman" w:cs="Times New Roman"/>
          <w:sz w:val="21"/>
          <w:szCs w:val="21"/>
          <w:lang w:eastAsia="en-AU"/>
        </w:rPr>
        <w:t>.” </w:t>
      </w:r>
      <w:r w:rsidRPr="006306B5">
        <w:rPr>
          <w:rFonts w:ascii="Helvetica" w:eastAsia="Times New Roman" w:hAnsi="Helvetica" w:cs="Helvetica"/>
          <w:i/>
          <w:iCs/>
          <w:sz w:val="21"/>
          <w:szCs w:val="21"/>
          <w:lang w:eastAsia="en-AU"/>
        </w:rPr>
        <w:t>ELH</w:t>
      </w:r>
      <w:r w:rsidRPr="006306B5">
        <w:rPr>
          <w:rFonts w:ascii="Times New Roman" w:eastAsia="Times New Roman" w:hAnsi="Times New Roman" w:cs="Times New Roman"/>
          <w:sz w:val="21"/>
          <w:szCs w:val="21"/>
          <w:lang w:eastAsia="en-AU"/>
        </w:rPr>
        <w:t> 53 (1986): 141-63.</w:t>
      </w:r>
    </w:p>
    <w:p w14:paraId="30065365" w14:textId="77777777" w:rsidR="006306B5" w:rsidRPr="006306B5" w:rsidRDefault="00213400" w:rsidP="006306B5">
      <w:pPr>
        <w:spacing w:after="120" w:line="240" w:lineRule="auto"/>
        <w:rPr>
          <w:rFonts w:ascii="Times New Roman" w:eastAsia="Times New Roman" w:hAnsi="Times New Roman" w:cs="Times New Roman"/>
          <w:sz w:val="18"/>
          <w:szCs w:val="18"/>
          <w:lang w:eastAsia="en-AU"/>
        </w:rPr>
      </w:pPr>
      <w:hyperlink r:id="rId83" w:tgtFrame="_blank" w:history="1">
        <w:r w:rsidR="006306B5" w:rsidRPr="006306B5">
          <w:rPr>
            <w:rFonts w:ascii="Times New Roman" w:eastAsia="Times New Roman" w:hAnsi="Times New Roman" w:cs="Times New Roman"/>
            <w:color w:val="000000"/>
            <w:sz w:val="18"/>
            <w:szCs w:val="18"/>
            <w:lang w:eastAsia="en-AU"/>
          </w:rPr>
          <w:t>Google Scholar</w:t>
        </w:r>
      </w:hyperlink>
      <w:r w:rsidR="006306B5" w:rsidRPr="006306B5">
        <w:rPr>
          <w:rFonts w:ascii="Times New Roman" w:eastAsia="Times New Roman" w:hAnsi="Times New Roman" w:cs="Times New Roman"/>
          <w:sz w:val="18"/>
          <w:szCs w:val="18"/>
          <w:lang w:eastAsia="en-AU"/>
        </w:rPr>
        <w:t> </w:t>
      </w:r>
      <w:hyperlink r:id="rId84" w:tgtFrame="_blank" w:history="1">
        <w:r w:rsidR="006306B5" w:rsidRPr="006306B5">
          <w:rPr>
            <w:rFonts w:ascii="Consolas" w:eastAsia="Times New Roman" w:hAnsi="Consolas" w:cs="Times New Roman"/>
            <w:color w:val="000000"/>
            <w:sz w:val="18"/>
            <w:szCs w:val="18"/>
            <w:lang w:eastAsia="en-AU"/>
          </w:rPr>
          <w:t>10.2307/1772040</w:t>
        </w:r>
      </w:hyperlink>
    </w:p>
    <w:p w14:paraId="7DBA1331" w14:textId="77777777" w:rsidR="006306B5" w:rsidRPr="006306B5" w:rsidRDefault="006306B5" w:rsidP="006306B5">
      <w:pPr>
        <w:numPr>
          <w:ilvl w:val="0"/>
          <w:numId w:val="3"/>
        </w:numPr>
        <w:spacing w:after="0" w:line="240" w:lineRule="auto"/>
        <w:ind w:left="1122"/>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Perry, Menakhem. “Literary Dynamics: How the Order of a Text Creates Its Meanings.” </w:t>
      </w:r>
      <w:r w:rsidRPr="006306B5">
        <w:rPr>
          <w:rFonts w:ascii="Helvetica" w:eastAsia="Times New Roman" w:hAnsi="Helvetica" w:cs="Helvetica"/>
          <w:i/>
          <w:iCs/>
          <w:sz w:val="21"/>
          <w:szCs w:val="21"/>
          <w:lang w:eastAsia="en-AU"/>
        </w:rPr>
        <w:t>Poetics Today</w:t>
      </w:r>
      <w:r w:rsidRPr="006306B5">
        <w:rPr>
          <w:rFonts w:ascii="Times New Roman" w:eastAsia="Times New Roman" w:hAnsi="Times New Roman" w:cs="Times New Roman"/>
          <w:sz w:val="21"/>
          <w:szCs w:val="21"/>
          <w:lang w:eastAsia="en-AU"/>
        </w:rPr>
        <w:t> 1.1 (1979): 35-64.</w:t>
      </w:r>
    </w:p>
    <w:p w14:paraId="667F4645" w14:textId="77777777" w:rsidR="006306B5" w:rsidRPr="006306B5" w:rsidRDefault="00213400" w:rsidP="006306B5">
      <w:pPr>
        <w:spacing w:after="120" w:line="240" w:lineRule="auto"/>
        <w:rPr>
          <w:rFonts w:ascii="Times New Roman" w:eastAsia="Times New Roman" w:hAnsi="Times New Roman" w:cs="Times New Roman"/>
          <w:sz w:val="18"/>
          <w:szCs w:val="18"/>
          <w:lang w:eastAsia="en-AU"/>
        </w:rPr>
      </w:pPr>
      <w:hyperlink r:id="rId85" w:tgtFrame="_blank" w:history="1">
        <w:r w:rsidR="006306B5" w:rsidRPr="006306B5">
          <w:rPr>
            <w:rFonts w:ascii="Times New Roman" w:eastAsia="Times New Roman" w:hAnsi="Times New Roman" w:cs="Times New Roman"/>
            <w:color w:val="000000"/>
            <w:sz w:val="18"/>
            <w:szCs w:val="18"/>
            <w:lang w:eastAsia="en-AU"/>
          </w:rPr>
          <w:t>Google Scholar</w:t>
        </w:r>
      </w:hyperlink>
    </w:p>
    <w:p w14:paraId="3BB7AE7E" w14:textId="77777777" w:rsidR="006306B5" w:rsidRPr="006306B5" w:rsidRDefault="006306B5" w:rsidP="006306B5">
      <w:pPr>
        <w:numPr>
          <w:ilvl w:val="0"/>
          <w:numId w:val="3"/>
        </w:numPr>
        <w:spacing w:after="0" w:line="240" w:lineRule="auto"/>
        <w:ind w:left="1122"/>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Phelan, James, ed. </w:t>
      </w:r>
      <w:r w:rsidRPr="006306B5">
        <w:rPr>
          <w:rFonts w:ascii="Helvetica" w:eastAsia="Times New Roman" w:hAnsi="Helvetica" w:cs="Helvetica"/>
          <w:i/>
          <w:iCs/>
          <w:sz w:val="21"/>
          <w:szCs w:val="21"/>
          <w:lang w:eastAsia="en-AU"/>
        </w:rPr>
        <w:t>Reading Narrative: Form, Ethics, Ideology</w:t>
      </w:r>
      <w:r w:rsidRPr="006306B5">
        <w:rPr>
          <w:rFonts w:ascii="Times New Roman" w:eastAsia="Times New Roman" w:hAnsi="Times New Roman" w:cs="Times New Roman"/>
          <w:sz w:val="21"/>
          <w:szCs w:val="21"/>
          <w:lang w:eastAsia="en-AU"/>
        </w:rPr>
        <w:t>. Columbus: Ohio State UP, 1989.</w:t>
      </w:r>
    </w:p>
    <w:p w14:paraId="10ADE10E" w14:textId="77777777" w:rsidR="006306B5" w:rsidRPr="006306B5" w:rsidRDefault="00213400" w:rsidP="006306B5">
      <w:pPr>
        <w:spacing w:after="120" w:line="240" w:lineRule="auto"/>
        <w:rPr>
          <w:rFonts w:ascii="Times New Roman" w:eastAsia="Times New Roman" w:hAnsi="Times New Roman" w:cs="Times New Roman"/>
          <w:sz w:val="18"/>
          <w:szCs w:val="18"/>
          <w:lang w:eastAsia="en-AU"/>
        </w:rPr>
      </w:pPr>
      <w:hyperlink r:id="rId86" w:tgtFrame="_blank" w:history="1">
        <w:r w:rsidR="006306B5" w:rsidRPr="006306B5">
          <w:rPr>
            <w:rFonts w:ascii="Times New Roman" w:eastAsia="Times New Roman" w:hAnsi="Times New Roman" w:cs="Times New Roman"/>
            <w:color w:val="000000"/>
            <w:sz w:val="18"/>
            <w:szCs w:val="18"/>
            <w:lang w:eastAsia="en-AU"/>
          </w:rPr>
          <w:t>Google Scholar</w:t>
        </w:r>
      </w:hyperlink>
    </w:p>
    <w:p w14:paraId="799FA249" w14:textId="77777777" w:rsidR="006306B5" w:rsidRPr="006306B5" w:rsidRDefault="006306B5" w:rsidP="006306B5">
      <w:pPr>
        <w:numPr>
          <w:ilvl w:val="0"/>
          <w:numId w:val="3"/>
        </w:numPr>
        <w:spacing w:after="0" w:line="240" w:lineRule="auto"/>
        <w:ind w:left="1122"/>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lastRenderedPageBreak/>
        <w:t>Ping, Tang Soo. “</w:t>
      </w:r>
      <w:r w:rsidRPr="006306B5">
        <w:rPr>
          <w:rFonts w:ascii="Helvetica" w:eastAsia="Times New Roman" w:hAnsi="Helvetica" w:cs="Helvetica"/>
          <w:i/>
          <w:iCs/>
          <w:sz w:val="21"/>
          <w:szCs w:val="21"/>
          <w:lang w:eastAsia="en-AU"/>
        </w:rPr>
        <w:t>Frankenstein</w:t>
      </w:r>
      <w:r w:rsidRPr="006306B5">
        <w:rPr>
          <w:rFonts w:ascii="Times New Roman" w:eastAsia="Times New Roman" w:hAnsi="Times New Roman" w:cs="Times New Roman"/>
          <w:sz w:val="21"/>
          <w:szCs w:val="21"/>
          <w:lang w:eastAsia="en-AU"/>
        </w:rPr>
        <w:t>, </w:t>
      </w:r>
      <w:r w:rsidRPr="006306B5">
        <w:rPr>
          <w:rFonts w:ascii="Helvetica" w:eastAsia="Times New Roman" w:hAnsi="Helvetica" w:cs="Helvetica"/>
          <w:i/>
          <w:iCs/>
          <w:sz w:val="21"/>
          <w:szCs w:val="21"/>
          <w:lang w:eastAsia="en-AU"/>
        </w:rPr>
        <w:t>Paradise Lost</w:t>
      </w:r>
      <w:r w:rsidRPr="006306B5">
        <w:rPr>
          <w:rFonts w:ascii="Times New Roman" w:eastAsia="Times New Roman" w:hAnsi="Times New Roman" w:cs="Times New Roman"/>
          <w:sz w:val="21"/>
          <w:szCs w:val="21"/>
          <w:lang w:eastAsia="en-AU"/>
        </w:rPr>
        <w:t>, and ‘The Majesty of Goodness.’” </w:t>
      </w:r>
      <w:r w:rsidRPr="006306B5">
        <w:rPr>
          <w:rFonts w:ascii="Helvetica" w:eastAsia="Times New Roman" w:hAnsi="Helvetica" w:cs="Helvetica"/>
          <w:i/>
          <w:iCs/>
          <w:sz w:val="21"/>
          <w:szCs w:val="21"/>
          <w:lang w:eastAsia="en-AU"/>
        </w:rPr>
        <w:t>College Literature</w:t>
      </w:r>
      <w:r w:rsidRPr="006306B5">
        <w:rPr>
          <w:rFonts w:ascii="Times New Roman" w:eastAsia="Times New Roman" w:hAnsi="Times New Roman" w:cs="Times New Roman"/>
          <w:sz w:val="21"/>
          <w:szCs w:val="21"/>
          <w:lang w:eastAsia="en-AU"/>
        </w:rPr>
        <w:t> 16.3 (1989): 255-60.</w:t>
      </w:r>
    </w:p>
    <w:p w14:paraId="7C21C04E" w14:textId="77777777" w:rsidR="006306B5" w:rsidRPr="006306B5" w:rsidRDefault="00213400" w:rsidP="006306B5">
      <w:pPr>
        <w:spacing w:after="120" w:line="240" w:lineRule="auto"/>
        <w:rPr>
          <w:rFonts w:ascii="Times New Roman" w:eastAsia="Times New Roman" w:hAnsi="Times New Roman" w:cs="Times New Roman"/>
          <w:sz w:val="18"/>
          <w:szCs w:val="18"/>
          <w:lang w:eastAsia="en-AU"/>
        </w:rPr>
      </w:pPr>
      <w:hyperlink r:id="rId87" w:tgtFrame="_blank" w:history="1">
        <w:r w:rsidR="006306B5" w:rsidRPr="006306B5">
          <w:rPr>
            <w:rFonts w:ascii="Times New Roman" w:eastAsia="Times New Roman" w:hAnsi="Times New Roman" w:cs="Times New Roman"/>
            <w:color w:val="000000"/>
            <w:sz w:val="18"/>
            <w:szCs w:val="18"/>
            <w:lang w:eastAsia="en-AU"/>
          </w:rPr>
          <w:t>Google Scholar</w:t>
        </w:r>
      </w:hyperlink>
    </w:p>
    <w:p w14:paraId="35DB5EDB" w14:textId="77777777" w:rsidR="006306B5" w:rsidRPr="006306B5" w:rsidRDefault="006306B5" w:rsidP="006306B5">
      <w:pPr>
        <w:numPr>
          <w:ilvl w:val="0"/>
          <w:numId w:val="3"/>
        </w:numPr>
        <w:spacing w:after="0" w:line="240" w:lineRule="auto"/>
        <w:ind w:left="1122"/>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Prince, Gerald. </w:t>
      </w:r>
      <w:r w:rsidRPr="006306B5">
        <w:rPr>
          <w:rFonts w:ascii="Helvetica" w:eastAsia="Times New Roman" w:hAnsi="Helvetica" w:cs="Helvetica"/>
          <w:i/>
          <w:iCs/>
          <w:sz w:val="21"/>
          <w:szCs w:val="21"/>
          <w:lang w:eastAsia="en-AU"/>
        </w:rPr>
        <w:t>A Dictionary of Narratology</w:t>
      </w:r>
      <w:r w:rsidRPr="006306B5">
        <w:rPr>
          <w:rFonts w:ascii="Times New Roman" w:eastAsia="Times New Roman" w:hAnsi="Times New Roman" w:cs="Times New Roman"/>
          <w:sz w:val="21"/>
          <w:szCs w:val="21"/>
          <w:lang w:eastAsia="en-AU"/>
        </w:rPr>
        <w:t> . Lincoln: U of Nebraska P, 1987.</w:t>
      </w:r>
    </w:p>
    <w:p w14:paraId="3BD2CE67" w14:textId="77777777" w:rsidR="006306B5" w:rsidRPr="006306B5" w:rsidRDefault="00213400" w:rsidP="006306B5">
      <w:pPr>
        <w:spacing w:after="120" w:line="240" w:lineRule="auto"/>
        <w:rPr>
          <w:rFonts w:ascii="Times New Roman" w:eastAsia="Times New Roman" w:hAnsi="Times New Roman" w:cs="Times New Roman"/>
          <w:sz w:val="18"/>
          <w:szCs w:val="18"/>
          <w:lang w:eastAsia="en-AU"/>
        </w:rPr>
      </w:pPr>
      <w:hyperlink r:id="rId88" w:tgtFrame="_blank" w:history="1">
        <w:r w:rsidR="006306B5" w:rsidRPr="006306B5">
          <w:rPr>
            <w:rFonts w:ascii="Times New Roman" w:eastAsia="Times New Roman" w:hAnsi="Times New Roman" w:cs="Times New Roman"/>
            <w:color w:val="000000"/>
            <w:sz w:val="18"/>
            <w:szCs w:val="18"/>
            <w:lang w:eastAsia="en-AU"/>
          </w:rPr>
          <w:t>Google Scholar</w:t>
        </w:r>
      </w:hyperlink>
    </w:p>
    <w:p w14:paraId="21450CE7" w14:textId="77777777" w:rsidR="006306B5" w:rsidRPr="006306B5" w:rsidRDefault="006306B5" w:rsidP="006306B5">
      <w:pPr>
        <w:numPr>
          <w:ilvl w:val="0"/>
          <w:numId w:val="3"/>
        </w:numPr>
        <w:spacing w:after="0" w:line="240" w:lineRule="auto"/>
        <w:ind w:left="1122"/>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 </w:t>
      </w:r>
      <w:r w:rsidRPr="006306B5">
        <w:rPr>
          <w:rFonts w:ascii="Helvetica" w:eastAsia="Times New Roman" w:hAnsi="Helvetica" w:cs="Helvetica"/>
          <w:i/>
          <w:iCs/>
          <w:sz w:val="21"/>
          <w:szCs w:val="21"/>
          <w:lang w:eastAsia="en-AU"/>
        </w:rPr>
        <w:t>A Grammar of Stories</w:t>
      </w:r>
      <w:r w:rsidRPr="006306B5">
        <w:rPr>
          <w:rFonts w:ascii="Times New Roman" w:eastAsia="Times New Roman" w:hAnsi="Times New Roman" w:cs="Times New Roman"/>
          <w:sz w:val="21"/>
          <w:szCs w:val="21"/>
          <w:lang w:eastAsia="en-AU"/>
        </w:rPr>
        <w:t>. The Hague: Mouton, 1973.</w:t>
      </w:r>
    </w:p>
    <w:p w14:paraId="710CB855" w14:textId="77777777" w:rsidR="006306B5" w:rsidRPr="006306B5" w:rsidRDefault="00213400" w:rsidP="006306B5">
      <w:pPr>
        <w:spacing w:after="120" w:line="240" w:lineRule="auto"/>
        <w:rPr>
          <w:rFonts w:ascii="Times New Roman" w:eastAsia="Times New Roman" w:hAnsi="Times New Roman" w:cs="Times New Roman"/>
          <w:sz w:val="18"/>
          <w:szCs w:val="18"/>
          <w:lang w:eastAsia="en-AU"/>
        </w:rPr>
      </w:pPr>
      <w:hyperlink r:id="rId89" w:tgtFrame="_blank" w:history="1">
        <w:r w:rsidR="006306B5" w:rsidRPr="006306B5">
          <w:rPr>
            <w:rFonts w:ascii="Times New Roman" w:eastAsia="Times New Roman" w:hAnsi="Times New Roman" w:cs="Times New Roman"/>
            <w:color w:val="000000"/>
            <w:sz w:val="18"/>
            <w:szCs w:val="18"/>
            <w:lang w:eastAsia="en-AU"/>
          </w:rPr>
          <w:t>Google Scholar</w:t>
        </w:r>
      </w:hyperlink>
    </w:p>
    <w:p w14:paraId="10087A7C" w14:textId="77777777" w:rsidR="006306B5" w:rsidRPr="006306B5" w:rsidRDefault="006306B5" w:rsidP="006306B5">
      <w:pPr>
        <w:numPr>
          <w:ilvl w:val="0"/>
          <w:numId w:val="3"/>
        </w:numPr>
        <w:spacing w:after="0" w:line="240" w:lineRule="auto"/>
        <w:ind w:left="1122"/>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Shelley, Mary Wollstonecraft. </w:t>
      </w:r>
      <w:r w:rsidRPr="006306B5">
        <w:rPr>
          <w:rFonts w:ascii="Helvetica" w:eastAsia="Times New Roman" w:hAnsi="Helvetica" w:cs="Helvetica"/>
          <w:i/>
          <w:iCs/>
          <w:sz w:val="21"/>
          <w:szCs w:val="21"/>
          <w:lang w:eastAsia="en-AU"/>
        </w:rPr>
        <w:t>Frankenstein; or, The Modern Prometheus</w:t>
      </w:r>
      <w:r w:rsidRPr="006306B5">
        <w:rPr>
          <w:rFonts w:ascii="Times New Roman" w:eastAsia="Times New Roman" w:hAnsi="Times New Roman" w:cs="Times New Roman"/>
          <w:sz w:val="21"/>
          <w:szCs w:val="21"/>
          <w:lang w:eastAsia="en-AU"/>
        </w:rPr>
        <w:t>. 1818; 1831. Ed. M. K. Joseph. Oxford: Oxford UP, 1969.</w:t>
      </w:r>
    </w:p>
    <w:p w14:paraId="304FA636" w14:textId="77777777" w:rsidR="006306B5" w:rsidRPr="006306B5" w:rsidRDefault="00213400" w:rsidP="006306B5">
      <w:pPr>
        <w:spacing w:after="120" w:line="240" w:lineRule="auto"/>
        <w:rPr>
          <w:rFonts w:ascii="Times New Roman" w:eastAsia="Times New Roman" w:hAnsi="Times New Roman" w:cs="Times New Roman"/>
          <w:sz w:val="18"/>
          <w:szCs w:val="18"/>
          <w:lang w:eastAsia="en-AU"/>
        </w:rPr>
      </w:pPr>
      <w:hyperlink r:id="rId90" w:tgtFrame="_blank" w:history="1">
        <w:r w:rsidR="006306B5" w:rsidRPr="006306B5">
          <w:rPr>
            <w:rFonts w:ascii="Times New Roman" w:eastAsia="Times New Roman" w:hAnsi="Times New Roman" w:cs="Times New Roman"/>
            <w:color w:val="000000"/>
            <w:sz w:val="18"/>
            <w:szCs w:val="18"/>
            <w:lang w:eastAsia="en-AU"/>
          </w:rPr>
          <w:t>Google Scholar</w:t>
        </w:r>
      </w:hyperlink>
    </w:p>
    <w:p w14:paraId="7AA8442C" w14:textId="77777777" w:rsidR="006306B5" w:rsidRPr="006306B5" w:rsidRDefault="006306B5" w:rsidP="006306B5">
      <w:pPr>
        <w:numPr>
          <w:ilvl w:val="0"/>
          <w:numId w:val="3"/>
        </w:numPr>
        <w:spacing w:after="0" w:line="240" w:lineRule="auto"/>
        <w:ind w:left="1122"/>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 </w:t>
      </w:r>
      <w:r w:rsidRPr="006306B5">
        <w:rPr>
          <w:rFonts w:ascii="Helvetica" w:eastAsia="Times New Roman" w:hAnsi="Helvetica" w:cs="Helvetica"/>
          <w:i/>
          <w:iCs/>
          <w:sz w:val="21"/>
          <w:szCs w:val="21"/>
          <w:lang w:eastAsia="en-AU"/>
        </w:rPr>
        <w:t>The Journals of Mary Shelley, 1814-1844</w:t>
      </w:r>
      <w:r w:rsidRPr="006306B5">
        <w:rPr>
          <w:rFonts w:ascii="Times New Roman" w:eastAsia="Times New Roman" w:hAnsi="Times New Roman" w:cs="Times New Roman"/>
          <w:sz w:val="21"/>
          <w:szCs w:val="21"/>
          <w:lang w:eastAsia="en-AU"/>
        </w:rPr>
        <w:t>. Ed. Paula R. Feldman and Diana Scott-Kilvert. 2 vols. Oxford: Clarendon, 1987.</w:t>
      </w:r>
    </w:p>
    <w:p w14:paraId="244C5508" w14:textId="77777777" w:rsidR="006306B5" w:rsidRPr="006306B5" w:rsidRDefault="00213400" w:rsidP="006306B5">
      <w:pPr>
        <w:spacing w:after="120" w:line="240" w:lineRule="auto"/>
        <w:rPr>
          <w:rFonts w:ascii="Times New Roman" w:eastAsia="Times New Roman" w:hAnsi="Times New Roman" w:cs="Times New Roman"/>
          <w:sz w:val="18"/>
          <w:szCs w:val="18"/>
          <w:lang w:eastAsia="en-AU"/>
        </w:rPr>
      </w:pPr>
      <w:hyperlink r:id="rId91" w:tgtFrame="_blank" w:history="1">
        <w:r w:rsidR="006306B5" w:rsidRPr="006306B5">
          <w:rPr>
            <w:rFonts w:ascii="Times New Roman" w:eastAsia="Times New Roman" w:hAnsi="Times New Roman" w:cs="Times New Roman"/>
            <w:color w:val="000000"/>
            <w:sz w:val="18"/>
            <w:szCs w:val="18"/>
            <w:lang w:eastAsia="en-AU"/>
          </w:rPr>
          <w:t>Google Scholar</w:t>
        </w:r>
      </w:hyperlink>
    </w:p>
    <w:p w14:paraId="1F66CFED" w14:textId="77777777" w:rsidR="006306B5" w:rsidRPr="006306B5" w:rsidRDefault="006306B5" w:rsidP="006306B5">
      <w:pPr>
        <w:numPr>
          <w:ilvl w:val="0"/>
          <w:numId w:val="3"/>
        </w:numPr>
        <w:spacing w:after="0" w:line="240" w:lineRule="auto"/>
        <w:ind w:left="1122"/>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Small, Christopher. </w:t>
      </w:r>
      <w:r w:rsidRPr="006306B5">
        <w:rPr>
          <w:rFonts w:ascii="Helvetica" w:eastAsia="Times New Roman" w:hAnsi="Helvetica" w:cs="Helvetica"/>
          <w:i/>
          <w:iCs/>
          <w:sz w:val="21"/>
          <w:szCs w:val="21"/>
          <w:lang w:eastAsia="en-AU"/>
        </w:rPr>
        <w:t>Mary Shelley’s </w:t>
      </w:r>
      <w:r w:rsidRPr="006306B5">
        <w:rPr>
          <w:rFonts w:ascii="Times New Roman" w:eastAsia="Times New Roman" w:hAnsi="Times New Roman" w:cs="Times New Roman"/>
          <w:sz w:val="21"/>
          <w:szCs w:val="21"/>
          <w:lang w:eastAsia="en-AU"/>
        </w:rPr>
        <w:t>Frankenstein</w:t>
      </w:r>
      <w:r w:rsidRPr="006306B5">
        <w:rPr>
          <w:rFonts w:ascii="Helvetica" w:eastAsia="Times New Roman" w:hAnsi="Helvetica" w:cs="Helvetica"/>
          <w:i/>
          <w:iCs/>
          <w:sz w:val="21"/>
          <w:szCs w:val="21"/>
          <w:lang w:eastAsia="en-AU"/>
        </w:rPr>
        <w:t>: Tracing the Myth</w:t>
      </w:r>
      <w:r w:rsidRPr="006306B5">
        <w:rPr>
          <w:rFonts w:ascii="Times New Roman" w:eastAsia="Times New Roman" w:hAnsi="Times New Roman" w:cs="Times New Roman"/>
          <w:sz w:val="21"/>
          <w:szCs w:val="21"/>
          <w:lang w:eastAsia="en-AU"/>
        </w:rPr>
        <w:t>. Pittsburgh: U of Pittsburgh P, 1973.</w:t>
      </w:r>
    </w:p>
    <w:p w14:paraId="46437D88" w14:textId="77777777" w:rsidR="006306B5" w:rsidRPr="006306B5" w:rsidRDefault="00213400" w:rsidP="006306B5">
      <w:pPr>
        <w:spacing w:after="120" w:line="240" w:lineRule="auto"/>
        <w:rPr>
          <w:rFonts w:ascii="Times New Roman" w:eastAsia="Times New Roman" w:hAnsi="Times New Roman" w:cs="Times New Roman"/>
          <w:sz w:val="18"/>
          <w:szCs w:val="18"/>
          <w:lang w:eastAsia="en-AU"/>
        </w:rPr>
      </w:pPr>
      <w:hyperlink r:id="rId92" w:tgtFrame="_blank" w:history="1">
        <w:r w:rsidR="006306B5" w:rsidRPr="006306B5">
          <w:rPr>
            <w:rFonts w:ascii="Times New Roman" w:eastAsia="Times New Roman" w:hAnsi="Times New Roman" w:cs="Times New Roman"/>
            <w:color w:val="000000"/>
            <w:sz w:val="18"/>
            <w:szCs w:val="18"/>
            <w:lang w:eastAsia="en-AU"/>
          </w:rPr>
          <w:t>Google Scholar</w:t>
        </w:r>
      </w:hyperlink>
    </w:p>
    <w:p w14:paraId="26339A5B" w14:textId="77777777" w:rsidR="006306B5" w:rsidRPr="006306B5" w:rsidRDefault="006306B5" w:rsidP="006306B5">
      <w:pPr>
        <w:numPr>
          <w:ilvl w:val="0"/>
          <w:numId w:val="3"/>
        </w:numPr>
        <w:spacing w:after="0" w:line="240" w:lineRule="auto"/>
        <w:ind w:left="1122"/>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Soyka, David. “</w:t>
      </w:r>
      <w:r w:rsidRPr="006306B5">
        <w:rPr>
          <w:rFonts w:ascii="Helvetica" w:eastAsia="Times New Roman" w:hAnsi="Helvetica" w:cs="Helvetica"/>
          <w:i/>
          <w:iCs/>
          <w:sz w:val="21"/>
          <w:szCs w:val="21"/>
          <w:lang w:eastAsia="en-AU"/>
        </w:rPr>
        <w:t>Frankenstein</w:t>
      </w:r>
      <w:r w:rsidRPr="006306B5">
        <w:rPr>
          <w:rFonts w:ascii="Times New Roman" w:eastAsia="Times New Roman" w:hAnsi="Times New Roman" w:cs="Times New Roman"/>
          <w:sz w:val="21"/>
          <w:szCs w:val="21"/>
          <w:lang w:eastAsia="en-AU"/>
        </w:rPr>
        <w:t> and the Miltonic Creation of Evil.” </w:t>
      </w:r>
      <w:r w:rsidRPr="006306B5">
        <w:rPr>
          <w:rFonts w:ascii="Helvetica" w:eastAsia="Times New Roman" w:hAnsi="Helvetica" w:cs="Helvetica"/>
          <w:i/>
          <w:iCs/>
          <w:sz w:val="21"/>
          <w:szCs w:val="21"/>
          <w:lang w:eastAsia="en-AU"/>
        </w:rPr>
        <w:t>Extrapolation</w:t>
      </w:r>
      <w:r w:rsidRPr="006306B5">
        <w:rPr>
          <w:rFonts w:ascii="Times New Roman" w:eastAsia="Times New Roman" w:hAnsi="Times New Roman" w:cs="Times New Roman"/>
          <w:sz w:val="21"/>
          <w:szCs w:val="21"/>
          <w:lang w:eastAsia="en-AU"/>
        </w:rPr>
        <w:t> 33.2 (1992): 166-77.</w:t>
      </w:r>
    </w:p>
    <w:p w14:paraId="24B567A2" w14:textId="77777777" w:rsidR="006306B5" w:rsidRPr="006306B5" w:rsidRDefault="00213400" w:rsidP="006306B5">
      <w:pPr>
        <w:spacing w:after="120" w:line="240" w:lineRule="auto"/>
        <w:rPr>
          <w:rFonts w:ascii="Times New Roman" w:eastAsia="Times New Roman" w:hAnsi="Times New Roman" w:cs="Times New Roman"/>
          <w:sz w:val="18"/>
          <w:szCs w:val="18"/>
          <w:lang w:eastAsia="en-AU"/>
        </w:rPr>
      </w:pPr>
      <w:hyperlink r:id="rId93" w:tgtFrame="_blank" w:history="1">
        <w:r w:rsidR="006306B5" w:rsidRPr="006306B5">
          <w:rPr>
            <w:rFonts w:ascii="Times New Roman" w:eastAsia="Times New Roman" w:hAnsi="Times New Roman" w:cs="Times New Roman"/>
            <w:color w:val="000000"/>
            <w:sz w:val="18"/>
            <w:szCs w:val="18"/>
            <w:lang w:eastAsia="en-AU"/>
          </w:rPr>
          <w:t>Google Scholar</w:t>
        </w:r>
      </w:hyperlink>
    </w:p>
    <w:p w14:paraId="5E556BC5" w14:textId="77777777" w:rsidR="006306B5" w:rsidRPr="006306B5" w:rsidRDefault="006306B5" w:rsidP="006306B5">
      <w:pPr>
        <w:numPr>
          <w:ilvl w:val="0"/>
          <w:numId w:val="3"/>
        </w:numPr>
        <w:spacing w:after="0" w:line="240" w:lineRule="auto"/>
        <w:ind w:left="1122"/>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Suvin, Darko. </w:t>
      </w:r>
      <w:r w:rsidRPr="006306B5">
        <w:rPr>
          <w:rFonts w:ascii="Helvetica" w:eastAsia="Times New Roman" w:hAnsi="Helvetica" w:cs="Helvetica"/>
          <w:i/>
          <w:iCs/>
          <w:sz w:val="21"/>
          <w:szCs w:val="21"/>
          <w:lang w:eastAsia="en-AU"/>
        </w:rPr>
        <w:t>Metamorphosis of Science Fiction</w:t>
      </w:r>
      <w:r w:rsidRPr="006306B5">
        <w:rPr>
          <w:rFonts w:ascii="Times New Roman" w:eastAsia="Times New Roman" w:hAnsi="Times New Roman" w:cs="Times New Roman"/>
          <w:sz w:val="21"/>
          <w:szCs w:val="21"/>
          <w:lang w:eastAsia="en-AU"/>
        </w:rPr>
        <w:t>. New Haven, CT: Yale UP, 1979.</w:t>
      </w:r>
    </w:p>
    <w:p w14:paraId="0E144E12" w14:textId="77777777" w:rsidR="006306B5" w:rsidRPr="006306B5" w:rsidRDefault="00213400" w:rsidP="006306B5">
      <w:pPr>
        <w:spacing w:after="120" w:line="240" w:lineRule="auto"/>
        <w:rPr>
          <w:rFonts w:ascii="Times New Roman" w:eastAsia="Times New Roman" w:hAnsi="Times New Roman" w:cs="Times New Roman"/>
          <w:sz w:val="18"/>
          <w:szCs w:val="18"/>
          <w:lang w:eastAsia="en-AU"/>
        </w:rPr>
      </w:pPr>
      <w:hyperlink r:id="rId94" w:tgtFrame="_blank" w:history="1">
        <w:r w:rsidR="006306B5" w:rsidRPr="006306B5">
          <w:rPr>
            <w:rFonts w:ascii="Times New Roman" w:eastAsia="Times New Roman" w:hAnsi="Times New Roman" w:cs="Times New Roman"/>
            <w:color w:val="000000"/>
            <w:sz w:val="18"/>
            <w:szCs w:val="18"/>
            <w:lang w:eastAsia="en-AU"/>
          </w:rPr>
          <w:t>Google Scholar</w:t>
        </w:r>
      </w:hyperlink>
    </w:p>
    <w:p w14:paraId="3C03B26D" w14:textId="77777777" w:rsidR="006306B5" w:rsidRPr="006306B5" w:rsidRDefault="006306B5" w:rsidP="006306B5">
      <w:pPr>
        <w:numPr>
          <w:ilvl w:val="0"/>
          <w:numId w:val="3"/>
        </w:numPr>
        <w:spacing w:after="0" w:line="240" w:lineRule="auto"/>
        <w:ind w:left="1122"/>
        <w:rPr>
          <w:rFonts w:ascii="Times New Roman" w:eastAsia="Times New Roman" w:hAnsi="Times New Roman" w:cs="Times New Roman"/>
          <w:sz w:val="21"/>
          <w:szCs w:val="21"/>
          <w:lang w:eastAsia="en-AU"/>
        </w:rPr>
      </w:pPr>
      <w:r w:rsidRPr="006306B5">
        <w:rPr>
          <w:rFonts w:ascii="Times New Roman" w:eastAsia="Times New Roman" w:hAnsi="Times New Roman" w:cs="Times New Roman"/>
          <w:sz w:val="21"/>
          <w:szCs w:val="21"/>
          <w:lang w:eastAsia="en-AU"/>
        </w:rPr>
        <w:t>Wolf, Leonard, ed. </w:t>
      </w:r>
      <w:r w:rsidRPr="006306B5">
        <w:rPr>
          <w:rFonts w:ascii="Helvetica" w:eastAsia="Times New Roman" w:hAnsi="Helvetica" w:cs="Helvetica"/>
          <w:i/>
          <w:iCs/>
          <w:sz w:val="21"/>
          <w:szCs w:val="21"/>
          <w:lang w:eastAsia="en-AU"/>
        </w:rPr>
        <w:t>The Essential </w:t>
      </w:r>
      <w:r w:rsidRPr="006306B5">
        <w:rPr>
          <w:rFonts w:ascii="Times New Roman" w:eastAsia="Times New Roman" w:hAnsi="Times New Roman" w:cs="Times New Roman"/>
          <w:sz w:val="21"/>
          <w:szCs w:val="21"/>
          <w:lang w:eastAsia="en-AU"/>
        </w:rPr>
        <w:t>Frankenstein. New York: Plume, 1993.</w:t>
      </w:r>
    </w:p>
    <w:p w14:paraId="74E0C7AD" w14:textId="77777777" w:rsidR="006306B5" w:rsidRPr="006306B5" w:rsidRDefault="00213400" w:rsidP="006306B5">
      <w:pPr>
        <w:spacing w:after="120" w:line="240" w:lineRule="auto"/>
        <w:rPr>
          <w:rFonts w:ascii="Times New Roman" w:eastAsia="Times New Roman" w:hAnsi="Times New Roman" w:cs="Times New Roman"/>
          <w:sz w:val="18"/>
          <w:szCs w:val="18"/>
          <w:lang w:eastAsia="en-AU"/>
        </w:rPr>
      </w:pPr>
      <w:hyperlink r:id="rId95" w:tgtFrame="_blank" w:history="1">
        <w:r w:rsidR="006306B5" w:rsidRPr="006306B5">
          <w:rPr>
            <w:rFonts w:ascii="Times New Roman" w:eastAsia="Times New Roman" w:hAnsi="Times New Roman" w:cs="Times New Roman"/>
            <w:color w:val="000000"/>
            <w:sz w:val="18"/>
            <w:szCs w:val="18"/>
            <w:lang w:eastAsia="en-AU"/>
          </w:rPr>
          <w:t>Google Scholar</w:t>
        </w:r>
      </w:hyperlink>
    </w:p>
    <w:sectPr w:rsidR="006306B5" w:rsidRPr="006306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1F0ED0"/>
    <w:multiLevelType w:val="multilevel"/>
    <w:tmpl w:val="01AA2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7F04F4"/>
    <w:multiLevelType w:val="multilevel"/>
    <w:tmpl w:val="5150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773B6F"/>
    <w:multiLevelType w:val="multilevel"/>
    <w:tmpl w:val="8530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372986"/>
    <w:multiLevelType w:val="multilevel"/>
    <w:tmpl w:val="6AAA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103F75"/>
    <w:multiLevelType w:val="multilevel"/>
    <w:tmpl w:val="6ACC9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93761F"/>
    <w:multiLevelType w:val="multilevel"/>
    <w:tmpl w:val="9CCC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89104C"/>
    <w:multiLevelType w:val="multilevel"/>
    <w:tmpl w:val="BDD65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6"/>
  </w:num>
  <w:num w:numId="4">
    <w:abstractNumId w:val="1"/>
  </w:num>
  <w:num w:numId="5">
    <w:abstractNumId w:val="2"/>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06B5"/>
    <w:rsid w:val="00213400"/>
    <w:rsid w:val="006306B5"/>
    <w:rsid w:val="007C0A9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D9AAE"/>
  <w15:chartTrackingRefBased/>
  <w15:docId w15:val="{19B936B3-872A-4E8E-B262-2E6D4E09B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306B5"/>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6306B5"/>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306B5"/>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6306B5"/>
    <w:rPr>
      <w:rFonts w:ascii="Times New Roman" w:eastAsia="Times New Roman" w:hAnsi="Times New Roman" w:cs="Times New Roman"/>
      <w:b/>
      <w:bCs/>
      <w:sz w:val="27"/>
      <w:szCs w:val="27"/>
      <w:lang w:eastAsia="en-AU"/>
    </w:rPr>
  </w:style>
  <w:style w:type="paragraph" w:customStyle="1" w:styleId="msonormal0">
    <w:name w:val="msonormal"/>
    <w:basedOn w:val="Normal"/>
    <w:rsid w:val="006306B5"/>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alinea">
    <w:name w:val="alinea"/>
    <w:basedOn w:val="Normal"/>
    <w:rsid w:val="006306B5"/>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6306B5"/>
    <w:rPr>
      <w:i/>
      <w:iCs/>
    </w:rPr>
  </w:style>
  <w:style w:type="character" w:styleId="Hyperlink">
    <w:name w:val="Hyperlink"/>
    <w:basedOn w:val="DefaultParagraphFont"/>
    <w:uiPriority w:val="99"/>
    <w:semiHidden/>
    <w:unhideWhenUsed/>
    <w:rsid w:val="006306B5"/>
    <w:rPr>
      <w:color w:val="0000FF"/>
      <w:u w:val="single"/>
    </w:rPr>
  </w:style>
  <w:style w:type="character" w:styleId="FollowedHyperlink">
    <w:name w:val="FollowedHyperlink"/>
    <w:basedOn w:val="DefaultParagraphFont"/>
    <w:uiPriority w:val="99"/>
    <w:semiHidden/>
    <w:unhideWhenUsed/>
    <w:rsid w:val="006306B5"/>
    <w:rPr>
      <w:color w:val="800080"/>
      <w:u w:val="single"/>
    </w:rPr>
  </w:style>
  <w:style w:type="character" w:styleId="HTMLCite">
    <w:name w:val="HTML Cite"/>
    <w:basedOn w:val="DefaultParagraphFont"/>
    <w:uiPriority w:val="99"/>
    <w:semiHidden/>
    <w:unhideWhenUsed/>
    <w:rsid w:val="006306B5"/>
    <w:rPr>
      <w:i/>
      <w:iCs/>
    </w:rPr>
  </w:style>
  <w:style w:type="paragraph" w:customStyle="1" w:styleId="cardmetadata">
    <w:name w:val="card__metadata"/>
    <w:basedOn w:val="Normal"/>
    <w:rsid w:val="006306B5"/>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arrow">
    <w:name w:val="arrow"/>
    <w:basedOn w:val="DefaultParagraphFont"/>
    <w:rsid w:val="006306B5"/>
  </w:style>
  <w:style w:type="paragraph" w:styleId="z-TopofForm">
    <w:name w:val="HTML Top of Form"/>
    <w:basedOn w:val="Normal"/>
    <w:next w:val="Normal"/>
    <w:link w:val="z-TopofFormChar"/>
    <w:hidden/>
    <w:uiPriority w:val="99"/>
    <w:semiHidden/>
    <w:unhideWhenUsed/>
    <w:rsid w:val="006306B5"/>
    <w:pPr>
      <w:pBdr>
        <w:bottom w:val="single" w:sz="6" w:space="1" w:color="auto"/>
      </w:pBdr>
      <w:spacing w:after="0" w:line="240" w:lineRule="auto"/>
      <w:jc w:val="center"/>
    </w:pPr>
    <w:rPr>
      <w:rFonts w:ascii="Arial" w:eastAsia="Times New Roman" w:hAnsi="Arial" w:cs="Arial"/>
      <w:vanish/>
      <w:sz w:val="16"/>
      <w:szCs w:val="16"/>
      <w:lang w:eastAsia="en-AU"/>
    </w:rPr>
  </w:style>
  <w:style w:type="character" w:customStyle="1" w:styleId="z-TopofFormChar">
    <w:name w:val="z-Top of Form Char"/>
    <w:basedOn w:val="DefaultParagraphFont"/>
    <w:link w:val="z-TopofForm"/>
    <w:uiPriority w:val="99"/>
    <w:semiHidden/>
    <w:rsid w:val="006306B5"/>
    <w:rPr>
      <w:rFonts w:ascii="Arial" w:eastAsia="Times New Roman" w:hAnsi="Arial" w:cs="Arial"/>
      <w:vanish/>
      <w:sz w:val="16"/>
      <w:szCs w:val="16"/>
      <w:lang w:eastAsia="en-AU"/>
    </w:rPr>
  </w:style>
  <w:style w:type="paragraph" w:styleId="z-BottomofForm">
    <w:name w:val="HTML Bottom of Form"/>
    <w:basedOn w:val="Normal"/>
    <w:next w:val="Normal"/>
    <w:link w:val="z-BottomofFormChar"/>
    <w:hidden/>
    <w:uiPriority w:val="99"/>
    <w:semiHidden/>
    <w:unhideWhenUsed/>
    <w:rsid w:val="006306B5"/>
    <w:pPr>
      <w:pBdr>
        <w:top w:val="single" w:sz="6" w:space="1" w:color="auto"/>
      </w:pBdr>
      <w:spacing w:after="0" w:line="240" w:lineRule="auto"/>
      <w:jc w:val="center"/>
    </w:pPr>
    <w:rPr>
      <w:rFonts w:ascii="Arial" w:eastAsia="Times New Roman" w:hAnsi="Arial" w:cs="Arial"/>
      <w:vanish/>
      <w:sz w:val="16"/>
      <w:szCs w:val="16"/>
      <w:lang w:eastAsia="en-AU"/>
    </w:rPr>
  </w:style>
  <w:style w:type="character" w:customStyle="1" w:styleId="z-BottomofFormChar">
    <w:name w:val="z-Bottom of Form Char"/>
    <w:basedOn w:val="DefaultParagraphFont"/>
    <w:link w:val="z-BottomofForm"/>
    <w:uiPriority w:val="99"/>
    <w:semiHidden/>
    <w:rsid w:val="006306B5"/>
    <w:rPr>
      <w:rFonts w:ascii="Arial" w:eastAsia="Times New Roman" w:hAnsi="Arial" w:cs="Arial"/>
      <w:vanish/>
      <w:sz w:val="16"/>
      <w:szCs w:val="16"/>
      <w:lang w:eastAsia="en-AU"/>
    </w:rPr>
  </w:style>
  <w:style w:type="character" w:customStyle="1" w:styleId="erudit-headline">
    <w:name w:val="erudit-headline"/>
    <w:basedOn w:val="DefaultParagraphFont"/>
    <w:rsid w:val="006306B5"/>
  </w:style>
  <w:style w:type="paragraph" w:styleId="NormalWeb">
    <w:name w:val="Normal (Web)"/>
    <w:basedOn w:val="Normal"/>
    <w:uiPriority w:val="99"/>
    <w:semiHidden/>
    <w:unhideWhenUsed/>
    <w:rsid w:val="006306B5"/>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7283471">
      <w:bodyDiv w:val="1"/>
      <w:marLeft w:val="0"/>
      <w:marRight w:val="0"/>
      <w:marTop w:val="0"/>
      <w:marBottom w:val="0"/>
      <w:divBdr>
        <w:top w:val="none" w:sz="0" w:space="0" w:color="auto"/>
        <w:left w:val="none" w:sz="0" w:space="0" w:color="auto"/>
        <w:bottom w:val="none" w:sz="0" w:space="0" w:color="auto"/>
        <w:right w:val="none" w:sz="0" w:space="0" w:color="auto"/>
      </w:divBdr>
      <w:divsChild>
        <w:div w:id="1918900358">
          <w:marLeft w:val="0"/>
          <w:marRight w:val="0"/>
          <w:marTop w:val="0"/>
          <w:marBottom w:val="0"/>
          <w:divBdr>
            <w:top w:val="none" w:sz="0" w:space="0" w:color="auto"/>
            <w:left w:val="none" w:sz="0" w:space="0" w:color="auto"/>
            <w:bottom w:val="none" w:sz="0" w:space="0" w:color="auto"/>
            <w:right w:val="none" w:sz="0" w:space="0" w:color="auto"/>
          </w:divBdr>
          <w:divsChild>
            <w:div w:id="1282229779">
              <w:marLeft w:val="-165"/>
              <w:marRight w:val="-165"/>
              <w:marTop w:val="0"/>
              <w:marBottom w:val="0"/>
              <w:divBdr>
                <w:top w:val="none" w:sz="0" w:space="0" w:color="auto"/>
                <w:left w:val="none" w:sz="0" w:space="0" w:color="auto"/>
                <w:bottom w:val="none" w:sz="0" w:space="0" w:color="auto"/>
                <w:right w:val="none" w:sz="0" w:space="0" w:color="auto"/>
              </w:divBdr>
              <w:divsChild>
                <w:div w:id="334504327">
                  <w:marLeft w:val="1452"/>
                  <w:marRight w:val="0"/>
                  <w:marTop w:val="0"/>
                  <w:marBottom w:val="0"/>
                  <w:divBdr>
                    <w:top w:val="none" w:sz="0" w:space="0" w:color="auto"/>
                    <w:left w:val="none" w:sz="0" w:space="0" w:color="auto"/>
                    <w:bottom w:val="none" w:sz="0" w:space="0" w:color="auto"/>
                    <w:right w:val="none" w:sz="0" w:space="0" w:color="auto"/>
                  </w:divBdr>
                  <w:divsChild>
                    <w:div w:id="1924681356">
                      <w:marLeft w:val="0"/>
                      <w:marRight w:val="0"/>
                      <w:marTop w:val="0"/>
                      <w:marBottom w:val="0"/>
                      <w:divBdr>
                        <w:top w:val="none" w:sz="0" w:space="0" w:color="auto"/>
                        <w:left w:val="none" w:sz="0" w:space="0" w:color="auto"/>
                        <w:bottom w:val="none" w:sz="0" w:space="0" w:color="auto"/>
                        <w:right w:val="none" w:sz="0" w:space="0" w:color="auto"/>
                      </w:divBdr>
                    </w:div>
                    <w:div w:id="1626350579">
                      <w:marLeft w:val="0"/>
                      <w:marRight w:val="0"/>
                      <w:marTop w:val="413"/>
                      <w:marBottom w:val="0"/>
                      <w:divBdr>
                        <w:top w:val="none" w:sz="0" w:space="0" w:color="auto"/>
                        <w:left w:val="none" w:sz="0" w:space="0" w:color="auto"/>
                        <w:bottom w:val="none" w:sz="0" w:space="0" w:color="auto"/>
                        <w:right w:val="none" w:sz="0" w:space="0" w:color="auto"/>
                      </w:divBdr>
                    </w:div>
                    <w:div w:id="843131158">
                      <w:marLeft w:val="0"/>
                      <w:marRight w:val="0"/>
                      <w:marTop w:val="413"/>
                      <w:marBottom w:val="0"/>
                      <w:divBdr>
                        <w:top w:val="none" w:sz="0" w:space="0" w:color="auto"/>
                        <w:left w:val="none" w:sz="0" w:space="0" w:color="auto"/>
                        <w:bottom w:val="none" w:sz="0" w:space="0" w:color="auto"/>
                        <w:right w:val="none" w:sz="0" w:space="0" w:color="auto"/>
                      </w:divBdr>
                    </w:div>
                    <w:div w:id="1481846195">
                      <w:marLeft w:val="0"/>
                      <w:marRight w:val="0"/>
                      <w:marTop w:val="413"/>
                      <w:marBottom w:val="0"/>
                      <w:divBdr>
                        <w:top w:val="none" w:sz="0" w:space="0" w:color="auto"/>
                        <w:left w:val="none" w:sz="0" w:space="0" w:color="auto"/>
                        <w:bottom w:val="none" w:sz="0" w:space="0" w:color="auto"/>
                        <w:right w:val="none" w:sz="0" w:space="0" w:color="auto"/>
                      </w:divBdr>
                    </w:div>
                    <w:div w:id="1182277744">
                      <w:marLeft w:val="0"/>
                      <w:marRight w:val="0"/>
                      <w:marTop w:val="0"/>
                      <w:marBottom w:val="0"/>
                      <w:divBdr>
                        <w:top w:val="none" w:sz="0" w:space="0" w:color="auto"/>
                        <w:left w:val="none" w:sz="0" w:space="0" w:color="auto"/>
                        <w:bottom w:val="none" w:sz="0" w:space="0" w:color="auto"/>
                        <w:right w:val="none" w:sz="0" w:space="0" w:color="auto"/>
                      </w:divBdr>
                    </w:div>
                    <w:div w:id="218903323">
                      <w:marLeft w:val="0"/>
                      <w:marRight w:val="0"/>
                      <w:marTop w:val="413"/>
                      <w:marBottom w:val="0"/>
                      <w:divBdr>
                        <w:top w:val="none" w:sz="0" w:space="0" w:color="auto"/>
                        <w:left w:val="none" w:sz="0" w:space="0" w:color="auto"/>
                        <w:bottom w:val="none" w:sz="0" w:space="0" w:color="auto"/>
                        <w:right w:val="none" w:sz="0" w:space="0" w:color="auto"/>
                      </w:divBdr>
                    </w:div>
                    <w:div w:id="833649380">
                      <w:marLeft w:val="0"/>
                      <w:marRight w:val="0"/>
                      <w:marTop w:val="413"/>
                      <w:marBottom w:val="0"/>
                      <w:divBdr>
                        <w:top w:val="none" w:sz="0" w:space="0" w:color="auto"/>
                        <w:left w:val="none" w:sz="0" w:space="0" w:color="auto"/>
                        <w:bottom w:val="none" w:sz="0" w:space="0" w:color="auto"/>
                        <w:right w:val="none" w:sz="0" w:space="0" w:color="auto"/>
                      </w:divBdr>
                    </w:div>
                    <w:div w:id="382827735">
                      <w:marLeft w:val="0"/>
                      <w:marRight w:val="0"/>
                      <w:marTop w:val="413"/>
                      <w:marBottom w:val="0"/>
                      <w:divBdr>
                        <w:top w:val="none" w:sz="0" w:space="0" w:color="auto"/>
                        <w:left w:val="none" w:sz="0" w:space="0" w:color="auto"/>
                        <w:bottom w:val="none" w:sz="0" w:space="0" w:color="auto"/>
                        <w:right w:val="none" w:sz="0" w:space="0" w:color="auto"/>
                      </w:divBdr>
                    </w:div>
                    <w:div w:id="1696078154">
                      <w:marLeft w:val="0"/>
                      <w:marRight w:val="0"/>
                      <w:marTop w:val="413"/>
                      <w:marBottom w:val="0"/>
                      <w:divBdr>
                        <w:top w:val="none" w:sz="0" w:space="0" w:color="auto"/>
                        <w:left w:val="none" w:sz="0" w:space="0" w:color="auto"/>
                        <w:bottom w:val="none" w:sz="0" w:space="0" w:color="auto"/>
                        <w:right w:val="none" w:sz="0" w:space="0" w:color="auto"/>
                      </w:divBdr>
                    </w:div>
                    <w:div w:id="1321422288">
                      <w:marLeft w:val="0"/>
                      <w:marRight w:val="0"/>
                      <w:marTop w:val="0"/>
                      <w:marBottom w:val="0"/>
                      <w:divBdr>
                        <w:top w:val="none" w:sz="0" w:space="0" w:color="auto"/>
                        <w:left w:val="none" w:sz="0" w:space="0" w:color="auto"/>
                        <w:bottom w:val="none" w:sz="0" w:space="0" w:color="auto"/>
                        <w:right w:val="none" w:sz="0" w:space="0" w:color="auto"/>
                      </w:divBdr>
                      <w:divsChild>
                        <w:div w:id="779883610">
                          <w:blockQuote w:val="1"/>
                          <w:marLeft w:val="230"/>
                          <w:marRight w:val="0"/>
                          <w:marTop w:val="413"/>
                          <w:marBottom w:val="413"/>
                          <w:divBdr>
                            <w:top w:val="none" w:sz="0" w:space="0" w:color="auto"/>
                            <w:left w:val="single" w:sz="6" w:space="31" w:color="CCCCCC"/>
                            <w:bottom w:val="none" w:sz="0" w:space="0" w:color="auto"/>
                            <w:right w:val="none" w:sz="0" w:space="0" w:color="auto"/>
                          </w:divBdr>
                        </w:div>
                      </w:divsChild>
                    </w:div>
                    <w:div w:id="1118797181">
                      <w:marLeft w:val="0"/>
                      <w:marRight w:val="0"/>
                      <w:marTop w:val="413"/>
                      <w:marBottom w:val="0"/>
                      <w:divBdr>
                        <w:top w:val="none" w:sz="0" w:space="0" w:color="auto"/>
                        <w:left w:val="none" w:sz="0" w:space="0" w:color="auto"/>
                        <w:bottom w:val="none" w:sz="0" w:space="0" w:color="auto"/>
                        <w:right w:val="none" w:sz="0" w:space="0" w:color="auto"/>
                      </w:divBdr>
                    </w:div>
                    <w:div w:id="1384594547">
                      <w:marLeft w:val="0"/>
                      <w:marRight w:val="0"/>
                      <w:marTop w:val="413"/>
                      <w:marBottom w:val="0"/>
                      <w:divBdr>
                        <w:top w:val="none" w:sz="0" w:space="0" w:color="auto"/>
                        <w:left w:val="none" w:sz="0" w:space="0" w:color="auto"/>
                        <w:bottom w:val="none" w:sz="0" w:space="0" w:color="auto"/>
                        <w:right w:val="none" w:sz="0" w:space="0" w:color="auto"/>
                      </w:divBdr>
                    </w:div>
                    <w:div w:id="667292706">
                      <w:marLeft w:val="0"/>
                      <w:marRight w:val="0"/>
                      <w:marTop w:val="413"/>
                      <w:marBottom w:val="0"/>
                      <w:divBdr>
                        <w:top w:val="none" w:sz="0" w:space="0" w:color="auto"/>
                        <w:left w:val="none" w:sz="0" w:space="0" w:color="auto"/>
                        <w:bottom w:val="none" w:sz="0" w:space="0" w:color="auto"/>
                        <w:right w:val="none" w:sz="0" w:space="0" w:color="auto"/>
                      </w:divBdr>
                    </w:div>
                    <w:div w:id="2061899665">
                      <w:marLeft w:val="0"/>
                      <w:marRight w:val="0"/>
                      <w:marTop w:val="413"/>
                      <w:marBottom w:val="0"/>
                      <w:divBdr>
                        <w:top w:val="none" w:sz="0" w:space="0" w:color="auto"/>
                        <w:left w:val="none" w:sz="0" w:space="0" w:color="auto"/>
                        <w:bottom w:val="none" w:sz="0" w:space="0" w:color="auto"/>
                        <w:right w:val="none" w:sz="0" w:space="0" w:color="auto"/>
                      </w:divBdr>
                    </w:div>
                    <w:div w:id="450242787">
                      <w:marLeft w:val="0"/>
                      <w:marRight w:val="0"/>
                      <w:marTop w:val="413"/>
                      <w:marBottom w:val="0"/>
                      <w:divBdr>
                        <w:top w:val="none" w:sz="0" w:space="0" w:color="auto"/>
                        <w:left w:val="none" w:sz="0" w:space="0" w:color="auto"/>
                        <w:bottom w:val="none" w:sz="0" w:space="0" w:color="auto"/>
                        <w:right w:val="none" w:sz="0" w:space="0" w:color="auto"/>
                      </w:divBdr>
                    </w:div>
                    <w:div w:id="750809382">
                      <w:marLeft w:val="0"/>
                      <w:marRight w:val="0"/>
                      <w:marTop w:val="413"/>
                      <w:marBottom w:val="0"/>
                      <w:divBdr>
                        <w:top w:val="none" w:sz="0" w:space="0" w:color="auto"/>
                        <w:left w:val="none" w:sz="0" w:space="0" w:color="auto"/>
                        <w:bottom w:val="none" w:sz="0" w:space="0" w:color="auto"/>
                        <w:right w:val="none" w:sz="0" w:space="0" w:color="auto"/>
                      </w:divBdr>
                    </w:div>
                    <w:div w:id="1580602717">
                      <w:marLeft w:val="0"/>
                      <w:marRight w:val="0"/>
                      <w:marTop w:val="413"/>
                      <w:marBottom w:val="0"/>
                      <w:divBdr>
                        <w:top w:val="none" w:sz="0" w:space="0" w:color="auto"/>
                        <w:left w:val="none" w:sz="0" w:space="0" w:color="auto"/>
                        <w:bottom w:val="none" w:sz="0" w:space="0" w:color="auto"/>
                        <w:right w:val="none" w:sz="0" w:space="0" w:color="auto"/>
                      </w:divBdr>
                    </w:div>
                    <w:div w:id="347831660">
                      <w:marLeft w:val="0"/>
                      <w:marRight w:val="0"/>
                      <w:marTop w:val="0"/>
                      <w:marBottom w:val="0"/>
                      <w:divBdr>
                        <w:top w:val="none" w:sz="0" w:space="0" w:color="auto"/>
                        <w:left w:val="none" w:sz="0" w:space="0" w:color="auto"/>
                        <w:bottom w:val="none" w:sz="0" w:space="0" w:color="auto"/>
                        <w:right w:val="none" w:sz="0" w:space="0" w:color="auto"/>
                      </w:divBdr>
                    </w:div>
                    <w:div w:id="1439988202">
                      <w:marLeft w:val="0"/>
                      <w:marRight w:val="0"/>
                      <w:marTop w:val="413"/>
                      <w:marBottom w:val="0"/>
                      <w:divBdr>
                        <w:top w:val="none" w:sz="0" w:space="0" w:color="auto"/>
                        <w:left w:val="none" w:sz="0" w:space="0" w:color="auto"/>
                        <w:bottom w:val="none" w:sz="0" w:space="0" w:color="auto"/>
                        <w:right w:val="none" w:sz="0" w:space="0" w:color="auto"/>
                      </w:divBdr>
                    </w:div>
                    <w:div w:id="524825360">
                      <w:marLeft w:val="0"/>
                      <w:marRight w:val="0"/>
                      <w:marTop w:val="413"/>
                      <w:marBottom w:val="0"/>
                      <w:divBdr>
                        <w:top w:val="none" w:sz="0" w:space="0" w:color="auto"/>
                        <w:left w:val="none" w:sz="0" w:space="0" w:color="auto"/>
                        <w:bottom w:val="none" w:sz="0" w:space="0" w:color="auto"/>
                        <w:right w:val="none" w:sz="0" w:space="0" w:color="auto"/>
                      </w:divBdr>
                    </w:div>
                    <w:div w:id="182089990">
                      <w:marLeft w:val="0"/>
                      <w:marRight w:val="0"/>
                      <w:marTop w:val="413"/>
                      <w:marBottom w:val="0"/>
                      <w:divBdr>
                        <w:top w:val="none" w:sz="0" w:space="0" w:color="auto"/>
                        <w:left w:val="none" w:sz="0" w:space="0" w:color="auto"/>
                        <w:bottom w:val="none" w:sz="0" w:space="0" w:color="auto"/>
                        <w:right w:val="none" w:sz="0" w:space="0" w:color="auto"/>
                      </w:divBdr>
                    </w:div>
                    <w:div w:id="220022477">
                      <w:marLeft w:val="0"/>
                      <w:marRight w:val="0"/>
                      <w:marTop w:val="413"/>
                      <w:marBottom w:val="0"/>
                      <w:divBdr>
                        <w:top w:val="none" w:sz="0" w:space="0" w:color="auto"/>
                        <w:left w:val="none" w:sz="0" w:space="0" w:color="auto"/>
                        <w:bottom w:val="none" w:sz="0" w:space="0" w:color="auto"/>
                        <w:right w:val="none" w:sz="0" w:space="0" w:color="auto"/>
                      </w:divBdr>
                    </w:div>
                    <w:div w:id="1374647422">
                      <w:marLeft w:val="0"/>
                      <w:marRight w:val="0"/>
                      <w:marTop w:val="413"/>
                      <w:marBottom w:val="0"/>
                      <w:divBdr>
                        <w:top w:val="none" w:sz="0" w:space="0" w:color="auto"/>
                        <w:left w:val="none" w:sz="0" w:space="0" w:color="auto"/>
                        <w:bottom w:val="none" w:sz="0" w:space="0" w:color="auto"/>
                        <w:right w:val="none" w:sz="0" w:space="0" w:color="auto"/>
                      </w:divBdr>
                    </w:div>
                    <w:div w:id="741371333">
                      <w:marLeft w:val="0"/>
                      <w:marRight w:val="0"/>
                      <w:marTop w:val="413"/>
                      <w:marBottom w:val="0"/>
                      <w:divBdr>
                        <w:top w:val="none" w:sz="0" w:space="0" w:color="auto"/>
                        <w:left w:val="none" w:sz="0" w:space="0" w:color="auto"/>
                        <w:bottom w:val="none" w:sz="0" w:space="0" w:color="auto"/>
                        <w:right w:val="none" w:sz="0" w:space="0" w:color="auto"/>
                      </w:divBdr>
                      <w:divsChild>
                        <w:div w:id="608002921">
                          <w:blockQuote w:val="1"/>
                          <w:marLeft w:val="230"/>
                          <w:marRight w:val="0"/>
                          <w:marTop w:val="413"/>
                          <w:marBottom w:val="413"/>
                          <w:divBdr>
                            <w:top w:val="none" w:sz="0" w:space="0" w:color="auto"/>
                            <w:left w:val="single" w:sz="6" w:space="31" w:color="CCCCCC"/>
                            <w:bottom w:val="none" w:sz="0" w:space="0" w:color="auto"/>
                            <w:right w:val="none" w:sz="0" w:space="0" w:color="auto"/>
                          </w:divBdr>
                        </w:div>
                        <w:div w:id="1787501845">
                          <w:blockQuote w:val="1"/>
                          <w:marLeft w:val="230"/>
                          <w:marRight w:val="0"/>
                          <w:marTop w:val="413"/>
                          <w:marBottom w:val="413"/>
                          <w:divBdr>
                            <w:top w:val="none" w:sz="0" w:space="0" w:color="auto"/>
                            <w:left w:val="single" w:sz="6" w:space="31" w:color="CCCCCC"/>
                            <w:bottom w:val="none" w:sz="0" w:space="0" w:color="auto"/>
                            <w:right w:val="none" w:sz="0" w:space="0" w:color="auto"/>
                          </w:divBdr>
                        </w:div>
                      </w:divsChild>
                    </w:div>
                    <w:div w:id="1015032819">
                      <w:marLeft w:val="0"/>
                      <w:marRight w:val="0"/>
                      <w:marTop w:val="413"/>
                      <w:marBottom w:val="0"/>
                      <w:divBdr>
                        <w:top w:val="none" w:sz="0" w:space="0" w:color="auto"/>
                        <w:left w:val="none" w:sz="0" w:space="0" w:color="auto"/>
                        <w:bottom w:val="none" w:sz="0" w:space="0" w:color="auto"/>
                        <w:right w:val="none" w:sz="0" w:space="0" w:color="auto"/>
                      </w:divBdr>
                    </w:div>
                    <w:div w:id="253125159">
                      <w:marLeft w:val="0"/>
                      <w:marRight w:val="0"/>
                      <w:marTop w:val="413"/>
                      <w:marBottom w:val="0"/>
                      <w:divBdr>
                        <w:top w:val="none" w:sz="0" w:space="0" w:color="auto"/>
                        <w:left w:val="none" w:sz="0" w:space="0" w:color="auto"/>
                        <w:bottom w:val="none" w:sz="0" w:space="0" w:color="auto"/>
                        <w:right w:val="none" w:sz="0" w:space="0" w:color="auto"/>
                      </w:divBdr>
                    </w:div>
                    <w:div w:id="437650411">
                      <w:marLeft w:val="0"/>
                      <w:marRight w:val="0"/>
                      <w:marTop w:val="413"/>
                      <w:marBottom w:val="0"/>
                      <w:divBdr>
                        <w:top w:val="none" w:sz="0" w:space="0" w:color="auto"/>
                        <w:left w:val="none" w:sz="0" w:space="0" w:color="auto"/>
                        <w:bottom w:val="none" w:sz="0" w:space="0" w:color="auto"/>
                        <w:right w:val="none" w:sz="0" w:space="0" w:color="auto"/>
                      </w:divBdr>
                    </w:div>
                    <w:div w:id="27147359">
                      <w:marLeft w:val="-165"/>
                      <w:marRight w:val="-165"/>
                      <w:marTop w:val="0"/>
                      <w:marBottom w:val="0"/>
                      <w:divBdr>
                        <w:top w:val="none" w:sz="0" w:space="0" w:color="auto"/>
                        <w:left w:val="none" w:sz="0" w:space="0" w:color="auto"/>
                        <w:bottom w:val="none" w:sz="0" w:space="0" w:color="auto"/>
                        <w:right w:val="none" w:sz="0" w:space="0" w:color="auto"/>
                      </w:divBdr>
                      <w:divsChild>
                        <w:div w:id="1616129891">
                          <w:marLeft w:val="0"/>
                          <w:marRight w:val="0"/>
                          <w:marTop w:val="0"/>
                          <w:marBottom w:val="0"/>
                          <w:divBdr>
                            <w:top w:val="none" w:sz="0" w:space="0" w:color="auto"/>
                            <w:left w:val="none" w:sz="0" w:space="0" w:color="auto"/>
                            <w:bottom w:val="none" w:sz="0" w:space="0" w:color="auto"/>
                            <w:right w:val="none" w:sz="0" w:space="0" w:color="auto"/>
                          </w:divBdr>
                          <w:divsChild>
                            <w:div w:id="585041766">
                              <w:marLeft w:val="0"/>
                              <w:marRight w:val="0"/>
                              <w:marTop w:val="120"/>
                              <w:marBottom w:val="120"/>
                              <w:divBdr>
                                <w:top w:val="none" w:sz="0" w:space="0" w:color="auto"/>
                                <w:left w:val="none" w:sz="0" w:space="0" w:color="auto"/>
                                <w:bottom w:val="none" w:sz="0" w:space="0" w:color="auto"/>
                                <w:right w:val="none" w:sz="0" w:space="0" w:color="auto"/>
                              </w:divBdr>
                            </w:div>
                            <w:div w:id="1718583131">
                              <w:marLeft w:val="0"/>
                              <w:marRight w:val="0"/>
                              <w:marTop w:val="120"/>
                              <w:marBottom w:val="120"/>
                              <w:divBdr>
                                <w:top w:val="none" w:sz="0" w:space="0" w:color="auto"/>
                                <w:left w:val="none" w:sz="0" w:space="0" w:color="auto"/>
                                <w:bottom w:val="none" w:sz="0" w:space="0" w:color="auto"/>
                                <w:right w:val="none" w:sz="0" w:space="0" w:color="auto"/>
                              </w:divBdr>
                            </w:div>
                            <w:div w:id="1779639928">
                              <w:marLeft w:val="0"/>
                              <w:marRight w:val="0"/>
                              <w:marTop w:val="120"/>
                              <w:marBottom w:val="120"/>
                              <w:divBdr>
                                <w:top w:val="none" w:sz="0" w:space="0" w:color="auto"/>
                                <w:left w:val="none" w:sz="0" w:space="0" w:color="auto"/>
                                <w:bottom w:val="none" w:sz="0" w:space="0" w:color="auto"/>
                                <w:right w:val="none" w:sz="0" w:space="0" w:color="auto"/>
                              </w:divBdr>
                            </w:div>
                            <w:div w:id="1862939159">
                              <w:marLeft w:val="0"/>
                              <w:marRight w:val="0"/>
                              <w:marTop w:val="120"/>
                              <w:marBottom w:val="120"/>
                              <w:divBdr>
                                <w:top w:val="none" w:sz="0" w:space="0" w:color="auto"/>
                                <w:left w:val="none" w:sz="0" w:space="0" w:color="auto"/>
                                <w:bottom w:val="none" w:sz="0" w:space="0" w:color="auto"/>
                                <w:right w:val="none" w:sz="0" w:space="0" w:color="auto"/>
                              </w:divBdr>
                            </w:div>
                            <w:div w:id="792285139">
                              <w:marLeft w:val="0"/>
                              <w:marRight w:val="0"/>
                              <w:marTop w:val="120"/>
                              <w:marBottom w:val="120"/>
                              <w:divBdr>
                                <w:top w:val="none" w:sz="0" w:space="0" w:color="auto"/>
                                <w:left w:val="none" w:sz="0" w:space="0" w:color="auto"/>
                                <w:bottom w:val="none" w:sz="0" w:space="0" w:color="auto"/>
                                <w:right w:val="none" w:sz="0" w:space="0" w:color="auto"/>
                              </w:divBdr>
                            </w:div>
                            <w:div w:id="2007245546">
                              <w:marLeft w:val="0"/>
                              <w:marRight w:val="0"/>
                              <w:marTop w:val="120"/>
                              <w:marBottom w:val="120"/>
                              <w:divBdr>
                                <w:top w:val="none" w:sz="0" w:space="0" w:color="auto"/>
                                <w:left w:val="none" w:sz="0" w:space="0" w:color="auto"/>
                                <w:bottom w:val="none" w:sz="0" w:space="0" w:color="auto"/>
                                <w:right w:val="none" w:sz="0" w:space="0" w:color="auto"/>
                              </w:divBdr>
                            </w:div>
                            <w:div w:id="2087338296">
                              <w:marLeft w:val="0"/>
                              <w:marRight w:val="0"/>
                              <w:marTop w:val="120"/>
                              <w:marBottom w:val="120"/>
                              <w:divBdr>
                                <w:top w:val="none" w:sz="0" w:space="0" w:color="auto"/>
                                <w:left w:val="none" w:sz="0" w:space="0" w:color="auto"/>
                                <w:bottom w:val="none" w:sz="0" w:space="0" w:color="auto"/>
                                <w:right w:val="none" w:sz="0" w:space="0" w:color="auto"/>
                              </w:divBdr>
                            </w:div>
                            <w:div w:id="213272129">
                              <w:marLeft w:val="0"/>
                              <w:marRight w:val="0"/>
                              <w:marTop w:val="120"/>
                              <w:marBottom w:val="120"/>
                              <w:divBdr>
                                <w:top w:val="none" w:sz="0" w:space="0" w:color="auto"/>
                                <w:left w:val="none" w:sz="0" w:space="0" w:color="auto"/>
                                <w:bottom w:val="none" w:sz="0" w:space="0" w:color="auto"/>
                                <w:right w:val="none" w:sz="0" w:space="0" w:color="auto"/>
                              </w:divBdr>
                            </w:div>
                            <w:div w:id="912200825">
                              <w:marLeft w:val="0"/>
                              <w:marRight w:val="0"/>
                              <w:marTop w:val="120"/>
                              <w:marBottom w:val="120"/>
                              <w:divBdr>
                                <w:top w:val="none" w:sz="0" w:space="0" w:color="auto"/>
                                <w:left w:val="none" w:sz="0" w:space="0" w:color="auto"/>
                                <w:bottom w:val="none" w:sz="0" w:space="0" w:color="auto"/>
                                <w:right w:val="none" w:sz="0" w:space="0" w:color="auto"/>
                              </w:divBdr>
                            </w:div>
                            <w:div w:id="1906064805">
                              <w:marLeft w:val="0"/>
                              <w:marRight w:val="0"/>
                              <w:marTop w:val="120"/>
                              <w:marBottom w:val="120"/>
                              <w:divBdr>
                                <w:top w:val="none" w:sz="0" w:space="0" w:color="auto"/>
                                <w:left w:val="none" w:sz="0" w:space="0" w:color="auto"/>
                                <w:bottom w:val="none" w:sz="0" w:space="0" w:color="auto"/>
                                <w:right w:val="none" w:sz="0" w:space="0" w:color="auto"/>
                              </w:divBdr>
                            </w:div>
                            <w:div w:id="34158785">
                              <w:marLeft w:val="0"/>
                              <w:marRight w:val="0"/>
                              <w:marTop w:val="120"/>
                              <w:marBottom w:val="120"/>
                              <w:divBdr>
                                <w:top w:val="none" w:sz="0" w:space="0" w:color="auto"/>
                                <w:left w:val="none" w:sz="0" w:space="0" w:color="auto"/>
                                <w:bottom w:val="none" w:sz="0" w:space="0" w:color="auto"/>
                                <w:right w:val="none" w:sz="0" w:space="0" w:color="auto"/>
                              </w:divBdr>
                            </w:div>
                            <w:div w:id="1749883596">
                              <w:marLeft w:val="0"/>
                              <w:marRight w:val="0"/>
                              <w:marTop w:val="120"/>
                              <w:marBottom w:val="120"/>
                              <w:divBdr>
                                <w:top w:val="none" w:sz="0" w:space="0" w:color="auto"/>
                                <w:left w:val="none" w:sz="0" w:space="0" w:color="auto"/>
                                <w:bottom w:val="none" w:sz="0" w:space="0" w:color="auto"/>
                                <w:right w:val="none" w:sz="0" w:space="0" w:color="auto"/>
                              </w:divBdr>
                            </w:div>
                            <w:div w:id="387874556">
                              <w:marLeft w:val="0"/>
                              <w:marRight w:val="0"/>
                              <w:marTop w:val="120"/>
                              <w:marBottom w:val="120"/>
                              <w:divBdr>
                                <w:top w:val="none" w:sz="0" w:space="0" w:color="auto"/>
                                <w:left w:val="none" w:sz="0" w:space="0" w:color="auto"/>
                                <w:bottom w:val="none" w:sz="0" w:space="0" w:color="auto"/>
                                <w:right w:val="none" w:sz="0" w:space="0" w:color="auto"/>
                              </w:divBdr>
                            </w:div>
                            <w:div w:id="685250598">
                              <w:marLeft w:val="0"/>
                              <w:marRight w:val="0"/>
                              <w:marTop w:val="120"/>
                              <w:marBottom w:val="120"/>
                              <w:divBdr>
                                <w:top w:val="none" w:sz="0" w:space="0" w:color="auto"/>
                                <w:left w:val="none" w:sz="0" w:space="0" w:color="auto"/>
                                <w:bottom w:val="none" w:sz="0" w:space="0" w:color="auto"/>
                                <w:right w:val="none" w:sz="0" w:space="0" w:color="auto"/>
                              </w:divBdr>
                            </w:div>
                            <w:div w:id="1786728367">
                              <w:marLeft w:val="0"/>
                              <w:marRight w:val="0"/>
                              <w:marTop w:val="120"/>
                              <w:marBottom w:val="120"/>
                              <w:divBdr>
                                <w:top w:val="none" w:sz="0" w:space="0" w:color="auto"/>
                                <w:left w:val="none" w:sz="0" w:space="0" w:color="auto"/>
                                <w:bottom w:val="none" w:sz="0" w:space="0" w:color="auto"/>
                                <w:right w:val="none" w:sz="0" w:space="0" w:color="auto"/>
                              </w:divBdr>
                            </w:div>
                            <w:div w:id="348218580">
                              <w:marLeft w:val="0"/>
                              <w:marRight w:val="0"/>
                              <w:marTop w:val="120"/>
                              <w:marBottom w:val="120"/>
                              <w:divBdr>
                                <w:top w:val="none" w:sz="0" w:space="0" w:color="auto"/>
                                <w:left w:val="none" w:sz="0" w:space="0" w:color="auto"/>
                                <w:bottom w:val="none" w:sz="0" w:space="0" w:color="auto"/>
                                <w:right w:val="none" w:sz="0" w:space="0" w:color="auto"/>
                              </w:divBdr>
                            </w:div>
                            <w:div w:id="1364477235">
                              <w:marLeft w:val="0"/>
                              <w:marRight w:val="0"/>
                              <w:marTop w:val="120"/>
                              <w:marBottom w:val="120"/>
                              <w:divBdr>
                                <w:top w:val="none" w:sz="0" w:space="0" w:color="auto"/>
                                <w:left w:val="none" w:sz="0" w:space="0" w:color="auto"/>
                                <w:bottom w:val="none" w:sz="0" w:space="0" w:color="auto"/>
                                <w:right w:val="none" w:sz="0" w:space="0" w:color="auto"/>
                              </w:divBdr>
                            </w:div>
                            <w:div w:id="1074425439">
                              <w:marLeft w:val="0"/>
                              <w:marRight w:val="0"/>
                              <w:marTop w:val="120"/>
                              <w:marBottom w:val="120"/>
                              <w:divBdr>
                                <w:top w:val="none" w:sz="0" w:space="0" w:color="auto"/>
                                <w:left w:val="none" w:sz="0" w:space="0" w:color="auto"/>
                                <w:bottom w:val="none" w:sz="0" w:space="0" w:color="auto"/>
                                <w:right w:val="none" w:sz="0" w:space="0" w:color="auto"/>
                              </w:divBdr>
                            </w:div>
                            <w:div w:id="1601327575">
                              <w:marLeft w:val="0"/>
                              <w:marRight w:val="0"/>
                              <w:marTop w:val="120"/>
                              <w:marBottom w:val="120"/>
                              <w:divBdr>
                                <w:top w:val="none" w:sz="0" w:space="0" w:color="auto"/>
                                <w:left w:val="none" w:sz="0" w:space="0" w:color="auto"/>
                                <w:bottom w:val="none" w:sz="0" w:space="0" w:color="auto"/>
                                <w:right w:val="none" w:sz="0" w:space="0" w:color="auto"/>
                              </w:divBdr>
                            </w:div>
                            <w:div w:id="1247036936">
                              <w:marLeft w:val="0"/>
                              <w:marRight w:val="0"/>
                              <w:marTop w:val="120"/>
                              <w:marBottom w:val="120"/>
                              <w:divBdr>
                                <w:top w:val="none" w:sz="0" w:space="0" w:color="auto"/>
                                <w:left w:val="none" w:sz="0" w:space="0" w:color="auto"/>
                                <w:bottom w:val="none" w:sz="0" w:space="0" w:color="auto"/>
                                <w:right w:val="none" w:sz="0" w:space="0" w:color="auto"/>
                              </w:divBdr>
                            </w:div>
                            <w:div w:id="990209910">
                              <w:marLeft w:val="0"/>
                              <w:marRight w:val="0"/>
                              <w:marTop w:val="120"/>
                              <w:marBottom w:val="120"/>
                              <w:divBdr>
                                <w:top w:val="none" w:sz="0" w:space="0" w:color="auto"/>
                                <w:left w:val="none" w:sz="0" w:space="0" w:color="auto"/>
                                <w:bottom w:val="none" w:sz="0" w:space="0" w:color="auto"/>
                                <w:right w:val="none" w:sz="0" w:space="0" w:color="auto"/>
                              </w:divBdr>
                            </w:div>
                            <w:div w:id="1142189217">
                              <w:marLeft w:val="0"/>
                              <w:marRight w:val="0"/>
                              <w:marTop w:val="120"/>
                              <w:marBottom w:val="120"/>
                              <w:divBdr>
                                <w:top w:val="none" w:sz="0" w:space="0" w:color="auto"/>
                                <w:left w:val="none" w:sz="0" w:space="0" w:color="auto"/>
                                <w:bottom w:val="none" w:sz="0" w:space="0" w:color="auto"/>
                                <w:right w:val="none" w:sz="0" w:space="0" w:color="auto"/>
                              </w:divBdr>
                            </w:div>
                            <w:div w:id="42289392">
                              <w:marLeft w:val="0"/>
                              <w:marRight w:val="0"/>
                              <w:marTop w:val="120"/>
                              <w:marBottom w:val="120"/>
                              <w:divBdr>
                                <w:top w:val="none" w:sz="0" w:space="0" w:color="auto"/>
                                <w:left w:val="none" w:sz="0" w:space="0" w:color="auto"/>
                                <w:bottom w:val="none" w:sz="0" w:space="0" w:color="auto"/>
                                <w:right w:val="none" w:sz="0" w:space="0" w:color="auto"/>
                              </w:divBdr>
                            </w:div>
                            <w:div w:id="954138824">
                              <w:marLeft w:val="0"/>
                              <w:marRight w:val="0"/>
                              <w:marTop w:val="120"/>
                              <w:marBottom w:val="120"/>
                              <w:divBdr>
                                <w:top w:val="none" w:sz="0" w:space="0" w:color="auto"/>
                                <w:left w:val="none" w:sz="0" w:space="0" w:color="auto"/>
                                <w:bottom w:val="none" w:sz="0" w:space="0" w:color="auto"/>
                                <w:right w:val="none" w:sz="0" w:space="0" w:color="auto"/>
                              </w:divBdr>
                            </w:div>
                            <w:div w:id="2068802337">
                              <w:marLeft w:val="0"/>
                              <w:marRight w:val="0"/>
                              <w:marTop w:val="120"/>
                              <w:marBottom w:val="120"/>
                              <w:divBdr>
                                <w:top w:val="none" w:sz="0" w:space="0" w:color="auto"/>
                                <w:left w:val="none" w:sz="0" w:space="0" w:color="auto"/>
                                <w:bottom w:val="none" w:sz="0" w:space="0" w:color="auto"/>
                                <w:right w:val="none" w:sz="0" w:space="0" w:color="auto"/>
                              </w:divBdr>
                            </w:div>
                            <w:div w:id="201358720">
                              <w:marLeft w:val="0"/>
                              <w:marRight w:val="0"/>
                              <w:marTop w:val="120"/>
                              <w:marBottom w:val="120"/>
                              <w:divBdr>
                                <w:top w:val="none" w:sz="0" w:space="0" w:color="auto"/>
                                <w:left w:val="none" w:sz="0" w:space="0" w:color="auto"/>
                                <w:bottom w:val="none" w:sz="0" w:space="0" w:color="auto"/>
                                <w:right w:val="none" w:sz="0" w:space="0" w:color="auto"/>
                              </w:divBdr>
                            </w:div>
                            <w:div w:id="1317413367">
                              <w:marLeft w:val="0"/>
                              <w:marRight w:val="0"/>
                              <w:marTop w:val="120"/>
                              <w:marBottom w:val="120"/>
                              <w:divBdr>
                                <w:top w:val="none" w:sz="0" w:space="0" w:color="auto"/>
                                <w:left w:val="none" w:sz="0" w:space="0" w:color="auto"/>
                                <w:bottom w:val="none" w:sz="0" w:space="0" w:color="auto"/>
                                <w:right w:val="none" w:sz="0" w:space="0" w:color="auto"/>
                              </w:divBdr>
                            </w:div>
                            <w:div w:id="540553080">
                              <w:marLeft w:val="0"/>
                              <w:marRight w:val="0"/>
                              <w:marTop w:val="120"/>
                              <w:marBottom w:val="120"/>
                              <w:divBdr>
                                <w:top w:val="none" w:sz="0" w:space="0" w:color="auto"/>
                                <w:left w:val="none" w:sz="0" w:space="0" w:color="auto"/>
                                <w:bottom w:val="none" w:sz="0" w:space="0" w:color="auto"/>
                                <w:right w:val="none" w:sz="0" w:space="0" w:color="auto"/>
                              </w:divBdr>
                            </w:div>
                            <w:div w:id="881404269">
                              <w:marLeft w:val="0"/>
                              <w:marRight w:val="0"/>
                              <w:marTop w:val="120"/>
                              <w:marBottom w:val="120"/>
                              <w:divBdr>
                                <w:top w:val="none" w:sz="0" w:space="0" w:color="auto"/>
                                <w:left w:val="none" w:sz="0" w:space="0" w:color="auto"/>
                                <w:bottom w:val="none" w:sz="0" w:space="0" w:color="auto"/>
                                <w:right w:val="none" w:sz="0" w:space="0" w:color="auto"/>
                              </w:divBdr>
                            </w:div>
                            <w:div w:id="1344209150">
                              <w:marLeft w:val="0"/>
                              <w:marRight w:val="0"/>
                              <w:marTop w:val="120"/>
                              <w:marBottom w:val="120"/>
                              <w:divBdr>
                                <w:top w:val="none" w:sz="0" w:space="0" w:color="auto"/>
                                <w:left w:val="none" w:sz="0" w:space="0" w:color="auto"/>
                                <w:bottom w:val="none" w:sz="0" w:space="0" w:color="auto"/>
                                <w:right w:val="none" w:sz="0" w:space="0" w:color="auto"/>
                              </w:divBdr>
                            </w:div>
                            <w:div w:id="296447602">
                              <w:marLeft w:val="0"/>
                              <w:marRight w:val="0"/>
                              <w:marTop w:val="120"/>
                              <w:marBottom w:val="120"/>
                              <w:divBdr>
                                <w:top w:val="none" w:sz="0" w:space="0" w:color="auto"/>
                                <w:left w:val="none" w:sz="0" w:space="0" w:color="auto"/>
                                <w:bottom w:val="none" w:sz="0" w:space="0" w:color="auto"/>
                                <w:right w:val="none" w:sz="0" w:space="0" w:color="auto"/>
                              </w:divBdr>
                            </w:div>
                            <w:div w:id="672881258">
                              <w:marLeft w:val="0"/>
                              <w:marRight w:val="0"/>
                              <w:marTop w:val="120"/>
                              <w:marBottom w:val="120"/>
                              <w:divBdr>
                                <w:top w:val="none" w:sz="0" w:space="0" w:color="auto"/>
                                <w:left w:val="none" w:sz="0" w:space="0" w:color="auto"/>
                                <w:bottom w:val="none" w:sz="0" w:space="0" w:color="auto"/>
                                <w:right w:val="none" w:sz="0" w:space="0" w:color="auto"/>
                              </w:divBdr>
                            </w:div>
                            <w:div w:id="909121834">
                              <w:marLeft w:val="0"/>
                              <w:marRight w:val="0"/>
                              <w:marTop w:val="120"/>
                              <w:marBottom w:val="120"/>
                              <w:divBdr>
                                <w:top w:val="none" w:sz="0" w:space="0" w:color="auto"/>
                                <w:left w:val="none" w:sz="0" w:space="0" w:color="auto"/>
                                <w:bottom w:val="none" w:sz="0" w:space="0" w:color="auto"/>
                                <w:right w:val="none" w:sz="0" w:space="0" w:color="auto"/>
                              </w:divBdr>
                            </w:div>
                            <w:div w:id="1987511417">
                              <w:marLeft w:val="0"/>
                              <w:marRight w:val="0"/>
                              <w:marTop w:val="120"/>
                              <w:marBottom w:val="120"/>
                              <w:divBdr>
                                <w:top w:val="none" w:sz="0" w:space="0" w:color="auto"/>
                                <w:left w:val="none" w:sz="0" w:space="0" w:color="auto"/>
                                <w:bottom w:val="none" w:sz="0" w:space="0" w:color="auto"/>
                                <w:right w:val="none" w:sz="0" w:space="0" w:color="auto"/>
                              </w:divBdr>
                            </w:div>
                            <w:div w:id="522286050">
                              <w:marLeft w:val="0"/>
                              <w:marRight w:val="0"/>
                              <w:marTop w:val="120"/>
                              <w:marBottom w:val="120"/>
                              <w:divBdr>
                                <w:top w:val="none" w:sz="0" w:space="0" w:color="auto"/>
                                <w:left w:val="none" w:sz="0" w:space="0" w:color="auto"/>
                                <w:bottom w:val="none" w:sz="0" w:space="0" w:color="auto"/>
                                <w:right w:val="none" w:sz="0" w:space="0" w:color="auto"/>
                              </w:divBdr>
                            </w:div>
                            <w:div w:id="1482190787">
                              <w:marLeft w:val="0"/>
                              <w:marRight w:val="0"/>
                              <w:marTop w:val="120"/>
                              <w:marBottom w:val="120"/>
                              <w:divBdr>
                                <w:top w:val="none" w:sz="0" w:space="0" w:color="auto"/>
                                <w:left w:val="none" w:sz="0" w:space="0" w:color="auto"/>
                                <w:bottom w:val="none" w:sz="0" w:space="0" w:color="auto"/>
                                <w:right w:val="none" w:sz="0" w:space="0" w:color="auto"/>
                              </w:divBdr>
                            </w:div>
                            <w:div w:id="659624320">
                              <w:marLeft w:val="0"/>
                              <w:marRight w:val="0"/>
                              <w:marTop w:val="120"/>
                              <w:marBottom w:val="120"/>
                              <w:divBdr>
                                <w:top w:val="none" w:sz="0" w:space="0" w:color="auto"/>
                                <w:left w:val="none" w:sz="0" w:space="0" w:color="auto"/>
                                <w:bottom w:val="none" w:sz="0" w:space="0" w:color="auto"/>
                                <w:right w:val="none" w:sz="0" w:space="0" w:color="auto"/>
                              </w:divBdr>
                            </w:div>
                            <w:div w:id="1541236147">
                              <w:marLeft w:val="0"/>
                              <w:marRight w:val="0"/>
                              <w:marTop w:val="120"/>
                              <w:marBottom w:val="120"/>
                              <w:divBdr>
                                <w:top w:val="none" w:sz="0" w:space="0" w:color="auto"/>
                                <w:left w:val="none" w:sz="0" w:space="0" w:color="auto"/>
                                <w:bottom w:val="none" w:sz="0" w:space="0" w:color="auto"/>
                                <w:right w:val="none" w:sz="0" w:space="0" w:color="auto"/>
                              </w:divBdr>
                            </w:div>
                            <w:div w:id="789591031">
                              <w:marLeft w:val="0"/>
                              <w:marRight w:val="0"/>
                              <w:marTop w:val="120"/>
                              <w:marBottom w:val="120"/>
                              <w:divBdr>
                                <w:top w:val="none" w:sz="0" w:space="0" w:color="auto"/>
                                <w:left w:val="none" w:sz="0" w:space="0" w:color="auto"/>
                                <w:bottom w:val="none" w:sz="0" w:space="0" w:color="auto"/>
                                <w:right w:val="none" w:sz="0" w:space="0" w:color="auto"/>
                              </w:divBdr>
                            </w:div>
                            <w:div w:id="808089972">
                              <w:marLeft w:val="0"/>
                              <w:marRight w:val="0"/>
                              <w:marTop w:val="120"/>
                              <w:marBottom w:val="120"/>
                              <w:divBdr>
                                <w:top w:val="none" w:sz="0" w:space="0" w:color="auto"/>
                                <w:left w:val="none" w:sz="0" w:space="0" w:color="auto"/>
                                <w:bottom w:val="none" w:sz="0" w:space="0" w:color="auto"/>
                                <w:right w:val="none" w:sz="0" w:space="0" w:color="auto"/>
                              </w:divBdr>
                            </w:div>
                            <w:div w:id="1890727684">
                              <w:marLeft w:val="0"/>
                              <w:marRight w:val="0"/>
                              <w:marTop w:val="120"/>
                              <w:marBottom w:val="120"/>
                              <w:divBdr>
                                <w:top w:val="none" w:sz="0" w:space="0" w:color="auto"/>
                                <w:left w:val="none" w:sz="0" w:space="0" w:color="auto"/>
                                <w:bottom w:val="none" w:sz="0" w:space="0" w:color="auto"/>
                                <w:right w:val="none" w:sz="0" w:space="0" w:color="auto"/>
                              </w:divBdr>
                            </w:div>
                            <w:div w:id="923149155">
                              <w:marLeft w:val="0"/>
                              <w:marRight w:val="0"/>
                              <w:marTop w:val="120"/>
                              <w:marBottom w:val="120"/>
                              <w:divBdr>
                                <w:top w:val="none" w:sz="0" w:space="0" w:color="auto"/>
                                <w:left w:val="none" w:sz="0" w:space="0" w:color="auto"/>
                                <w:bottom w:val="none" w:sz="0" w:space="0" w:color="auto"/>
                                <w:right w:val="none" w:sz="0" w:space="0" w:color="auto"/>
                              </w:divBdr>
                            </w:div>
                            <w:div w:id="22742731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403532474">
          <w:marLeft w:val="-165"/>
          <w:marRight w:val="-165"/>
          <w:marTop w:val="0"/>
          <w:marBottom w:val="0"/>
          <w:divBdr>
            <w:top w:val="none" w:sz="0" w:space="0" w:color="auto"/>
            <w:left w:val="none" w:sz="0" w:space="0" w:color="auto"/>
            <w:bottom w:val="none" w:sz="0" w:space="0" w:color="auto"/>
            <w:right w:val="none" w:sz="0" w:space="0" w:color="auto"/>
          </w:divBdr>
        </w:div>
        <w:div w:id="1353337153">
          <w:marLeft w:val="0"/>
          <w:marRight w:val="0"/>
          <w:marTop w:val="0"/>
          <w:marBottom w:val="0"/>
          <w:divBdr>
            <w:top w:val="none" w:sz="0" w:space="0" w:color="auto"/>
            <w:left w:val="none" w:sz="0" w:space="0" w:color="auto"/>
            <w:bottom w:val="none" w:sz="0" w:space="0" w:color="auto"/>
            <w:right w:val="none" w:sz="0" w:space="0" w:color="auto"/>
          </w:divBdr>
          <w:divsChild>
            <w:div w:id="935331903">
              <w:marLeft w:val="-165"/>
              <w:marRight w:val="-165"/>
              <w:marTop w:val="0"/>
              <w:marBottom w:val="0"/>
              <w:divBdr>
                <w:top w:val="none" w:sz="0" w:space="0" w:color="auto"/>
                <w:left w:val="none" w:sz="0" w:space="0" w:color="auto"/>
                <w:bottom w:val="none" w:sz="0" w:space="0" w:color="auto"/>
                <w:right w:val="none" w:sz="0" w:space="0" w:color="auto"/>
              </w:divBdr>
              <w:divsChild>
                <w:div w:id="1330328751">
                  <w:marLeft w:val="0"/>
                  <w:marRight w:val="0"/>
                  <w:marTop w:val="0"/>
                  <w:marBottom w:val="0"/>
                  <w:divBdr>
                    <w:top w:val="none" w:sz="0" w:space="0" w:color="auto"/>
                    <w:left w:val="none" w:sz="0" w:space="0" w:color="auto"/>
                    <w:bottom w:val="none" w:sz="0" w:space="0" w:color="auto"/>
                    <w:right w:val="none" w:sz="0" w:space="0" w:color="auto"/>
                  </w:divBdr>
                  <w:divsChild>
                    <w:div w:id="1819373404">
                      <w:marLeft w:val="0"/>
                      <w:marRight w:val="0"/>
                      <w:marTop w:val="0"/>
                      <w:marBottom w:val="0"/>
                      <w:divBdr>
                        <w:top w:val="none" w:sz="0" w:space="0" w:color="auto"/>
                        <w:left w:val="none" w:sz="0" w:space="0" w:color="auto"/>
                        <w:bottom w:val="none" w:sz="0" w:space="0" w:color="auto"/>
                        <w:right w:val="none" w:sz="0" w:space="0" w:color="auto"/>
                      </w:divBdr>
                      <w:divsChild>
                        <w:div w:id="207758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62117">
                  <w:marLeft w:val="0"/>
                  <w:marRight w:val="0"/>
                  <w:marTop w:val="0"/>
                  <w:marBottom w:val="0"/>
                  <w:divBdr>
                    <w:top w:val="none" w:sz="0" w:space="0" w:color="auto"/>
                    <w:left w:val="none" w:sz="0" w:space="0" w:color="auto"/>
                    <w:bottom w:val="none" w:sz="0" w:space="0" w:color="auto"/>
                    <w:right w:val="none" w:sz="0" w:space="0" w:color="auto"/>
                  </w:divBdr>
                </w:div>
                <w:div w:id="187257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487747">
          <w:marLeft w:val="0"/>
          <w:marRight w:val="0"/>
          <w:marTop w:val="0"/>
          <w:marBottom w:val="0"/>
          <w:divBdr>
            <w:top w:val="none" w:sz="0" w:space="0" w:color="auto"/>
            <w:left w:val="none" w:sz="0" w:space="0" w:color="auto"/>
            <w:bottom w:val="none" w:sz="0" w:space="0" w:color="auto"/>
            <w:right w:val="none" w:sz="0" w:space="0" w:color="auto"/>
          </w:divBdr>
          <w:divsChild>
            <w:div w:id="352540417">
              <w:marLeft w:val="0"/>
              <w:marRight w:val="0"/>
              <w:marTop w:val="0"/>
              <w:marBottom w:val="0"/>
              <w:divBdr>
                <w:top w:val="none" w:sz="0" w:space="0" w:color="auto"/>
                <w:left w:val="none" w:sz="0" w:space="0" w:color="auto"/>
                <w:bottom w:val="none" w:sz="0" w:space="0" w:color="auto"/>
                <w:right w:val="none" w:sz="0" w:space="0" w:color="auto"/>
              </w:divBdr>
              <w:divsChild>
                <w:div w:id="1124272567">
                  <w:marLeft w:val="-165"/>
                  <w:marRight w:val="-165"/>
                  <w:marTop w:val="0"/>
                  <w:marBottom w:val="0"/>
                  <w:divBdr>
                    <w:top w:val="none" w:sz="0" w:space="0" w:color="auto"/>
                    <w:left w:val="none" w:sz="0" w:space="0" w:color="auto"/>
                    <w:bottom w:val="none" w:sz="0" w:space="0" w:color="auto"/>
                    <w:right w:val="none" w:sz="0" w:space="0" w:color="auto"/>
                  </w:divBdr>
                  <w:divsChild>
                    <w:div w:id="1546212106">
                      <w:marLeft w:val="0"/>
                      <w:marRight w:val="0"/>
                      <w:marTop w:val="0"/>
                      <w:marBottom w:val="0"/>
                      <w:divBdr>
                        <w:top w:val="none" w:sz="0" w:space="0" w:color="auto"/>
                        <w:left w:val="none" w:sz="0" w:space="0" w:color="auto"/>
                        <w:bottom w:val="none" w:sz="0" w:space="0" w:color="auto"/>
                        <w:right w:val="none" w:sz="0" w:space="0" w:color="auto"/>
                      </w:divBdr>
                    </w:div>
                    <w:div w:id="1625774021">
                      <w:marLeft w:val="0"/>
                      <w:marRight w:val="0"/>
                      <w:marTop w:val="0"/>
                      <w:marBottom w:val="0"/>
                      <w:divBdr>
                        <w:top w:val="none" w:sz="0" w:space="0" w:color="auto"/>
                        <w:left w:val="none" w:sz="0" w:space="0" w:color="auto"/>
                        <w:bottom w:val="none" w:sz="0" w:space="0" w:color="auto"/>
                        <w:right w:val="none" w:sz="0" w:space="0" w:color="auto"/>
                      </w:divBdr>
                    </w:div>
                  </w:divsChild>
                </w:div>
                <w:div w:id="1903825815">
                  <w:marLeft w:val="-165"/>
                  <w:marRight w:val="-165"/>
                  <w:marTop w:val="0"/>
                  <w:marBottom w:val="0"/>
                  <w:divBdr>
                    <w:top w:val="none" w:sz="0" w:space="0" w:color="auto"/>
                    <w:left w:val="none" w:sz="0" w:space="0" w:color="auto"/>
                    <w:bottom w:val="none" w:sz="0" w:space="0" w:color="auto"/>
                    <w:right w:val="none" w:sz="0" w:space="0" w:color="auto"/>
                  </w:divBdr>
                  <w:divsChild>
                    <w:div w:id="1824589331">
                      <w:marLeft w:val="0"/>
                      <w:marRight w:val="0"/>
                      <w:marTop w:val="0"/>
                      <w:marBottom w:val="0"/>
                      <w:divBdr>
                        <w:top w:val="none" w:sz="0" w:space="0" w:color="auto"/>
                        <w:left w:val="none" w:sz="0" w:space="0" w:color="auto"/>
                        <w:bottom w:val="none" w:sz="0" w:space="0" w:color="auto"/>
                        <w:right w:val="none" w:sz="0" w:space="0" w:color="auto"/>
                      </w:divBdr>
                    </w:div>
                    <w:div w:id="7590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erudit.org/en/journals/ron/1900-v1-n1-ron738/008697ar/" TargetMode="External"/><Relationship Id="rId21" Type="http://schemas.openxmlformats.org/officeDocument/2006/relationships/hyperlink" Target="https://www.erudit.org/en/journals/ron/1900-v1-n1-ron738/008697ar/" TargetMode="External"/><Relationship Id="rId34" Type="http://schemas.openxmlformats.org/officeDocument/2006/relationships/hyperlink" Target="https://www.erudit.org/en/journals/ron/1900-v1-n1-ron738/008697ar/" TargetMode="External"/><Relationship Id="rId42" Type="http://schemas.openxmlformats.org/officeDocument/2006/relationships/hyperlink" Target="https://www.erudit.org/en/journals/ron/1900-v1-n1-ron738/008697ar/" TargetMode="External"/><Relationship Id="rId47" Type="http://schemas.openxmlformats.org/officeDocument/2006/relationships/hyperlink" Target="http://scholar.google.com/scholar?q=---.%20%E2%80%9CNotes%20on%20Narrative%20Embedding.%E2%80%9D%20Poetics%20Today%202.2%20(1981):%2041-59." TargetMode="External"/><Relationship Id="rId50" Type="http://schemas.openxmlformats.org/officeDocument/2006/relationships/hyperlink" Target="http://scholar.google.com/scholar?q=Botting,%20Fred.%20Making%20Monstrous:%20Frankenstein,%20Criticism,%20Theory.%20Manchester%20and%20New%20York:%20Manchester%20UP,%201991." TargetMode="External"/><Relationship Id="rId55" Type="http://schemas.openxmlformats.org/officeDocument/2006/relationships/hyperlink" Target="http://scholar.google.com/scholar?q=Chandler,%20Wayne%20A.%20%E2%80%9CFrankenstein%E2%80%99s%20Many%20Readers.%E2%80%9D%20Extrapolation%2037.1%20(1996):%2037-45." TargetMode="External"/><Relationship Id="rId63" Type="http://schemas.openxmlformats.org/officeDocument/2006/relationships/hyperlink" Target="http://scholar.google.com/scholar?q=D%C3%A4llenbach,%20Lucien.%20Le%20R%C3%A9cit%20sp%C3%A9culaire.%20Paris:%20Seuil,%201977." TargetMode="External"/><Relationship Id="rId68" Type="http://schemas.openxmlformats.org/officeDocument/2006/relationships/hyperlink" Target="http://scholar.google.com/scholar?q=Genette,%20G%C3%A9rard.%20Narrative%20Discourse:%20An%20Essay%20in%20Method.%20Trans.%20Jane%20E.%20Lewin.%20Ithaca,%20NY:%20Cornell%20UP,%201980." TargetMode="External"/><Relationship Id="rId76" Type="http://schemas.openxmlformats.org/officeDocument/2006/relationships/hyperlink" Target="http://scholar.google.com/scholar?q=Knoepflmacher,%20U.%20C.%20%E2%80%9CThoughts%20on%20the%20Aggression%20of%20Daughters.%E2%80%9D%20The%20Endurance%20of%20Frankenstein:%20Essays%20on%20Mary%20Shelley%E2%80%99s%20Novel.%20Ed.%20George%20Levine%20and%20U.%20C.%20Knoepflmacher.%20Berkeley:%20University%20of%20California%20Press,%201979.%2088-119." TargetMode="External"/><Relationship Id="rId84" Type="http://schemas.openxmlformats.org/officeDocument/2006/relationships/hyperlink" Target="https://doi.org/10.2307/1772040" TargetMode="External"/><Relationship Id="rId89" Type="http://schemas.openxmlformats.org/officeDocument/2006/relationships/hyperlink" Target="http://scholar.google.com/scholar?q=---.%20A%20Grammar%20of%20Stories.%20The%20Hague:%20Mouton,%201973." TargetMode="External"/><Relationship Id="rId97" Type="http://schemas.openxmlformats.org/officeDocument/2006/relationships/theme" Target="theme/theme1.xml"/><Relationship Id="rId7" Type="http://schemas.openxmlformats.org/officeDocument/2006/relationships/webSettings" Target="webSettings.xml"/><Relationship Id="rId71" Type="http://schemas.openxmlformats.org/officeDocument/2006/relationships/hyperlink" Target="https://doi.org/10.4324/9780203328446" TargetMode="External"/><Relationship Id="rId92" Type="http://schemas.openxmlformats.org/officeDocument/2006/relationships/hyperlink" Target="http://scholar.google.com/scholar?q=Small,%20Christopher.%20Mary%20Shelley%E2%80%99s%20Frankenstein:%20Tracing%20the%20Myth.%20Pittsburgh:%20U%20of%20Pittsburgh%20P,%201973." TargetMode="External"/><Relationship Id="rId2" Type="http://schemas.openxmlformats.org/officeDocument/2006/relationships/customXml" Target="../customXml/item2.xml"/><Relationship Id="rId16" Type="http://schemas.openxmlformats.org/officeDocument/2006/relationships/hyperlink" Target="https://www.erudit.org/en/journals/ron/1900-v1-n1-ron738/008697ar/" TargetMode="External"/><Relationship Id="rId29" Type="http://schemas.openxmlformats.org/officeDocument/2006/relationships/hyperlink" Target="https://www.erudit.org/en/journals/ron/1900-v1-n1-ron738/008697ar/" TargetMode="External"/><Relationship Id="rId11" Type="http://schemas.openxmlformats.org/officeDocument/2006/relationships/hyperlink" Target="https://www.erudit.org/en/journals/ron/1900-v1-n1-ron738/008697ar/" TargetMode="External"/><Relationship Id="rId24" Type="http://schemas.openxmlformats.org/officeDocument/2006/relationships/hyperlink" Target="https://www.erudit.org/en/journals/ron/1900-v1-n1-ron738/008697ar/" TargetMode="External"/><Relationship Id="rId32" Type="http://schemas.openxmlformats.org/officeDocument/2006/relationships/hyperlink" Target="https://www.erudit.org/en/journals/ron/1900-v1-n1-ron738/008697ar/" TargetMode="External"/><Relationship Id="rId37" Type="http://schemas.openxmlformats.org/officeDocument/2006/relationships/hyperlink" Target="https://www.erudit.org/en/journals/ron/1900-v1-n1-ron738/008697ar/" TargetMode="External"/><Relationship Id="rId40" Type="http://schemas.openxmlformats.org/officeDocument/2006/relationships/hyperlink" Target="https://www.erudit.org/en/journals/ron/1900-v1-n1-ron738/008697ar/" TargetMode="External"/><Relationship Id="rId45" Type="http://schemas.openxmlformats.org/officeDocument/2006/relationships/hyperlink" Target="https://www.erudit.org/en/journals/ron/1900-v1-n1-ron738/008697ar/" TargetMode="External"/><Relationship Id="rId53" Type="http://schemas.openxmlformats.org/officeDocument/2006/relationships/hyperlink" Target="http://scholar.google.com/scholar?q=Brooks,%20Peter.%20Reading%20for%20the%20Plot:%20Design%20and%20Intention%20in%20Narrative.%20New%20York:%20Knopf,%201984." TargetMode="External"/><Relationship Id="rId58" Type="http://schemas.openxmlformats.org/officeDocument/2006/relationships/hyperlink" Target="http://scholar.google.com/scholar?q=Conrad,%20Joseph.%20Heart%20of%20Darkness:%20An%20Authoritative%20Text,%20Backgrounds%20and%20Sources,%20Criticism.%203rd%20ed.%20Ed.%20Robert%20Kimbraugh.%20New%20York:%20Norton,%201988." TargetMode="External"/><Relationship Id="rId66" Type="http://schemas.openxmlformats.org/officeDocument/2006/relationships/hyperlink" Target="http://scholar.google.com/scholar?q=%E2%80%9CFrame.%E2%80%9D%20American%20Heritage%20Dictionary.%204th%20edition.%20Boston:%20Houghton%20Mifflin,%202000." TargetMode="External"/><Relationship Id="rId74" Type="http://schemas.openxmlformats.org/officeDocument/2006/relationships/hyperlink" Target="http://scholar.google.com/scholar?q=Jefferson,%20Ann.%20%E2%80%9CMise%20en%20abyme%20and%20the%20Prophetic%20in%20Narrative.%E2%80%9D%20Style%2017.2%20(1983):%20196-208." TargetMode="External"/><Relationship Id="rId79" Type="http://schemas.openxmlformats.org/officeDocument/2006/relationships/hyperlink" Target="http://scholar.google.com/scholar?q=Mellor,%20Anne%20K.%20Mary%20Shelley:%20Her%20Life,%20Her%20Fiction,%20Her%20Monsters.%20London:%20Methuen,%201988." TargetMode="External"/><Relationship Id="rId87" Type="http://schemas.openxmlformats.org/officeDocument/2006/relationships/hyperlink" Target="http://scholar.google.com/scholar?q=Ping,%20Tang%20Soo.%20%E2%80%9CFrankenstein,%20Paradise%20Lost,%20and%20%E2%80%98The%20Majesty%20of%20Goodness.%E2%80%99%E2%80%9D%20College%20Literature%2016.3%20(1989):%20255-60." TargetMode="External"/><Relationship Id="rId5" Type="http://schemas.openxmlformats.org/officeDocument/2006/relationships/styles" Target="styles.xml"/><Relationship Id="rId61" Type="http://schemas.openxmlformats.org/officeDocument/2006/relationships/hyperlink" Target="https://doi.org/10.4324/9780203449769" TargetMode="External"/><Relationship Id="rId82" Type="http://schemas.openxmlformats.org/officeDocument/2006/relationships/hyperlink" Target="https://doi.org/10.2307/2873151" TargetMode="External"/><Relationship Id="rId90" Type="http://schemas.openxmlformats.org/officeDocument/2006/relationships/hyperlink" Target="http://scholar.google.com/scholar?q=Shelley,%20Mary%20Wollstonecraft.%20Frankenstein;%20or,%20The%20Modern%20Prometheus.%201818;%201831.%20Ed.%20M.%20K.%20Joseph.%20Oxford:%20Oxford%20UP,%201969." TargetMode="External"/><Relationship Id="rId95" Type="http://schemas.openxmlformats.org/officeDocument/2006/relationships/hyperlink" Target="http://scholar.google.com/scholar?q=Wolf,%20Leonard,%20ed.%20The%20Essential%20Frankenstein.%20New%20York:%20Plume,%201993." TargetMode="External"/><Relationship Id="rId19" Type="http://schemas.openxmlformats.org/officeDocument/2006/relationships/hyperlink" Target="https://www.erudit.org/en/journals/ron/1900-v1-n1-ron738/008697ar/" TargetMode="External"/><Relationship Id="rId14" Type="http://schemas.openxmlformats.org/officeDocument/2006/relationships/hyperlink" Target="https://www.erudit.org/en/journals/ron/1900-v1-n1-ron738/008697ar/" TargetMode="External"/><Relationship Id="rId22" Type="http://schemas.openxmlformats.org/officeDocument/2006/relationships/hyperlink" Target="https://www.erudit.org/en/journals/ron/1900-v1-n1-ron738/008697ar/" TargetMode="External"/><Relationship Id="rId27" Type="http://schemas.openxmlformats.org/officeDocument/2006/relationships/hyperlink" Target="https://www.erudit.org/en/journals/ron/1900-v1-n1-ron738/008697ar/" TargetMode="External"/><Relationship Id="rId30" Type="http://schemas.openxmlformats.org/officeDocument/2006/relationships/hyperlink" Target="https://www.erudit.org/en/journals/ron/1900-v1-n1-ron738/008697ar/" TargetMode="External"/><Relationship Id="rId35" Type="http://schemas.openxmlformats.org/officeDocument/2006/relationships/hyperlink" Target="https://www.erudit.org/en/journals/ron/1900-v1-n1-ron738/008697ar/" TargetMode="External"/><Relationship Id="rId43" Type="http://schemas.openxmlformats.org/officeDocument/2006/relationships/hyperlink" Target="https://www.erudit.org/en/journals/ron/1900-v1-n1-ron738/008697ar/" TargetMode="External"/><Relationship Id="rId48" Type="http://schemas.openxmlformats.org/officeDocument/2006/relationships/hyperlink" Target="https://doi.org/10.2307/1772189" TargetMode="External"/><Relationship Id="rId56" Type="http://schemas.openxmlformats.org/officeDocument/2006/relationships/hyperlink" Target="http://scholar.google.com/scholar?q=Coleridge,%20Samuel%20Taylor.%20%22The%20Rime%20of%20the%20Ancient%20Mariner.%22%20The%20Collected%20Works%20of%20Samuel%20Taylor%20Coleridge.%20Ed.%20J.C.C.%20Mays.%20Volume%2016.%20Princeton,%20NJ:%20Princeton%20UP,%201971-2001.%2016%20vols.%20504-39." TargetMode="External"/><Relationship Id="rId64" Type="http://schemas.openxmlformats.org/officeDocument/2006/relationships/hyperlink" Target="http://scholar.google.com/scholar?q=Desser,%20David.%20%E2%80%9CThe%20New%20Eve:%20The%20Influence%20of%20Paradise%20Lost%20and%20Frankenstein%20on%20Blade%20Runner.%E2%80%9D%20Retrofitting%20Blade%20Runner:%20Issues%20in%20Ridley%20Scott%E2%80%99s%20Blade%20Runner%20and%20Philip%20K.%20Dick%E2%80%99s%20Do%20Androids%20Dream%20of%20Electric%20Sheep?%20Bowling%20Green,%20OH:%20Popular,%201991.%2053-65." TargetMode="External"/><Relationship Id="rId69" Type="http://schemas.openxmlformats.org/officeDocument/2006/relationships/hyperlink" Target="http://scholar.google.com/scholar?q=Gerrig,%20Richard%20J.%20Experiencing%20Narrative%20Worlds:%20On%20the%20Psychological%20Activities%20of%20Reading.%20New%20Haven%20and%20London:%20Yale%20UP,%201993." TargetMode="External"/><Relationship Id="rId77" Type="http://schemas.openxmlformats.org/officeDocument/2006/relationships/hyperlink" Target="https://doi.org/10.1525/ncl.1992.47.3.99p0457o" TargetMode="External"/><Relationship Id="rId8" Type="http://schemas.openxmlformats.org/officeDocument/2006/relationships/hyperlink" Target="https://www.erudit.org/en/journals/ron/1900-v1-n1-ron738/008697ar/" TargetMode="External"/><Relationship Id="rId51" Type="http://schemas.openxmlformats.org/officeDocument/2006/relationships/hyperlink" Target="http://scholar.google.com/scholar?q=Bront%C3%AB,%20Emily.%20Wuthering%20Heights.%201847.%20Ed.%20Hilda%20Marsden%20and%20Ian%20Jack.%20Oxford:%20Clarendon,%201976." TargetMode="External"/><Relationship Id="rId72" Type="http://schemas.openxmlformats.org/officeDocument/2006/relationships/hyperlink" Target="http://scholar.google.com/scholar?q=Jackson,%20Rosemary.%20Fantasy:%20The%20Literature%20of%20Subversion.%20New%20York%20and%20London:%20Methuen,%201981." TargetMode="External"/><Relationship Id="rId80" Type="http://schemas.openxmlformats.org/officeDocument/2006/relationships/hyperlink" Target="http://scholar.google.com/scholar?q=Milton,%20John.%20Paradise%20Lost.%201667-74.%20Complete%20Poems%20and%20Major%20Prose.%20Ed.%20Merritt%20Y.%20Hughes.%20New%20York:%20Odyssey,%201957.%20207-469." TargetMode="External"/><Relationship Id="rId85" Type="http://schemas.openxmlformats.org/officeDocument/2006/relationships/hyperlink" Target="http://scholar.google.com/scholar?q=Perry,%20Menakhem.%20%E2%80%9CLiterary%20Dynamics:%20How%20the%20Order%20of%20a%20Text%20Creates%20Its%20Meanings.%E2%80%9D%20Poetics%20Today%201.1%20(1979):%2035-64." TargetMode="External"/><Relationship Id="rId93" Type="http://schemas.openxmlformats.org/officeDocument/2006/relationships/hyperlink" Target="http://scholar.google.com/scholar?q=Soyka,%20David.%20%E2%80%9CFrankenstein%20and%20the%20Miltonic%20Creation%20of%20Evil.%E2%80%9D%20Extrapolation%2033.2%20(1992):%20166-77." TargetMode="External"/><Relationship Id="rId3" Type="http://schemas.openxmlformats.org/officeDocument/2006/relationships/customXml" Target="../customXml/item3.xml"/><Relationship Id="rId12" Type="http://schemas.openxmlformats.org/officeDocument/2006/relationships/hyperlink" Target="https://www.erudit.org/en/journals/ron/1900-v1-n1-ron738/008697ar/" TargetMode="External"/><Relationship Id="rId17" Type="http://schemas.openxmlformats.org/officeDocument/2006/relationships/hyperlink" Target="https://www.erudit.org/en/journals/ron/1900-v1-n1-ron738/008697ar/" TargetMode="External"/><Relationship Id="rId25" Type="http://schemas.openxmlformats.org/officeDocument/2006/relationships/hyperlink" Target="https://www.erudit.org/en/journals/ron/1900-v1-n1-ron738/008697ar/" TargetMode="External"/><Relationship Id="rId33" Type="http://schemas.openxmlformats.org/officeDocument/2006/relationships/hyperlink" Target="https://www.erudit.org/en/journals/ron/1900-v1-n1-ron738/008697ar/" TargetMode="External"/><Relationship Id="rId38" Type="http://schemas.openxmlformats.org/officeDocument/2006/relationships/hyperlink" Target="https://www.erudit.org/en/journals/ron/1900-v1-n1-ron738/008697ar/" TargetMode="External"/><Relationship Id="rId46" Type="http://schemas.openxmlformats.org/officeDocument/2006/relationships/hyperlink" Target="http://scholar.google.com/scholar?q=Bal,%20Mieke.%20Narratology:%20Introduction%20to%20the%20Theory%20of%20Narrative.%20Trans.%20Christine%20van%20Boheemen.%20Toronto:%20U%20of%20Toronto%20P,%201985." TargetMode="External"/><Relationship Id="rId59" Type="http://schemas.openxmlformats.org/officeDocument/2006/relationships/hyperlink" Target="https://doi.org/10.2307/3683905" TargetMode="External"/><Relationship Id="rId67" Type="http://schemas.openxmlformats.org/officeDocument/2006/relationships/hyperlink" Target="http://scholar.google.com/scholar?q=---.%20Oxford%20English%20DictionaryVersion%203.0.%20Ed.%20John%20A.%20Simpson.%20Oxford:%20Oxford%20UP,%202002." TargetMode="External"/><Relationship Id="rId20" Type="http://schemas.openxmlformats.org/officeDocument/2006/relationships/hyperlink" Target="https://www.erudit.org/en/journals/ron/1900-v1-n1-ron738/008697ar/" TargetMode="External"/><Relationship Id="rId41" Type="http://schemas.openxmlformats.org/officeDocument/2006/relationships/hyperlink" Target="https://www.erudit.org/en/journals/ron/1900-v1-n1-ron738/008697ar/" TargetMode="External"/><Relationship Id="rId54" Type="http://schemas.openxmlformats.org/officeDocument/2006/relationships/hyperlink" Target="http://scholar.google.com/scholar?q=Caws,%20Mary%20Ann.%20Reading%20Frames%20in%20Modern%20Fiction.%20Princeton,%20NJ:%20Princeton%20UP,%201986." TargetMode="External"/><Relationship Id="rId62" Type="http://schemas.openxmlformats.org/officeDocument/2006/relationships/hyperlink" Target="http://scholar.google.com/scholar?q=Culler,%20Jonathan.%20Structuralist%20Poetics:%20Structuralism,%20Linguistics%20and%20the%20Study%20of%20Literature.%20London:%20Routledge,%201975." TargetMode="External"/><Relationship Id="rId70" Type="http://schemas.openxmlformats.org/officeDocument/2006/relationships/hyperlink" Target="http://scholar.google.com/scholar?q=Goffman,%20Erving.%20Frame%20Analysis:%20An%20Essay%20on%20the%20Organization%20of%20Experience.%20Cambridge:%20Harvard%20UP,%201974." TargetMode="External"/><Relationship Id="rId75" Type="http://schemas.openxmlformats.org/officeDocument/2006/relationships/hyperlink" Target="http://scholar.google.com/scholar?q=Ketterer,%20David.%20Frankenstein%E2%80%99s%20Creation:%20The%20Book,%20the%20Monster,%20and%20Human%20Reality.%20ELS%20Monograph%20Series%2016.%20Victoria:%20ELS,%201979." TargetMode="External"/><Relationship Id="rId83" Type="http://schemas.openxmlformats.org/officeDocument/2006/relationships/hyperlink" Target="http://scholar.google.com/scholar?q=Newman,%20Beth.%20%E2%80%9CNarratives%20of%20Seduction%20and%20the%20Seduction%20of%20Narrative:%20The%20Frame%20Structure%20in%20Frankenstein.%E2%80%9D%20ELH%2053%20(1986):%20141-63." TargetMode="External"/><Relationship Id="rId88" Type="http://schemas.openxmlformats.org/officeDocument/2006/relationships/hyperlink" Target="http://scholar.google.com/scholar?q=Prince,%20Gerald.%20A%20Dictionary%20of%20Narratology%20.%20Lincoln:%20U%20of%20Nebraska%20P,%201987." TargetMode="External"/><Relationship Id="rId91" Type="http://schemas.openxmlformats.org/officeDocument/2006/relationships/hyperlink" Target="http://scholar.google.com/scholar?q=---.%20The%20Journals%20of%20Mary%20Shelley,%201814-1844.%20Ed.%20Paula%20R.%20Feldman%20and%20Diana%20Scott-Kilvert.%202%20vols.%20Oxford:%20Clarendon,%201987."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www.erudit.org/en/journals/ron/1900-v1-n1-ron738/008697ar/" TargetMode="External"/><Relationship Id="rId23" Type="http://schemas.openxmlformats.org/officeDocument/2006/relationships/hyperlink" Target="https://www.erudit.org/en/journals/ron/1900-v1-n1-ron738/008697ar/" TargetMode="External"/><Relationship Id="rId28" Type="http://schemas.openxmlformats.org/officeDocument/2006/relationships/hyperlink" Target="https://www.erudit.org/en/journals/ron/1900-v1-n1-ron738/008697ar/" TargetMode="External"/><Relationship Id="rId36" Type="http://schemas.openxmlformats.org/officeDocument/2006/relationships/hyperlink" Target="https://www.erudit.org/en/journals/ron/1900-v1-n1-ron738/008697ar/" TargetMode="External"/><Relationship Id="rId49" Type="http://schemas.openxmlformats.org/officeDocument/2006/relationships/hyperlink" Target="http://scholar.google.com/scholar?q=Baldick,%20Chris.%20In%20Frankenstein%E2%80%99s%20Shadow:%20Myth,%20Monstrosity,%20and%20Nineteenth-Century%20Writing.%20Oxford:%20Clarendon,%201987." TargetMode="External"/><Relationship Id="rId57" Type="http://schemas.openxmlformats.org/officeDocument/2006/relationships/hyperlink" Target="http://scholar.google.com/scholar?q=Conger,%20Syndy%20M.%20%E2%80%9CAporia%20and%20Radical%20Empathy:%20Frankenstein%20(Re)Trains%20the%20Reader.%E2%80%9D%20Approaches%20to%20Teaching%20Frankenstein.%20Ed.%20Stephen%20C.%20Behrendt.%20New%20York:%20MLA,%201990.%2060-66." TargetMode="External"/><Relationship Id="rId10" Type="http://schemas.openxmlformats.org/officeDocument/2006/relationships/hyperlink" Target="https://www.erudit.org/en/journals/ron/1900-v1-n1-ron738/008697ar/" TargetMode="External"/><Relationship Id="rId31" Type="http://schemas.openxmlformats.org/officeDocument/2006/relationships/hyperlink" Target="https://www.erudit.org/en/journals/ron/1900-v1-n1-ron738/008697ar/" TargetMode="External"/><Relationship Id="rId44" Type="http://schemas.openxmlformats.org/officeDocument/2006/relationships/hyperlink" Target="https://www.erudit.org/en/journals/ron/1900-v1-n1-ron738/008697ar/" TargetMode="External"/><Relationship Id="rId52" Type="http://schemas.openxmlformats.org/officeDocument/2006/relationships/hyperlink" Target="http://scholar.google.com/scholar?q=Brooke-Rose,%20Christine.%20A%20Rhetoric%20of%20the%20Unreal:%20Studies%20in%20Narrative%20and%20Structure,%20Especially%20of%20the%20Fantastic.%20New%20York:%20Cambridge%20UP,%201981." TargetMode="External"/><Relationship Id="rId60" Type="http://schemas.openxmlformats.org/officeDocument/2006/relationships/hyperlink" Target="http://scholar.google.com/scholar?q=Cottom,%20Daniel.%20%E2%80%9CFrankenstein%20and%20the%20Monster%20of%20Representation.%E2%80%9D%20Sub-Stance%2028%20(1980):%2060-71." TargetMode="External"/><Relationship Id="rId65" Type="http://schemas.openxmlformats.org/officeDocument/2006/relationships/hyperlink" Target="http://scholar.google.com/scholar?q=Dunn,%20Richard%20J.%20%E2%80%9CNarrative%20Distance%20in%20Frankenstein.%E2%80%9D%20Studies%20in%20the%20Novel%206%20(1974):%20408-17." TargetMode="External"/><Relationship Id="rId73" Type="http://schemas.openxmlformats.org/officeDocument/2006/relationships/hyperlink" Target="http://scholar.google.com/scholar?q=James,%20Henry.%20%22The%20Figure%20in%20the%20Carpet.%22%201896.%20The%20Complete%20Tales%20of%20Henry%20James.%20Ed.%20Leon%20Edel.%20Vol.%209.%20London:%20Rupert%20Hart-Davis,%201962-64.%2012%20vols.%20273-315." TargetMode="External"/><Relationship Id="rId78" Type="http://schemas.openxmlformats.org/officeDocument/2006/relationships/hyperlink" Target="http://scholar.google.com/scholar?q=Lamb,%20John%20B.%20%E2%80%9CMary%20Shelley%E2%80%99s%20Frankenstein%20and%20Milton%E2%80%99s%20Monstrous%20Myth.%E2%80%9D%20Nineteenth-Century%20Literature%2047.3%20(1992):%20303-19." TargetMode="External"/><Relationship Id="rId81" Type="http://schemas.openxmlformats.org/officeDocument/2006/relationships/hyperlink" Target="http://scholar.google.com/scholar?q=Minsky,%20Marvin.%20%E2%80%9CA%20Framework%20for%20Representing%20Knowledge.%E2%80%9D%20The%20Psychology%20of%20Computer%20Vision.%20Ed.%20Patrick%20Winston.%20New%20York:%20McGraw,%201975.%20211-77." TargetMode="External"/><Relationship Id="rId86" Type="http://schemas.openxmlformats.org/officeDocument/2006/relationships/hyperlink" Target="http://scholar.google.com/scholar?q=Phelan,%20James,%20ed.%20Reading%20Narrative:%20Form,%20Ethics,%20Ideology.%20Columbus:%20Ohio%20State%20UP,%201989." TargetMode="External"/><Relationship Id="rId94" Type="http://schemas.openxmlformats.org/officeDocument/2006/relationships/hyperlink" Target="http://scholar.google.com/scholar?q=Suvin,%20Darko.%20Metamorphosis%20of%20Science%20Fiction.%20New%20Haven,%20CT:%20Yale%20UP,%201979." TargetMode="External"/><Relationship Id="rId4" Type="http://schemas.openxmlformats.org/officeDocument/2006/relationships/numbering" Target="numbering.xml"/><Relationship Id="rId9" Type="http://schemas.openxmlformats.org/officeDocument/2006/relationships/hyperlink" Target="https://www.erudit.org/en/journals/ron/1900-v1-n1-ron738/008697ar/" TargetMode="External"/><Relationship Id="rId13" Type="http://schemas.openxmlformats.org/officeDocument/2006/relationships/hyperlink" Target="https://www.erudit.org/en/journals/ron/1900-v1-n1-ron738/008697ar/" TargetMode="External"/><Relationship Id="rId18" Type="http://schemas.openxmlformats.org/officeDocument/2006/relationships/hyperlink" Target="https://www.erudit.org/en/journals/ron/1900-v1-n1-ron738/008697ar/" TargetMode="External"/><Relationship Id="rId39" Type="http://schemas.openxmlformats.org/officeDocument/2006/relationships/hyperlink" Target="https://www.erudit.org/en/journals/ron/1900-v1-n1-ron738/008697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8D092A40B57444A5A9EF072E3B048E" ma:contentTypeVersion="32" ma:contentTypeDescription="Create a new document." ma:contentTypeScope="" ma:versionID="3e700dfcca1a2a52933fc29c1c3ac9b9">
  <xsd:schema xmlns:xsd="http://www.w3.org/2001/XMLSchema" xmlns:xs="http://www.w3.org/2001/XMLSchema" xmlns:p="http://schemas.microsoft.com/office/2006/metadata/properties" xmlns:ns3="38ddde75-0934-4bec-a369-79257b122dc2" xmlns:ns4="3558e576-b1e5-468d-80a1-1877f16c586c" targetNamespace="http://schemas.microsoft.com/office/2006/metadata/properties" ma:root="true" ma:fieldsID="15318729572d896945660c2e9dfaa49e" ns3:_="" ns4:_="">
    <xsd:import namespace="38ddde75-0934-4bec-a369-79257b122dc2"/>
    <xsd:import namespace="3558e576-b1e5-468d-80a1-1877f16c586c"/>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4:SharedWithUsers" minOccurs="0"/>
                <xsd:element ref="ns4:SharedWithDetails" minOccurs="0"/>
                <xsd:element ref="ns4:SharingHintHash" minOccurs="0"/>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Teachers" minOccurs="0"/>
                <xsd:element ref="ns3:Students" minOccurs="0"/>
                <xsd:element ref="ns3:Student_Groups" minOccurs="0"/>
                <xsd:element ref="ns3:Distribution_Groups" minOccurs="0"/>
                <xsd:element ref="ns3:LMS_Mapping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ddde75-0934-4bec-a369-79257b122d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NotebookType" ma:index="16" nillable="true" ma:displayName="Notebook Type" ma:internalName="NotebookType">
      <xsd:simpleType>
        <xsd:restriction base="dms:Text"/>
      </xsd:simpleType>
    </xsd:element>
    <xsd:element name="FolderType" ma:index="17" nillable="true" ma:displayName="Folder Type" ma:internalName="FolderType">
      <xsd:simpleType>
        <xsd:restriction base="dms:Text"/>
      </xsd:simpleType>
    </xsd:element>
    <xsd:element name="CultureName" ma:index="18" nillable="true" ma:displayName="Culture Name" ma:internalName="CultureName">
      <xsd:simpleType>
        <xsd:restriction base="dms:Text"/>
      </xsd:simpleType>
    </xsd:element>
    <xsd:element name="AppVersion" ma:index="19" nillable="true" ma:displayName="App Version" ma:internalName="AppVersion">
      <xsd:simpleType>
        <xsd:restriction base="dms:Text"/>
      </xsd:simpleType>
    </xsd:element>
    <xsd:element name="TeamsChannelId" ma:index="20" nillable="true" ma:displayName="Teams Channel Id" ma:internalName="TeamsChannelId">
      <xsd:simpleType>
        <xsd:restriction base="dms:Text"/>
      </xsd:simpleType>
    </xsd:element>
    <xsd:element name="Owner" ma:index="21"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2" nillable="true" ma:displayName="Math Settings" ma:internalName="Math_Settings">
      <xsd:simpleType>
        <xsd:restriction base="dms:Text"/>
      </xsd:simpleType>
    </xsd:element>
    <xsd:element name="DefaultSectionNames" ma:index="23" nillable="true" ma:displayName="Default Section Names" ma:internalName="DefaultSectionNames">
      <xsd:simpleType>
        <xsd:restriction base="dms:Note">
          <xsd:maxLength value="255"/>
        </xsd:restriction>
      </xsd:simpleType>
    </xsd:element>
    <xsd:element name="Templates" ma:index="24" nillable="true" ma:displayName="Templates" ma:internalName="Templates">
      <xsd:simpleType>
        <xsd:restriction base="dms:Note">
          <xsd:maxLength value="255"/>
        </xsd:restriction>
      </xsd:simpleType>
    </xsd:element>
    <xsd:element name="Teachers" ma:index="25"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6"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7"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8" nillable="true" ma:displayName="Distribution Groups" ma:internalName="Distribution_Groups">
      <xsd:simpleType>
        <xsd:restriction base="dms:Note">
          <xsd:maxLength value="255"/>
        </xsd:restriction>
      </xsd:simpleType>
    </xsd:element>
    <xsd:element name="LMS_Mappings" ma:index="29" nillable="true" ma:displayName="LMS Mappings" ma:internalName="LMS_Mappings">
      <xsd:simpleType>
        <xsd:restriction base="dms:Note">
          <xsd:maxLength value="255"/>
        </xsd:restriction>
      </xsd:simpleType>
    </xsd:element>
    <xsd:element name="Invited_Teachers" ma:index="30" nillable="true" ma:displayName="Invited Teachers" ma:internalName="Invited_Teachers">
      <xsd:simpleType>
        <xsd:restriction base="dms:Note">
          <xsd:maxLength value="255"/>
        </xsd:restriction>
      </xsd:simpleType>
    </xsd:element>
    <xsd:element name="Invited_Students" ma:index="31" nillable="true" ma:displayName="Invited Students" ma:internalName="Invited_Students">
      <xsd:simpleType>
        <xsd:restriction base="dms:Note">
          <xsd:maxLength value="255"/>
        </xsd:restriction>
      </xsd:simpleType>
    </xsd:element>
    <xsd:element name="Self_Registration_Enabled" ma:index="32" nillable="true" ma:displayName="Self Registration Enabled" ma:internalName="Self_Registration_Enabled">
      <xsd:simpleType>
        <xsd:restriction base="dms:Boolean"/>
      </xsd:simpleType>
    </xsd:element>
    <xsd:element name="Has_Teacher_Only_SectionGroup" ma:index="33" nillable="true" ma:displayName="Has Teacher Only SectionGroup" ma:internalName="Has_Teacher_Only_SectionGroup">
      <xsd:simpleType>
        <xsd:restriction base="dms:Boolean"/>
      </xsd:simpleType>
    </xsd:element>
    <xsd:element name="Is_Collaboration_Space_Locked" ma:index="34" nillable="true" ma:displayName="Is Collaboration Space Locked" ma:internalName="Is_Collaboration_Space_Locked">
      <xsd:simpleType>
        <xsd:restriction base="dms:Boolean"/>
      </xsd:simpleType>
    </xsd:element>
    <xsd:element name="IsNotebookLocked" ma:index="35" nillable="true" ma:displayName="Is Notebook Locked" ma:internalName="IsNotebookLocked">
      <xsd:simpleType>
        <xsd:restriction base="dms:Boolean"/>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element name="MediaServiceAutoKeyPoints" ma:index="38" nillable="true" ma:displayName="MediaServiceAutoKeyPoints" ma:hidden="true" ma:internalName="MediaServiceAutoKeyPoints" ma:readOnly="true">
      <xsd:simpleType>
        <xsd:restriction base="dms:Note"/>
      </xsd:simpleType>
    </xsd:element>
    <xsd:element name="MediaServiceKeyPoints" ma:index="3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558e576-b1e5-468d-80a1-1877f16c586c"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ultureName xmlns="38ddde75-0934-4bec-a369-79257b122dc2" xsi:nil="true"/>
    <Owner xmlns="38ddde75-0934-4bec-a369-79257b122dc2">
      <UserInfo>
        <DisplayName/>
        <AccountId xsi:nil="true"/>
        <AccountType/>
      </UserInfo>
    </Owner>
    <Students xmlns="38ddde75-0934-4bec-a369-79257b122dc2">
      <UserInfo>
        <DisplayName/>
        <AccountId xsi:nil="true"/>
        <AccountType/>
      </UserInfo>
    </Students>
    <LMS_Mappings xmlns="38ddde75-0934-4bec-a369-79257b122dc2" xsi:nil="true"/>
    <NotebookType xmlns="38ddde75-0934-4bec-a369-79257b122dc2" xsi:nil="true"/>
    <Has_Teacher_Only_SectionGroup xmlns="38ddde75-0934-4bec-a369-79257b122dc2" xsi:nil="true"/>
    <DefaultSectionNames xmlns="38ddde75-0934-4bec-a369-79257b122dc2" xsi:nil="true"/>
    <Is_Collaboration_Space_Locked xmlns="38ddde75-0934-4bec-a369-79257b122dc2" xsi:nil="true"/>
    <AppVersion xmlns="38ddde75-0934-4bec-a369-79257b122dc2" xsi:nil="true"/>
    <IsNotebookLocked xmlns="38ddde75-0934-4bec-a369-79257b122dc2" xsi:nil="true"/>
    <Distribution_Groups xmlns="38ddde75-0934-4bec-a369-79257b122dc2" xsi:nil="true"/>
    <Templates xmlns="38ddde75-0934-4bec-a369-79257b122dc2" xsi:nil="true"/>
    <TeamsChannelId xmlns="38ddde75-0934-4bec-a369-79257b122dc2" xsi:nil="true"/>
    <Invited_Teachers xmlns="38ddde75-0934-4bec-a369-79257b122dc2" xsi:nil="true"/>
    <Math_Settings xmlns="38ddde75-0934-4bec-a369-79257b122dc2" xsi:nil="true"/>
    <Self_Registration_Enabled xmlns="38ddde75-0934-4bec-a369-79257b122dc2" xsi:nil="true"/>
    <Invited_Students xmlns="38ddde75-0934-4bec-a369-79257b122dc2" xsi:nil="true"/>
    <FolderType xmlns="38ddde75-0934-4bec-a369-79257b122dc2" xsi:nil="true"/>
    <Teachers xmlns="38ddde75-0934-4bec-a369-79257b122dc2">
      <UserInfo>
        <DisplayName/>
        <AccountId xsi:nil="true"/>
        <AccountType/>
      </UserInfo>
    </Teachers>
    <Student_Groups xmlns="38ddde75-0934-4bec-a369-79257b122dc2">
      <UserInfo>
        <DisplayName/>
        <AccountId xsi:nil="true"/>
        <AccountType/>
      </UserInfo>
    </Student_Groups>
  </documentManagement>
</p:properties>
</file>

<file path=customXml/itemProps1.xml><?xml version="1.0" encoding="utf-8"?>
<ds:datastoreItem xmlns:ds="http://schemas.openxmlformats.org/officeDocument/2006/customXml" ds:itemID="{8407D6B5-2AF4-4558-9A73-EC84096801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ddde75-0934-4bec-a369-79257b122dc2"/>
    <ds:schemaRef ds:uri="3558e576-b1e5-468d-80a1-1877f16c58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7504B3-AFAC-45D7-8ADF-6E1F92C32428}">
  <ds:schemaRefs>
    <ds:schemaRef ds:uri="http://schemas.microsoft.com/sharepoint/v3/contenttype/forms"/>
  </ds:schemaRefs>
</ds:datastoreItem>
</file>

<file path=customXml/itemProps3.xml><?xml version="1.0" encoding="utf-8"?>
<ds:datastoreItem xmlns:ds="http://schemas.openxmlformats.org/officeDocument/2006/customXml" ds:itemID="{101D00FD-DA83-4FE6-BFD2-15A9886F5B78}">
  <ds:schemaRefs>
    <ds:schemaRef ds:uri="http://schemas.openxmlformats.org/package/2006/metadata/core-properties"/>
    <ds:schemaRef ds:uri="http://purl.org/dc/terms/"/>
    <ds:schemaRef ds:uri="http://schemas.microsoft.com/office/infopath/2007/PartnerControls"/>
    <ds:schemaRef ds:uri="http://schemas.microsoft.com/office/2006/documentManagement/types"/>
    <ds:schemaRef ds:uri="http://schemas.microsoft.com/office/2006/metadata/properties"/>
    <ds:schemaRef ds:uri="http://purl.org/dc/elements/1.1/"/>
    <ds:schemaRef ds:uri="3558e576-b1e5-468d-80a1-1877f16c586c"/>
    <ds:schemaRef ds:uri="38ddde75-0934-4bec-a369-79257b122dc2"/>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10631</Words>
  <Characters>60603</Characters>
  <Application>Microsoft Office Word</Application>
  <DocSecurity>4</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71092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WALSH Dorinda [Willetton Senior High School]</dc:creator>
  <cp:keywords/>
  <dc:description/>
  <cp:lastModifiedBy>COBLE-NEAL Fiona [Willetton Senior High School]</cp:lastModifiedBy>
  <cp:revision>2</cp:revision>
  <dcterms:created xsi:type="dcterms:W3CDTF">2020-09-16T03:42:00Z</dcterms:created>
  <dcterms:modified xsi:type="dcterms:W3CDTF">2020-09-16T03:42:00Z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0x0101005A8D092A40B57444A5A9EF072E3B048E</vt:lpwstr>
  </property>
</Properties>
</file>