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470E5" w14:textId="3033A341" w:rsidR="000D1C38" w:rsidRPr="00774442" w:rsidRDefault="00774442" w:rsidP="00774442">
      <w:pPr>
        <w:spacing w:after="0"/>
        <w:jc w:val="center"/>
        <w:rPr>
          <w:b/>
          <w:bCs/>
          <w:sz w:val="24"/>
          <w:szCs w:val="24"/>
        </w:rPr>
      </w:pPr>
      <w:bookmarkStart w:id="0" w:name="_GoBack"/>
      <w:bookmarkEnd w:id="0"/>
      <w:r w:rsidRPr="00774442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79A9361" wp14:editId="173BB12F">
            <wp:simplePos x="0" y="0"/>
            <wp:positionH relativeFrom="margin">
              <wp:align>left</wp:align>
            </wp:positionH>
            <wp:positionV relativeFrom="paragraph">
              <wp:posOffset>-280988</wp:posOffset>
            </wp:positionV>
            <wp:extent cx="962025" cy="9620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442">
        <w:rPr>
          <w:b/>
          <w:bCs/>
          <w:sz w:val="24"/>
          <w:szCs w:val="24"/>
        </w:rPr>
        <w:t>Baldivis Secondary College</w:t>
      </w:r>
    </w:p>
    <w:p w14:paraId="58761F75" w14:textId="0D87DCF0" w:rsidR="00774442" w:rsidRPr="00774442" w:rsidRDefault="00774442" w:rsidP="00774442">
      <w:pPr>
        <w:spacing w:after="0"/>
        <w:jc w:val="center"/>
        <w:rPr>
          <w:b/>
          <w:bCs/>
          <w:sz w:val="24"/>
          <w:szCs w:val="24"/>
        </w:rPr>
      </w:pPr>
      <w:r w:rsidRPr="00774442">
        <w:rPr>
          <w:b/>
          <w:bCs/>
          <w:sz w:val="24"/>
          <w:szCs w:val="24"/>
        </w:rPr>
        <w:t>Year 12 Essentials Mathematics</w:t>
      </w:r>
    </w:p>
    <w:p w14:paraId="5CBF5931" w14:textId="4222966F" w:rsidR="00774442" w:rsidRDefault="00774442" w:rsidP="00774442">
      <w:pPr>
        <w:spacing w:after="0"/>
        <w:jc w:val="center"/>
        <w:rPr>
          <w:b/>
          <w:bCs/>
          <w:sz w:val="24"/>
          <w:szCs w:val="24"/>
        </w:rPr>
      </w:pPr>
      <w:r w:rsidRPr="00774442">
        <w:rPr>
          <w:b/>
          <w:bCs/>
          <w:sz w:val="24"/>
          <w:szCs w:val="24"/>
        </w:rPr>
        <w:t>Externally Set Task – Content Tick List</w:t>
      </w:r>
    </w:p>
    <w:p w14:paraId="43F1F6B7" w14:textId="3492B4E1" w:rsidR="00774442" w:rsidRDefault="00774442" w:rsidP="00774442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TableGrid"/>
        <w:tblW w:w="16297" w:type="dxa"/>
        <w:jc w:val="center"/>
        <w:tblLook w:val="04A0" w:firstRow="1" w:lastRow="0" w:firstColumn="1" w:lastColumn="0" w:noHBand="0" w:noVBand="1"/>
      </w:tblPr>
      <w:tblGrid>
        <w:gridCol w:w="2374"/>
        <w:gridCol w:w="3909"/>
        <w:gridCol w:w="10014"/>
      </w:tblGrid>
      <w:tr w:rsidR="005065EA" w14:paraId="33CC4191" w14:textId="77777777" w:rsidTr="005065EA">
        <w:trPr>
          <w:trHeight w:val="238"/>
          <w:jc w:val="center"/>
        </w:trPr>
        <w:tc>
          <w:tcPr>
            <w:tcW w:w="2374" w:type="dxa"/>
            <w:shd w:val="clear" w:color="auto" w:fill="D9D9D9" w:themeFill="background1" w:themeFillShade="D9"/>
          </w:tcPr>
          <w:p w14:paraId="3DF9D67B" w14:textId="1A54B47F" w:rsidR="005065EA" w:rsidRDefault="005065EA" w:rsidP="005065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Lesson</w:t>
            </w:r>
          </w:p>
        </w:tc>
        <w:tc>
          <w:tcPr>
            <w:tcW w:w="3909" w:type="dxa"/>
            <w:shd w:val="clear" w:color="auto" w:fill="D9D9D9" w:themeFill="background1" w:themeFillShade="D9"/>
          </w:tcPr>
          <w:p w14:paraId="34A5FD4F" w14:textId="586E7985" w:rsidR="005065EA" w:rsidRDefault="005065EA" w:rsidP="005065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10014" w:type="dxa"/>
            <w:shd w:val="clear" w:color="auto" w:fill="D9D9D9" w:themeFill="background1" w:themeFillShade="D9"/>
          </w:tcPr>
          <w:p w14:paraId="5EF38442" w14:textId="265545B1" w:rsidR="005065EA" w:rsidRDefault="005065EA" w:rsidP="005065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5065EA" w14:paraId="4BA36C31" w14:textId="77777777" w:rsidTr="005065EA">
        <w:trPr>
          <w:trHeight w:val="243"/>
          <w:jc w:val="center"/>
        </w:trPr>
        <w:tc>
          <w:tcPr>
            <w:tcW w:w="2374" w:type="dxa"/>
          </w:tcPr>
          <w:p w14:paraId="3DFC3855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9" w:type="dxa"/>
          </w:tcPr>
          <w:p w14:paraId="77294E4F" w14:textId="77777777" w:rsidR="005065EA" w:rsidRPr="00A343EA" w:rsidRDefault="005065EA" w:rsidP="005065EA">
            <w:pPr>
              <w:pStyle w:val="Heading4"/>
              <w:spacing w:before="0"/>
              <w:outlineLvl w:val="3"/>
              <w:rPr>
                <w:rFonts w:asciiTheme="minorHAnsi" w:hAnsiTheme="minorHAnsi" w:cstheme="minorHAnsi"/>
                <w:b/>
                <w:i w:val="0"/>
                <w:color w:val="000000" w:themeColor="text1"/>
              </w:rPr>
            </w:pPr>
            <w:r w:rsidRPr="00A343EA">
              <w:rPr>
                <w:rFonts w:asciiTheme="minorHAnsi" w:hAnsiTheme="minorHAnsi" w:cstheme="minorHAnsi"/>
                <w:b/>
                <w:i w:val="0"/>
                <w:color w:val="000000" w:themeColor="text1"/>
              </w:rPr>
              <w:t>Census and Surveys</w:t>
            </w:r>
          </w:p>
          <w:p w14:paraId="49252E40" w14:textId="40E449B7" w:rsid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understand the purpose of sampling to provide an estimate of population values when a census is not used</w:t>
            </w:r>
          </w:p>
          <w:p w14:paraId="10ECBB23" w14:textId="77777777" w:rsidR="005065EA" w:rsidRP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  <w:p w14:paraId="326C3208" w14:textId="64D3F665" w:rsid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investigate the different kinds of samples, for example, systematic samples, self-selected samples, simple random samples</w:t>
            </w:r>
          </w:p>
          <w:p w14:paraId="32A061E0" w14:textId="77777777" w:rsidR="005065EA" w:rsidRP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  <w:p w14:paraId="1009FADC" w14:textId="367C1492" w:rsidR="005065EA" w:rsidRP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recognise the advantages and disadvantages of these kinds of samples; for example, comparing simple random samples with self-selected samples</w:t>
            </w:r>
          </w:p>
        </w:tc>
        <w:tc>
          <w:tcPr>
            <w:tcW w:w="10014" w:type="dxa"/>
          </w:tcPr>
          <w:p w14:paraId="535BCB2E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0F367C15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C97E93B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0194079A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083871D2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9E93B31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33DCDF9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E88FF7A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549D029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5A9D21A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D00E607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28F123B9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60ED3F3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29C7CE9C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9891285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465EE3B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E060B47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138150F" w14:textId="3ACC461C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9AA8241" w14:textId="2D53C88A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02411035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9E98590" w14:textId="28EB9822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065EA" w14:paraId="69F504D3" w14:textId="77777777" w:rsidTr="005065EA">
        <w:trPr>
          <w:trHeight w:val="238"/>
          <w:jc w:val="center"/>
        </w:trPr>
        <w:tc>
          <w:tcPr>
            <w:tcW w:w="2374" w:type="dxa"/>
          </w:tcPr>
          <w:p w14:paraId="577A713C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9" w:type="dxa"/>
          </w:tcPr>
          <w:p w14:paraId="5FFB8E03" w14:textId="77777777" w:rsidR="005065EA" w:rsidRPr="005065EA" w:rsidRDefault="005065EA" w:rsidP="005065EA">
            <w:pPr>
              <w:pStyle w:val="Heading4"/>
              <w:spacing w:before="0"/>
              <w:outlineLvl w:val="3"/>
              <w:rPr>
                <w:rFonts w:asciiTheme="minorHAnsi" w:hAnsiTheme="minorHAnsi" w:cstheme="minorHAnsi"/>
                <w:b/>
                <w:i w:val="0"/>
                <w:color w:val="000000" w:themeColor="text1"/>
              </w:rPr>
            </w:pPr>
            <w:r w:rsidRPr="005065EA">
              <w:rPr>
                <w:rFonts w:asciiTheme="minorHAnsi" w:hAnsiTheme="minorHAnsi" w:cstheme="minorHAnsi"/>
                <w:b/>
                <w:i w:val="0"/>
                <w:color w:val="000000" w:themeColor="text1"/>
              </w:rPr>
              <w:t>Simple survey procedure</w:t>
            </w:r>
          </w:p>
          <w:p w14:paraId="0F56F80C" w14:textId="69CC0F9C" w:rsidR="005065EA" w:rsidRP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identify the target population to be surveyed</w:t>
            </w:r>
          </w:p>
        </w:tc>
        <w:tc>
          <w:tcPr>
            <w:tcW w:w="10014" w:type="dxa"/>
          </w:tcPr>
          <w:p w14:paraId="0DEDDE53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C0563F6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837CF8A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C954B98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2043406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431D184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F3634D6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2812352E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6769165" w14:textId="4AFF4CC0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065EA" w14:paraId="65393EBB" w14:textId="77777777" w:rsidTr="005065EA">
        <w:trPr>
          <w:trHeight w:val="243"/>
          <w:jc w:val="center"/>
        </w:trPr>
        <w:tc>
          <w:tcPr>
            <w:tcW w:w="2374" w:type="dxa"/>
          </w:tcPr>
          <w:p w14:paraId="77C6F3FB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9" w:type="dxa"/>
          </w:tcPr>
          <w:p w14:paraId="7C4066A0" w14:textId="77777777" w:rsidR="005065EA" w:rsidRPr="005065EA" w:rsidRDefault="005065EA" w:rsidP="005065EA">
            <w:pPr>
              <w:keepNext/>
              <w:rPr>
                <w:rFonts w:eastAsia="Times New Roman" w:cstheme="minorHAnsi"/>
                <w:b/>
                <w:lang w:eastAsia="en-AU"/>
              </w:rPr>
            </w:pPr>
            <w:r w:rsidRPr="005065EA">
              <w:rPr>
                <w:rFonts w:eastAsia="Times New Roman" w:cstheme="minorHAnsi"/>
                <w:b/>
                <w:lang w:eastAsia="en-AU"/>
              </w:rPr>
              <w:t>Sources of bias</w:t>
            </w:r>
          </w:p>
          <w:p w14:paraId="4DADF452" w14:textId="1B779C5A" w:rsid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describe the faults in the collection of data process</w:t>
            </w:r>
          </w:p>
          <w:p w14:paraId="56B5E875" w14:textId="77777777" w:rsidR="005065EA" w:rsidRP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  <w:p w14:paraId="2582D2B8" w14:textId="1BA3C073" w:rsid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describe sources of error in surveys; for example, sampling error and measurement error</w:t>
            </w:r>
          </w:p>
          <w:p w14:paraId="741ABD7D" w14:textId="77777777" w:rsidR="005065EA" w:rsidRP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  <w:p w14:paraId="268AE284" w14:textId="535F04E3" w:rsidR="005065EA" w:rsidRPr="005065EA" w:rsidRDefault="005065EA" w:rsidP="005065E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  <w:r>
              <w:rPr>
                <w:rFonts w:eastAsia="Times New Roman" w:cstheme="minorHAns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theme="minorHAnsi"/>
                <w:iCs/>
                <w:lang w:eastAsia="en-AU"/>
              </w:rPr>
              <w:t>describe possible misrepresentation of the results of a survey due to the unreliability of generalising the survey findings to the entire population, for example, because of limited sample size or chance variation between samples</w:t>
            </w:r>
          </w:p>
        </w:tc>
        <w:tc>
          <w:tcPr>
            <w:tcW w:w="10014" w:type="dxa"/>
          </w:tcPr>
          <w:p w14:paraId="063E9CA7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7C29394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21F8273A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DB3423C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21EE973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A6C96C5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5EE63B9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2D8206B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2B4C5D3A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698A943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7367DD3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A53BA03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FBFE40E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EFAE7A7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E42DC32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6AE4B97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D83E625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034FE0C3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5FF3F40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9209F05" w14:textId="2A6E56A8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065EA" w14:paraId="3A7BC8C0" w14:textId="77777777" w:rsidTr="005065EA">
        <w:trPr>
          <w:trHeight w:val="238"/>
          <w:jc w:val="center"/>
        </w:trPr>
        <w:tc>
          <w:tcPr>
            <w:tcW w:w="2374" w:type="dxa"/>
          </w:tcPr>
          <w:p w14:paraId="602887DD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9" w:type="dxa"/>
          </w:tcPr>
          <w:p w14:paraId="11365756" w14:textId="77777777" w:rsidR="005065EA" w:rsidRPr="005065EA" w:rsidRDefault="005065EA" w:rsidP="005065EA">
            <w:pPr>
              <w:keepNext/>
              <w:rPr>
                <w:rFonts w:eastAsia="Times New Roman" w:cs="Calibri"/>
                <w:b/>
                <w:lang w:eastAsia="en-AU"/>
              </w:rPr>
            </w:pPr>
            <w:r w:rsidRPr="005065EA">
              <w:rPr>
                <w:rFonts w:eastAsia="Times New Roman" w:cs="Calibri"/>
                <w:b/>
                <w:lang w:eastAsia="en-AU"/>
              </w:rPr>
              <w:t>Bivariate scatterplots</w:t>
            </w:r>
          </w:p>
          <w:p w14:paraId="6CC127C0" w14:textId="024A7DBD" w:rsidR="005065EA" w:rsidRDefault="005065EA" w:rsidP="005065EA">
            <w:pPr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describe the patterns and features of bivariate data</w:t>
            </w:r>
          </w:p>
          <w:p w14:paraId="7EC660AC" w14:textId="77777777" w:rsidR="005065EA" w:rsidRPr="005065EA" w:rsidRDefault="005065EA" w:rsidP="005065EA">
            <w:pPr>
              <w:rPr>
                <w:rFonts w:eastAsia="Times New Roman" w:cs="Calibri"/>
                <w:iCs/>
                <w:lang w:eastAsia="en-AU"/>
              </w:rPr>
            </w:pPr>
          </w:p>
          <w:p w14:paraId="0DF113C3" w14:textId="3C12DEFA" w:rsidR="005065EA" w:rsidRPr="005065EA" w:rsidRDefault="005065EA" w:rsidP="005065EA">
            <w:pPr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describe the association between two numerical variables in terms of direction (positive/negative), form (linear/non-linear) and strength(strong/moderate/weak)</w:t>
            </w:r>
          </w:p>
        </w:tc>
        <w:tc>
          <w:tcPr>
            <w:tcW w:w="10014" w:type="dxa"/>
          </w:tcPr>
          <w:p w14:paraId="1357ED9F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4313A2F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F11C144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90E8358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4EA0AA5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2773CFD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1D53AA6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D334317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ABCEC57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897A0C5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B02B73E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2AAF04FA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2652BF9B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0120BE7B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48FD795" w14:textId="4F8D7726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065EA" w14:paraId="7B87E281" w14:textId="77777777" w:rsidTr="005065EA">
        <w:trPr>
          <w:trHeight w:val="238"/>
          <w:jc w:val="center"/>
        </w:trPr>
        <w:tc>
          <w:tcPr>
            <w:tcW w:w="2374" w:type="dxa"/>
          </w:tcPr>
          <w:p w14:paraId="39D148DD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9" w:type="dxa"/>
          </w:tcPr>
          <w:p w14:paraId="29EB9C8C" w14:textId="77777777" w:rsidR="005065EA" w:rsidRPr="005065EA" w:rsidRDefault="005065EA" w:rsidP="005065EA">
            <w:pPr>
              <w:keepNext/>
              <w:rPr>
                <w:rFonts w:eastAsia="Times New Roman" w:cs="Calibri"/>
                <w:b/>
                <w:lang w:eastAsia="en-AU"/>
              </w:rPr>
            </w:pPr>
            <w:r w:rsidRPr="005065EA">
              <w:rPr>
                <w:rFonts w:eastAsia="Times New Roman" w:cs="Calibri"/>
                <w:b/>
                <w:lang w:eastAsia="en-AU"/>
              </w:rPr>
              <w:t>Trend lines</w:t>
            </w:r>
          </w:p>
          <w:p w14:paraId="4EE17ADA" w14:textId="05E8C32F" w:rsidR="005065EA" w:rsidRDefault="005065EA" w:rsidP="005065EA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identify the dependent and independent variable</w:t>
            </w:r>
          </w:p>
          <w:p w14:paraId="4D948DFC" w14:textId="77777777" w:rsidR="005065EA" w:rsidRPr="005065EA" w:rsidRDefault="005065EA" w:rsidP="005065EA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</w:p>
          <w:p w14:paraId="3B32EECA" w14:textId="5717CC74" w:rsidR="005065EA" w:rsidRDefault="005065EA" w:rsidP="005065EA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fit a trend line by eye</w:t>
            </w:r>
          </w:p>
          <w:p w14:paraId="470B58CE" w14:textId="77777777" w:rsidR="005065EA" w:rsidRPr="005065EA" w:rsidRDefault="005065EA" w:rsidP="005065EA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</w:p>
          <w:p w14:paraId="2BFF7CF2" w14:textId="195AA86F" w:rsidR="005065EA" w:rsidRDefault="005065EA" w:rsidP="005065EA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interpret relationships in terms of the variables, for example, describe trend as increasing or decreasing</w:t>
            </w:r>
          </w:p>
          <w:p w14:paraId="45FC7CBF" w14:textId="77777777" w:rsidR="005065EA" w:rsidRPr="005065EA" w:rsidRDefault="005065EA" w:rsidP="005065EA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</w:p>
          <w:p w14:paraId="2CE51B55" w14:textId="00ACF2BC" w:rsidR="005065EA" w:rsidRPr="005065EA" w:rsidRDefault="005065EA" w:rsidP="005065EA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  <w:r>
              <w:rPr>
                <w:rFonts w:eastAsia="Times New Roman" w:cs="Calibri"/>
                <w:iCs/>
                <w:lang w:eastAsia="en-AU"/>
              </w:rPr>
              <w:t xml:space="preserve">- </w:t>
            </w:r>
            <w:r w:rsidRPr="005065EA">
              <w:rPr>
                <w:rFonts w:eastAsia="Times New Roman" w:cs="Calibri"/>
                <w:iCs/>
                <w:lang w:eastAsia="en-AU"/>
              </w:rPr>
              <w:t>use the trend line to make predictions, both by interpolation and extrapolation</w:t>
            </w:r>
          </w:p>
        </w:tc>
        <w:tc>
          <w:tcPr>
            <w:tcW w:w="10014" w:type="dxa"/>
          </w:tcPr>
          <w:p w14:paraId="0D883F7A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96124CB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8798F94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D59C71B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F899825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0C1AE54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0912D76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5D7928D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8681A04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9BBD740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6C04BA6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D82D252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C2E3730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2C604E3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B7A60C2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C4308C4" w14:textId="2C1CE53F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B936E89" w14:textId="12047702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056374E" w14:textId="1694924A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CBCEA63" w14:textId="5678B912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060D0F6" w14:textId="4D3D5D03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46260871" w14:textId="3C1EB469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00FC066D" w14:textId="5F8F34C0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3E78996" w14:textId="34960AA5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B233CE5" w14:textId="11E41F0C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7787BA97" w14:textId="2D0E2BA4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13AD04ED" w14:textId="6FA2C379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231EED2" w14:textId="60A3BD7D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04A93E07" w14:textId="6BBD4F4F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8986F73" w14:textId="6AF88264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AAF1A95" w14:textId="0A9BA178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537667BA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015C2C14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38A1A3FD" w14:textId="77777777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  <w:p w14:paraId="6C564592" w14:textId="4813BF60" w:rsidR="005065EA" w:rsidRDefault="005065EA" w:rsidP="0077444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B31F2E0" w14:textId="77777777" w:rsidR="00774442" w:rsidRPr="00774442" w:rsidRDefault="00774442" w:rsidP="00774442">
      <w:pPr>
        <w:spacing w:after="0"/>
        <w:rPr>
          <w:b/>
          <w:bCs/>
          <w:sz w:val="24"/>
          <w:szCs w:val="24"/>
        </w:rPr>
      </w:pPr>
    </w:p>
    <w:sectPr w:rsidR="00774442" w:rsidRPr="00774442" w:rsidSect="0077444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9C4594"/>
    <w:multiLevelType w:val="multilevel"/>
    <w:tmpl w:val="23CCD4EA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42"/>
    <w:rsid w:val="000D1C38"/>
    <w:rsid w:val="003410CF"/>
    <w:rsid w:val="005065EA"/>
    <w:rsid w:val="0077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A327"/>
  <w15:chartTrackingRefBased/>
  <w15:docId w15:val="{6632E33B-439E-40FE-810C-5BC58B16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5EA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4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065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065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10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0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Sarah James</cp:lastModifiedBy>
  <cp:revision>2</cp:revision>
  <cp:lastPrinted>2020-03-03T03:20:00Z</cp:lastPrinted>
  <dcterms:created xsi:type="dcterms:W3CDTF">2020-03-03T03:21:00Z</dcterms:created>
  <dcterms:modified xsi:type="dcterms:W3CDTF">2020-03-03T03:21:00Z</dcterms:modified>
</cp:coreProperties>
</file>