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D1B315" w14:textId="54EB3C05" w:rsidR="00D01A59" w:rsidRPr="006E03E1" w:rsidRDefault="009923EB" w:rsidP="009923EB">
      <w:pPr>
        <w:pStyle w:val="Title"/>
      </w:pPr>
      <w:bookmarkStart w:id="0" w:name="_GoBack"/>
      <w:bookmarkEnd w:id="0"/>
      <w:r w:rsidRPr="006E03E1">
        <w:t>Work of the Courts</w:t>
      </w:r>
    </w:p>
    <w:p w14:paraId="12422A86" w14:textId="6CD8FAD3" w:rsidR="009923EB" w:rsidRPr="006E03E1" w:rsidRDefault="009923EB" w:rsidP="009923EB">
      <w:r w:rsidRPr="006E03E1">
        <w:t xml:space="preserve">In Australia, most laws are made by parliament. In fact, the main role of the state and federal parliaments is to make laws. This form of legislation is referred to as </w:t>
      </w:r>
      <w:r w:rsidRPr="006E03E1">
        <w:rPr>
          <w:b/>
          <w:bCs/>
        </w:rPr>
        <w:t>statute law.</w:t>
      </w:r>
    </w:p>
    <w:p w14:paraId="0F661B05" w14:textId="38DF37DE" w:rsidR="009923EB" w:rsidRPr="006E03E1" w:rsidRDefault="009923EB" w:rsidP="009923EB">
      <w:pPr>
        <w:rPr>
          <w:b/>
          <w:bCs/>
        </w:rPr>
      </w:pPr>
      <w:r w:rsidRPr="006E03E1">
        <w:t xml:space="preserve">Courts also have an important role in the law-making process. Sometimes courts are faced with cases where there is no existing law that is appropriate to apply. In these cases, judges must create new law, known as </w:t>
      </w:r>
      <w:r w:rsidRPr="006E03E1">
        <w:rPr>
          <w:b/>
          <w:bCs/>
        </w:rPr>
        <w:t>common law.</w:t>
      </w:r>
    </w:p>
    <w:p w14:paraId="6D738BD6" w14:textId="666F0627" w:rsidR="00660C25" w:rsidRPr="006E03E1" w:rsidRDefault="00660C25" w:rsidP="00660C25">
      <w:pPr>
        <w:pStyle w:val="Heading1"/>
      </w:pPr>
      <w:r w:rsidRPr="006E03E1">
        <w:rPr>
          <w:noProof/>
          <w:lang w:eastAsia="en-AU"/>
        </w:rPr>
        <w:drawing>
          <wp:anchor distT="0" distB="0" distL="114300" distR="114300" simplePos="0" relativeHeight="251659264" behindDoc="0" locked="0" layoutInCell="1" allowOverlap="1" wp14:anchorId="2B7FCF8D" wp14:editId="2C1BF064">
            <wp:simplePos x="0" y="0"/>
            <wp:positionH relativeFrom="column">
              <wp:posOffset>5334000</wp:posOffset>
            </wp:positionH>
            <wp:positionV relativeFrom="paragraph">
              <wp:posOffset>208915</wp:posOffset>
            </wp:positionV>
            <wp:extent cx="571500" cy="571500"/>
            <wp:effectExtent l="0" t="0" r="0" b="0"/>
            <wp:wrapSquare wrapText="bothSides"/>
            <wp:docPr id="1" name="Graphic 1"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Pencil"/>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8"/>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Pr="006E03E1">
        <w:t>Activity 1</w:t>
      </w:r>
    </w:p>
    <w:p w14:paraId="1B95EBB3" w14:textId="43D36798" w:rsidR="00660C25" w:rsidRPr="006E03E1" w:rsidRDefault="00660C25" w:rsidP="009923EB">
      <w:r w:rsidRPr="006E03E1">
        <w:t>When judges make changes to the law this has implications for the way the law is interpreted by the other lower courts:</w:t>
      </w:r>
    </w:p>
    <w:tbl>
      <w:tblPr>
        <w:tblW w:w="9521" w:type="dxa"/>
        <w:tblCellMar>
          <w:left w:w="0" w:type="dxa"/>
          <w:right w:w="0" w:type="dxa"/>
        </w:tblCellMar>
        <w:tblLook w:val="0420" w:firstRow="1" w:lastRow="0" w:firstColumn="0" w:lastColumn="0" w:noHBand="0" w:noVBand="1"/>
      </w:tblPr>
      <w:tblGrid>
        <w:gridCol w:w="1691"/>
        <w:gridCol w:w="7830"/>
      </w:tblGrid>
      <w:tr w:rsidR="00660C25" w:rsidRPr="006E03E1" w14:paraId="1C6F77A0" w14:textId="77777777" w:rsidTr="00107D0A">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77E90FAB" w14:textId="77777777" w:rsidR="00660C25" w:rsidRPr="00660C25" w:rsidRDefault="00660C25" w:rsidP="00660C25">
            <w:r w:rsidRPr="00660C25">
              <w:rPr>
                <w:b/>
                <w:bCs/>
              </w:rPr>
              <w:t>Precedent</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430B1D4A" w14:textId="62823673" w:rsidR="00660C25" w:rsidRPr="00660C25" w:rsidRDefault="00660C25" w:rsidP="00660C25">
            <w:pPr>
              <w:rPr>
                <w:rFonts w:ascii="Bradley Hand ITC" w:hAnsi="Bradley Hand ITC"/>
              </w:rPr>
            </w:pPr>
            <w:r w:rsidRPr="00660C25">
              <w:rPr>
                <w:rFonts w:ascii="Bradley Hand ITC" w:hAnsi="Bradley Hand ITC"/>
              </w:rPr>
              <w:t>A law or rule that other courts must use when deciding on cases with similar circumstances or facts.</w:t>
            </w:r>
          </w:p>
        </w:tc>
      </w:tr>
      <w:tr w:rsidR="00660C25" w:rsidRPr="006E03E1" w14:paraId="1E955E9D" w14:textId="77777777" w:rsidTr="00107D0A">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hideMark/>
          </w:tcPr>
          <w:p w14:paraId="7B4D037F" w14:textId="77777777" w:rsidR="00660C25" w:rsidRPr="00660C25" w:rsidRDefault="00660C25" w:rsidP="00660C25">
            <w:r w:rsidRPr="00660C25">
              <w:rPr>
                <w:b/>
                <w:bCs/>
              </w:rPr>
              <w:t xml:space="preserve">binding precedent </w:t>
            </w:r>
          </w:p>
        </w:tc>
        <w:tc>
          <w:tcPr>
            <w:tcW w:w="7830" w:type="dxa"/>
            <w:tcBorders>
              <w:top w:val="single" w:sz="8" w:space="0" w:color="1C1C1C"/>
              <w:left w:val="single" w:sz="8" w:space="0" w:color="1C1C1C"/>
              <w:bottom w:val="single" w:sz="8" w:space="0" w:color="1C1C1C"/>
              <w:right w:val="single" w:sz="8" w:space="0" w:color="1C1C1C"/>
            </w:tcBorders>
            <w:shd w:val="clear" w:color="auto" w:fill="FFFFFF" w:themeFill="background1"/>
            <w:tcMar>
              <w:top w:w="72" w:type="dxa"/>
              <w:left w:w="144" w:type="dxa"/>
              <w:bottom w:w="72" w:type="dxa"/>
              <w:right w:w="144" w:type="dxa"/>
            </w:tcMar>
            <w:vAlign w:val="center"/>
            <w:hideMark/>
          </w:tcPr>
          <w:p w14:paraId="5A744735" w14:textId="5FB5FA09" w:rsidR="00660C25" w:rsidRPr="006E03E1" w:rsidRDefault="00660C25" w:rsidP="00660C25">
            <w:pPr>
              <w:rPr>
                <w:rFonts w:ascii="Bradley Hand ITC" w:hAnsi="Bradley Hand ITC"/>
              </w:rPr>
            </w:pPr>
            <w:r w:rsidRPr="006E03E1">
              <w:rPr>
                <w:rFonts w:ascii="Bradley Hand ITC" w:hAnsi="Bradley Hand ITC"/>
              </w:rPr>
              <w:t>A</w:t>
            </w:r>
            <w:r w:rsidRPr="00660C25">
              <w:rPr>
                <w:rFonts w:ascii="Bradley Hand ITC" w:hAnsi="Bradley Hand ITC"/>
              </w:rPr>
              <w:t>ll inferior courts are bound to follow the new precedent</w:t>
            </w:r>
            <w:r w:rsidRPr="006E03E1">
              <w:rPr>
                <w:rFonts w:ascii="Bradley Hand ITC" w:hAnsi="Bradley Hand ITC"/>
              </w:rPr>
              <w:t xml:space="preserve">. </w:t>
            </w:r>
          </w:p>
          <w:p w14:paraId="548C1F30" w14:textId="2D608EBB" w:rsidR="00660C25" w:rsidRPr="00660C25" w:rsidRDefault="00660C25" w:rsidP="00660C25">
            <w:pPr>
              <w:rPr>
                <w:rFonts w:ascii="Bradley Hand ITC" w:hAnsi="Bradley Hand ITC"/>
              </w:rPr>
            </w:pPr>
            <w:r w:rsidRPr="006E03E1">
              <w:rPr>
                <w:rFonts w:ascii="Bradley Hand ITC" w:hAnsi="Bradley Hand ITC"/>
              </w:rPr>
              <w:t>For example,</w:t>
            </w:r>
            <w:r w:rsidRPr="00660C25">
              <w:rPr>
                <w:rFonts w:ascii="Bradley Hand ITC" w:hAnsi="Bradley Hand ITC"/>
              </w:rPr>
              <w:t xml:space="preserve"> if the High Court sets the president all other courts in Australia must follow it.</w:t>
            </w:r>
          </w:p>
        </w:tc>
      </w:tr>
      <w:tr w:rsidR="00660C25" w:rsidRPr="006E03E1" w14:paraId="3BC08731" w14:textId="77777777" w:rsidTr="00107D0A">
        <w:trPr>
          <w:trHeight w:val="1644"/>
        </w:trPr>
        <w:tc>
          <w:tcPr>
            <w:tcW w:w="1691"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635B6F45" w14:textId="77777777" w:rsidR="00660C25" w:rsidRPr="00660C25" w:rsidRDefault="00660C25" w:rsidP="00660C25">
            <w:r w:rsidRPr="00660C25">
              <w:rPr>
                <w:b/>
                <w:bCs/>
              </w:rPr>
              <w:t xml:space="preserve">Ratio decidendi </w:t>
            </w:r>
          </w:p>
        </w:tc>
        <w:tc>
          <w:tcPr>
            <w:tcW w:w="7830" w:type="dxa"/>
            <w:tcBorders>
              <w:top w:val="single" w:sz="8" w:space="0" w:color="1C1C1C"/>
              <w:left w:val="single" w:sz="8" w:space="0" w:color="1C1C1C"/>
              <w:bottom w:val="single" w:sz="8" w:space="0" w:color="1C1C1C"/>
              <w:right w:val="single" w:sz="8" w:space="0" w:color="1C1C1C"/>
            </w:tcBorders>
            <w:shd w:val="clear" w:color="auto" w:fill="F2F2F2" w:themeFill="background1" w:themeFillShade="F2"/>
            <w:tcMar>
              <w:top w:w="72" w:type="dxa"/>
              <w:left w:w="144" w:type="dxa"/>
              <w:bottom w:w="72" w:type="dxa"/>
              <w:right w:w="144" w:type="dxa"/>
            </w:tcMar>
            <w:vAlign w:val="center"/>
            <w:hideMark/>
          </w:tcPr>
          <w:p w14:paraId="45C899C9" w14:textId="109DB094" w:rsidR="00660C25" w:rsidRPr="00660C25" w:rsidRDefault="00660C25" w:rsidP="00660C25">
            <w:pPr>
              <w:rPr>
                <w:rFonts w:ascii="Bradley Hand ITC" w:hAnsi="Bradley Hand ITC"/>
              </w:rPr>
            </w:pPr>
            <w:r w:rsidRPr="006E03E1">
              <w:rPr>
                <w:rFonts w:ascii="Bradley Hand ITC" w:hAnsi="Bradley Hand ITC"/>
              </w:rPr>
              <w:t>W</w:t>
            </w:r>
            <w:r w:rsidRPr="00660C25">
              <w:rPr>
                <w:rFonts w:ascii="Bradley Hand ITC" w:hAnsi="Bradley Hand ITC"/>
              </w:rPr>
              <w:t>hen using a precedent previously set it is important for courts to look at exactly how and why the particular court that set the precedent came to reach that decision this helped the court understand the reason behind the judgement which is that it's to their own cases as appropriate.</w:t>
            </w:r>
          </w:p>
        </w:tc>
      </w:tr>
    </w:tbl>
    <w:p w14:paraId="1B2D9DCE" w14:textId="7A4B63DD" w:rsidR="00660C25" w:rsidRPr="006E03E1" w:rsidRDefault="00660C25" w:rsidP="00660C25">
      <w:pPr>
        <w:pStyle w:val="Heading1"/>
      </w:pPr>
      <w:r w:rsidRPr="006E03E1">
        <w:t>Activity 2</w:t>
      </w:r>
    </w:p>
    <w:p w14:paraId="7E12F864" w14:textId="0EAD5193" w:rsidR="00660C25" w:rsidRPr="006E03E1" w:rsidRDefault="00107D0A" w:rsidP="006E03E1">
      <w:pPr>
        <w:ind w:right="-755"/>
      </w:pPr>
      <w:r w:rsidRPr="006E03E1">
        <w:rPr>
          <w:noProof/>
          <w:lang w:eastAsia="en-AU"/>
        </w:rPr>
        <w:drawing>
          <wp:anchor distT="0" distB="0" distL="114300" distR="114300" simplePos="0" relativeHeight="251658239" behindDoc="0" locked="0" layoutInCell="1" allowOverlap="1" wp14:anchorId="4E3B72B6" wp14:editId="22B4F074">
            <wp:simplePos x="0" y="0"/>
            <wp:positionH relativeFrom="column">
              <wp:posOffset>5524500</wp:posOffset>
            </wp:positionH>
            <wp:positionV relativeFrom="paragraph">
              <wp:posOffset>243840</wp:posOffset>
            </wp:positionV>
            <wp:extent cx="914400" cy="914400"/>
            <wp:effectExtent l="0" t="0" r="0" b="0"/>
            <wp:wrapSquare wrapText="bothSides"/>
            <wp:docPr id="4" name="Graphic 4" descr="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Palett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10"/>
                        </a:ext>
                      </a:extLst>
                    </a:blip>
                    <a:stretch>
                      <a:fillRect/>
                    </a:stretch>
                  </pic:blipFill>
                  <pic:spPr>
                    <a:xfrm rot="1263133">
                      <a:off x="0" y="0"/>
                      <a:ext cx="914400" cy="914400"/>
                    </a:xfrm>
                    <a:prstGeom prst="rect">
                      <a:avLst/>
                    </a:prstGeom>
                  </pic:spPr>
                </pic:pic>
              </a:graphicData>
            </a:graphic>
          </wp:anchor>
        </w:drawing>
      </w:r>
      <w:r w:rsidR="00672D4C" w:rsidRPr="006E03E1">
        <w:t>Make a sketch or write notes</w:t>
      </w:r>
      <w:r w:rsidRPr="006E03E1">
        <w:t xml:space="preserve"> to remind you</w:t>
      </w:r>
      <w:r w:rsidR="00672D4C" w:rsidRPr="006E03E1">
        <w:t xml:space="preserve"> about the </w:t>
      </w:r>
      <w:r w:rsidR="00672D4C" w:rsidRPr="006E03E1">
        <w:rPr>
          <w:b/>
          <w:bCs/>
        </w:rPr>
        <w:t>Donoghue v Stevenson</w:t>
      </w:r>
      <w:r w:rsidR="00672D4C" w:rsidRPr="006E03E1">
        <w:t xml:space="preserve"> case and the </w:t>
      </w:r>
      <w:r w:rsidRPr="006E03E1">
        <w:t xml:space="preserve">change in the interpretation of Duty of Care and the </w:t>
      </w:r>
      <w:r w:rsidR="00672D4C" w:rsidRPr="006E03E1">
        <w:t xml:space="preserve">establishment of the Neighbour </w:t>
      </w:r>
      <w:r w:rsidRPr="006E03E1">
        <w:t>P</w:t>
      </w:r>
      <w:r w:rsidR="00672D4C" w:rsidRPr="006E03E1">
        <w:t>rinciple</w:t>
      </w:r>
      <w:r w:rsidR="006E03E1" w:rsidRPr="006E03E1">
        <w:t>.</w:t>
      </w:r>
      <w:r w:rsidR="00672D4C" w:rsidRPr="006E03E1">
        <w:t xml:space="preserve">  </w:t>
      </w:r>
    </w:p>
    <w:p w14:paraId="1FD34CA0" w14:textId="5D649E40" w:rsidR="00660C25" w:rsidRPr="006E03E1" w:rsidRDefault="00672D4C" w:rsidP="00660C25">
      <w:r w:rsidRPr="006E03E1">
        <w:rPr>
          <w:noProof/>
          <w:lang w:eastAsia="en-AU"/>
        </w:rPr>
        <mc:AlternateContent>
          <mc:Choice Requires="wps">
            <w:drawing>
              <wp:anchor distT="0" distB="0" distL="114300" distR="114300" simplePos="0" relativeHeight="251660288" behindDoc="1" locked="0" layoutInCell="1" allowOverlap="1" wp14:anchorId="528763CE" wp14:editId="2F31ECA0">
                <wp:simplePos x="0" y="0"/>
                <wp:positionH relativeFrom="column">
                  <wp:posOffset>0</wp:posOffset>
                </wp:positionH>
                <wp:positionV relativeFrom="paragraph">
                  <wp:posOffset>5080</wp:posOffset>
                </wp:positionV>
                <wp:extent cx="6086475" cy="22669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086475" cy="22669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4E7C12A" id="Rectangle 3" o:spid="_x0000_s1026" style="position:absolute;margin-left:0;margin-top:.4pt;width:479.25pt;height:17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" filled="f" strokecolor="black [3213]" strokeweight="1pt"/>
            </w:pict>
          </mc:Fallback>
        </mc:AlternateContent>
      </w:r>
    </w:p>
    <w:p w14:paraId="192A4A7E" w14:textId="032C180A" w:rsidR="00660C25" w:rsidRPr="006E03E1" w:rsidRDefault="00660C25" w:rsidP="00660C25"/>
    <w:p w14:paraId="55D44BCF" w14:textId="0F7EDCC4" w:rsidR="00660C25" w:rsidRPr="006E03E1" w:rsidRDefault="00660C25" w:rsidP="00660C25"/>
    <w:p w14:paraId="10E81277" w14:textId="321908BE" w:rsidR="00107D0A" w:rsidRPr="006E03E1" w:rsidRDefault="00107D0A" w:rsidP="00660C25"/>
    <w:p w14:paraId="05712CA1" w14:textId="61C9DA87" w:rsidR="00107D0A" w:rsidRPr="006E03E1" w:rsidRDefault="00107D0A" w:rsidP="00660C25"/>
    <w:p w14:paraId="17D1562C" w14:textId="54E38364" w:rsidR="00107D0A" w:rsidRPr="006E03E1" w:rsidRDefault="00107D0A" w:rsidP="00660C25"/>
    <w:p w14:paraId="3CB54DF7" w14:textId="678904F0" w:rsidR="00672D4C" w:rsidRPr="006E03E1" w:rsidRDefault="00672D4C" w:rsidP="00672D4C">
      <w:pPr>
        <w:pStyle w:val="Heading1"/>
      </w:pPr>
      <w:r w:rsidRPr="006E03E1">
        <w:lastRenderedPageBreak/>
        <w:t xml:space="preserve">Activity </w:t>
      </w:r>
      <w:r w:rsidR="00654960">
        <w:t>3</w:t>
      </w:r>
    </w:p>
    <w:p w14:paraId="221ED5EE" w14:textId="553384BF" w:rsidR="00660C25" w:rsidRPr="006E03E1" w:rsidRDefault="00672D4C" w:rsidP="00672D4C">
      <w:r w:rsidRPr="006E03E1">
        <w:t xml:space="preserve">Use the information from the PowerPoint slide to </w:t>
      </w:r>
      <w:r w:rsidR="00107D0A" w:rsidRPr="006E03E1">
        <w:t>complete the T Chart. The statements are in pairs (Hint they have been colour</w:t>
      </w:r>
      <w:r w:rsidR="006E03E1">
        <w:t>-</w:t>
      </w:r>
      <w:r w:rsidR="00107D0A" w:rsidRPr="006E03E1">
        <w:t>coded and the first one has been done for you).</w:t>
      </w:r>
    </w:p>
    <w:tbl>
      <w:tblPr>
        <w:tblStyle w:val="TableGrid"/>
        <w:tblW w:w="0" w:type="auto"/>
        <w:tblLook w:val="04A0" w:firstRow="1" w:lastRow="0" w:firstColumn="1" w:lastColumn="0" w:noHBand="0" w:noVBand="1"/>
      </w:tblPr>
      <w:tblGrid>
        <w:gridCol w:w="4508"/>
        <w:gridCol w:w="4508"/>
      </w:tblGrid>
      <w:tr w:rsidR="009923EB" w:rsidRPr="006E03E1" w14:paraId="4EFEA132" w14:textId="77777777" w:rsidTr="00DF7BDC">
        <w:tc>
          <w:tcPr>
            <w:tcW w:w="9016" w:type="dxa"/>
            <w:gridSpan w:val="2"/>
            <w:tcBorders>
              <w:bottom w:val="nil"/>
            </w:tcBorders>
            <w:shd w:val="clear" w:color="auto" w:fill="F2F2F2" w:themeFill="background1" w:themeFillShade="F2"/>
          </w:tcPr>
          <w:p w14:paraId="0830B0E3" w14:textId="234BAA8D" w:rsidR="009923EB" w:rsidRPr="006E03E1" w:rsidRDefault="009923EB" w:rsidP="009923EB">
            <w:pPr>
              <w:pStyle w:val="Heading1"/>
              <w:spacing w:before="120" w:after="120"/>
              <w:jc w:val="center"/>
              <w:outlineLvl w:val="0"/>
              <w:rPr>
                <w:b w:val="0"/>
                <w:bCs/>
              </w:rPr>
            </w:pPr>
            <w:r w:rsidRPr="006E03E1">
              <w:rPr>
                <w:b w:val="0"/>
                <w:bCs/>
              </w:rPr>
              <w:t>Differences between</w:t>
            </w:r>
          </w:p>
        </w:tc>
      </w:tr>
      <w:tr w:rsidR="009923EB" w:rsidRPr="006E03E1" w14:paraId="6329990E" w14:textId="77777777" w:rsidTr="00DF7BDC">
        <w:tc>
          <w:tcPr>
            <w:tcW w:w="4508" w:type="dxa"/>
            <w:tcBorders>
              <w:top w:val="nil"/>
              <w:right w:val="nil"/>
            </w:tcBorders>
            <w:shd w:val="clear" w:color="auto" w:fill="F2F2F2" w:themeFill="background1" w:themeFillShade="F2"/>
          </w:tcPr>
          <w:p w14:paraId="197AE5DD" w14:textId="651CCE72" w:rsidR="009923EB" w:rsidRPr="006E03E1" w:rsidRDefault="009923EB" w:rsidP="009923EB">
            <w:pPr>
              <w:pStyle w:val="Heading1"/>
              <w:spacing w:before="120" w:after="120"/>
              <w:jc w:val="center"/>
              <w:outlineLvl w:val="0"/>
              <w:rPr>
                <w:b w:val="0"/>
                <w:bCs/>
              </w:rPr>
            </w:pPr>
            <w:r w:rsidRPr="006E03E1">
              <w:rPr>
                <w:b w:val="0"/>
                <w:bCs/>
              </w:rPr>
              <w:t>Statute Law</w:t>
            </w:r>
          </w:p>
        </w:tc>
        <w:tc>
          <w:tcPr>
            <w:tcW w:w="4508" w:type="dxa"/>
            <w:tcBorders>
              <w:top w:val="nil"/>
              <w:left w:val="nil"/>
            </w:tcBorders>
            <w:shd w:val="clear" w:color="auto" w:fill="F2F2F2" w:themeFill="background1" w:themeFillShade="F2"/>
          </w:tcPr>
          <w:p w14:paraId="1AD11BF0" w14:textId="0A5841D8" w:rsidR="009923EB" w:rsidRPr="006E03E1" w:rsidRDefault="009923EB" w:rsidP="009923EB">
            <w:pPr>
              <w:pStyle w:val="Heading1"/>
              <w:spacing w:before="120" w:after="120"/>
              <w:jc w:val="center"/>
              <w:outlineLvl w:val="0"/>
              <w:rPr>
                <w:b w:val="0"/>
                <w:bCs/>
              </w:rPr>
            </w:pPr>
            <w:r w:rsidRPr="006E03E1">
              <w:rPr>
                <w:b w:val="0"/>
                <w:bCs/>
              </w:rPr>
              <w:t>Common law</w:t>
            </w:r>
          </w:p>
        </w:tc>
      </w:tr>
      <w:tr w:rsidR="009923EB" w:rsidRPr="006E03E1" w14:paraId="1454A694" w14:textId="77777777" w:rsidTr="00DF7BDC">
        <w:trPr>
          <w:trHeight w:val="1020"/>
        </w:trPr>
        <w:tc>
          <w:tcPr>
            <w:tcW w:w="4508" w:type="dxa"/>
            <w:vAlign w:val="center"/>
          </w:tcPr>
          <w:p w14:paraId="47233A8A" w14:textId="41062961" w:rsidR="009923EB" w:rsidRPr="006E03E1" w:rsidRDefault="006E03E1" w:rsidP="00DF7BDC">
            <w:pPr>
              <w:rPr>
                <w:rFonts w:ascii="Bradley Hand ITC" w:hAnsi="Bradley Hand ITC"/>
              </w:rPr>
            </w:pPr>
            <w:r w:rsidRPr="006E03E1">
              <w:rPr>
                <w:rFonts w:ascii="Bradley Hand ITC" w:hAnsi="Bradley Hand ITC"/>
              </w:rPr>
              <w:t>Made by parliament</w:t>
            </w:r>
          </w:p>
        </w:tc>
        <w:tc>
          <w:tcPr>
            <w:tcW w:w="4508" w:type="dxa"/>
            <w:vAlign w:val="center"/>
          </w:tcPr>
          <w:p w14:paraId="2D89A390" w14:textId="3A158310" w:rsidR="009923EB" w:rsidRPr="006E03E1" w:rsidRDefault="006E03E1" w:rsidP="00DF7BDC">
            <w:pPr>
              <w:rPr>
                <w:rFonts w:ascii="Bradley Hand ITC" w:hAnsi="Bradley Hand ITC"/>
              </w:rPr>
            </w:pPr>
            <w:r w:rsidRPr="006E03E1">
              <w:rPr>
                <w:rFonts w:ascii="Bradley Hand ITC" w:hAnsi="Bradley Hand ITC"/>
              </w:rPr>
              <w:t>Decided by courts</w:t>
            </w:r>
          </w:p>
        </w:tc>
      </w:tr>
      <w:tr w:rsidR="00DF7BDC" w:rsidRPr="006E03E1" w14:paraId="0939419A" w14:textId="77777777" w:rsidTr="00DF7BDC">
        <w:trPr>
          <w:trHeight w:val="1020"/>
        </w:trPr>
        <w:tc>
          <w:tcPr>
            <w:tcW w:w="4508" w:type="dxa"/>
            <w:vAlign w:val="center"/>
          </w:tcPr>
          <w:p w14:paraId="0E50AB0F" w14:textId="7A8CD922" w:rsidR="00DF7BDC" w:rsidRPr="006E03E1" w:rsidRDefault="006E03E1" w:rsidP="00DF7BDC">
            <w:pPr>
              <w:rPr>
                <w:rFonts w:ascii="Bradley Hand ITC" w:hAnsi="Bradley Hand ITC"/>
              </w:rPr>
            </w:pPr>
            <w:r w:rsidRPr="006E03E1">
              <w:rPr>
                <w:rFonts w:ascii="Bradley Hand ITC" w:hAnsi="Bradley Hand ITC"/>
              </w:rPr>
              <w:t>Bound by the Constitution</w:t>
            </w:r>
          </w:p>
        </w:tc>
        <w:tc>
          <w:tcPr>
            <w:tcW w:w="4508" w:type="dxa"/>
            <w:vAlign w:val="center"/>
          </w:tcPr>
          <w:p w14:paraId="47BF1945" w14:textId="3D650F3C" w:rsidR="00DF7BDC" w:rsidRPr="006E03E1" w:rsidRDefault="006E03E1" w:rsidP="00DF7BDC">
            <w:pPr>
              <w:rPr>
                <w:rFonts w:ascii="Bradley Hand ITC" w:hAnsi="Bradley Hand ITC"/>
              </w:rPr>
            </w:pPr>
            <w:r w:rsidRPr="006E03E1">
              <w:rPr>
                <w:rFonts w:ascii="Bradley Hand ITC" w:hAnsi="Bradley Hand ITC"/>
              </w:rPr>
              <w:t>Bound by precedent and legislation</w:t>
            </w:r>
          </w:p>
        </w:tc>
      </w:tr>
      <w:tr w:rsidR="00DF7BDC" w:rsidRPr="006E03E1" w14:paraId="0A6603E0" w14:textId="77777777" w:rsidTr="00DF7BDC">
        <w:trPr>
          <w:trHeight w:val="1020"/>
        </w:trPr>
        <w:tc>
          <w:tcPr>
            <w:tcW w:w="4508" w:type="dxa"/>
            <w:vAlign w:val="center"/>
          </w:tcPr>
          <w:p w14:paraId="0C59A09B" w14:textId="675DCCBD" w:rsidR="00DF7BDC" w:rsidRPr="006E03E1" w:rsidRDefault="006E03E1" w:rsidP="00DF7BDC">
            <w:pPr>
              <w:rPr>
                <w:rFonts w:ascii="Bradley Hand ITC" w:hAnsi="Bradley Hand ITC"/>
              </w:rPr>
            </w:pPr>
            <w:r w:rsidRPr="006E03E1">
              <w:rPr>
                <w:rFonts w:ascii="Bradley Hand ITC" w:hAnsi="Bradley Hand ITC"/>
              </w:rPr>
              <w:t>Applies to the whole community</w:t>
            </w:r>
          </w:p>
        </w:tc>
        <w:tc>
          <w:tcPr>
            <w:tcW w:w="4508" w:type="dxa"/>
            <w:vAlign w:val="center"/>
          </w:tcPr>
          <w:p w14:paraId="65731127" w14:textId="7A82A880" w:rsidR="00DF7BDC" w:rsidRPr="006E03E1" w:rsidRDefault="006E03E1" w:rsidP="00DF7BDC">
            <w:pPr>
              <w:rPr>
                <w:rFonts w:ascii="Bradley Hand ITC" w:hAnsi="Bradley Hand ITC"/>
              </w:rPr>
            </w:pPr>
            <w:r w:rsidRPr="006E03E1">
              <w:rPr>
                <w:rFonts w:ascii="Bradley Hand ITC" w:hAnsi="Bradley Hand ITC"/>
              </w:rPr>
              <w:t>Only applies to the parties involved</w:t>
            </w:r>
          </w:p>
        </w:tc>
      </w:tr>
      <w:tr w:rsidR="00DF7BDC" w:rsidRPr="006E03E1" w14:paraId="075577D4" w14:textId="77777777" w:rsidTr="00DF7BDC">
        <w:trPr>
          <w:trHeight w:val="1020"/>
        </w:trPr>
        <w:tc>
          <w:tcPr>
            <w:tcW w:w="4508" w:type="dxa"/>
            <w:vAlign w:val="center"/>
          </w:tcPr>
          <w:p w14:paraId="5DB44A66" w14:textId="469FC152" w:rsidR="00DF7BDC" w:rsidRPr="006E03E1" w:rsidRDefault="006E03E1" w:rsidP="00DF7BDC">
            <w:pPr>
              <w:rPr>
                <w:rFonts w:ascii="Bradley Hand ITC" w:hAnsi="Bradley Hand ITC"/>
              </w:rPr>
            </w:pPr>
            <w:r w:rsidRPr="006E03E1">
              <w:rPr>
                <w:rFonts w:ascii="Bradley Hand ITC" w:hAnsi="Bradley Hand ITC"/>
              </w:rPr>
              <w:t>Covers broad areas</w:t>
            </w:r>
          </w:p>
        </w:tc>
        <w:tc>
          <w:tcPr>
            <w:tcW w:w="4508" w:type="dxa"/>
            <w:vAlign w:val="center"/>
          </w:tcPr>
          <w:p w14:paraId="689716E0" w14:textId="7D89DD8F" w:rsidR="00DF7BDC" w:rsidRPr="006E03E1" w:rsidRDefault="006E03E1" w:rsidP="00DF7BDC">
            <w:pPr>
              <w:rPr>
                <w:rFonts w:ascii="Bradley Hand ITC" w:hAnsi="Bradley Hand ITC"/>
              </w:rPr>
            </w:pPr>
            <w:r w:rsidRPr="006E03E1">
              <w:rPr>
                <w:rFonts w:ascii="Bradley Hand ITC" w:hAnsi="Bradley Hand ITC"/>
              </w:rPr>
              <w:t>Covers issues/facts specific to the individual case</w:t>
            </w:r>
          </w:p>
        </w:tc>
      </w:tr>
      <w:tr w:rsidR="00DF7BDC" w:rsidRPr="006E03E1" w14:paraId="00F9B7AF" w14:textId="77777777" w:rsidTr="00DF7BDC">
        <w:trPr>
          <w:trHeight w:val="1020"/>
        </w:trPr>
        <w:tc>
          <w:tcPr>
            <w:tcW w:w="4508" w:type="dxa"/>
            <w:vAlign w:val="center"/>
          </w:tcPr>
          <w:p w14:paraId="04815938" w14:textId="11A6687F" w:rsidR="00DF7BDC" w:rsidRPr="006E03E1" w:rsidRDefault="006E03E1" w:rsidP="00DF7BDC">
            <w:pPr>
              <w:rPr>
                <w:rFonts w:ascii="Bradley Hand ITC" w:hAnsi="Bradley Hand ITC"/>
              </w:rPr>
            </w:pPr>
            <w:r w:rsidRPr="006E03E1">
              <w:rPr>
                <w:rFonts w:ascii="Bradley Hand ITC" w:hAnsi="Bradley Hand ITC"/>
              </w:rPr>
              <w:t>Parliament is the highest authority</w:t>
            </w:r>
          </w:p>
        </w:tc>
        <w:tc>
          <w:tcPr>
            <w:tcW w:w="4508" w:type="dxa"/>
            <w:vAlign w:val="center"/>
          </w:tcPr>
          <w:p w14:paraId="7148628D" w14:textId="2B2EAC34" w:rsidR="00DF7BDC" w:rsidRPr="006E03E1" w:rsidRDefault="006E03E1" w:rsidP="00DF7BDC">
            <w:pPr>
              <w:rPr>
                <w:rFonts w:ascii="Bradley Hand ITC" w:hAnsi="Bradley Hand ITC"/>
              </w:rPr>
            </w:pPr>
            <w:r w:rsidRPr="006E03E1">
              <w:rPr>
                <w:rFonts w:ascii="Bradley Hand ITC" w:hAnsi="Bradley Hand ITC"/>
              </w:rPr>
              <w:t>Court decisions can be overridden by parliament or higher courts</w:t>
            </w:r>
          </w:p>
        </w:tc>
      </w:tr>
      <w:tr w:rsidR="00DF7BDC" w:rsidRPr="006E03E1" w14:paraId="3D2A391D" w14:textId="77777777" w:rsidTr="00DF7BDC">
        <w:trPr>
          <w:trHeight w:val="1020"/>
        </w:trPr>
        <w:tc>
          <w:tcPr>
            <w:tcW w:w="4508" w:type="dxa"/>
            <w:vAlign w:val="center"/>
          </w:tcPr>
          <w:p w14:paraId="55B0D7FB" w14:textId="4BEBF9DE" w:rsidR="00DF7BDC" w:rsidRPr="006E03E1" w:rsidRDefault="006E03E1" w:rsidP="00DF7BDC">
            <w:pPr>
              <w:rPr>
                <w:rFonts w:ascii="Bradley Hand ITC" w:hAnsi="Bradley Hand ITC"/>
              </w:rPr>
            </w:pPr>
            <w:r w:rsidRPr="006E03E1">
              <w:rPr>
                <w:rFonts w:ascii="Bradley Hand ITC" w:hAnsi="Bradley Hand ITC"/>
              </w:rPr>
              <w:t>Can delegate legislation to state/local governments</w:t>
            </w:r>
          </w:p>
        </w:tc>
        <w:tc>
          <w:tcPr>
            <w:tcW w:w="4508" w:type="dxa"/>
            <w:vAlign w:val="center"/>
          </w:tcPr>
          <w:p w14:paraId="7C5AA99F" w14:textId="51BB1877" w:rsidR="00DF7BDC" w:rsidRPr="006E03E1" w:rsidRDefault="006E03E1" w:rsidP="00DF7BDC">
            <w:pPr>
              <w:rPr>
                <w:rFonts w:ascii="Bradley Hand ITC" w:hAnsi="Bradley Hand ITC"/>
              </w:rPr>
            </w:pPr>
            <w:r w:rsidRPr="006E03E1">
              <w:rPr>
                <w:rFonts w:ascii="Bradley Hand ITC" w:hAnsi="Bradley Hand ITC"/>
              </w:rPr>
              <w:t>Courts cannot delegate their powers</w:t>
            </w:r>
          </w:p>
        </w:tc>
      </w:tr>
      <w:tr w:rsidR="00DF7BDC" w:rsidRPr="006E03E1" w14:paraId="059772DC" w14:textId="77777777" w:rsidTr="00DF7BDC">
        <w:trPr>
          <w:trHeight w:val="1020"/>
        </w:trPr>
        <w:tc>
          <w:tcPr>
            <w:tcW w:w="4508" w:type="dxa"/>
            <w:vAlign w:val="center"/>
          </w:tcPr>
          <w:p w14:paraId="00F55ABA" w14:textId="024E027F" w:rsidR="00DF7BDC" w:rsidRPr="006E03E1" w:rsidRDefault="006E03E1" w:rsidP="00DF7BDC">
            <w:pPr>
              <w:rPr>
                <w:rFonts w:ascii="Bradley Hand ITC" w:hAnsi="Bradley Hand ITC"/>
              </w:rPr>
            </w:pPr>
            <w:r w:rsidRPr="006E03E1">
              <w:rPr>
                <w:rFonts w:ascii="Bradley Hand ITC" w:hAnsi="Bradley Hand ITC"/>
              </w:rPr>
              <w:t>Passes laws that affect the future</w:t>
            </w:r>
          </w:p>
        </w:tc>
        <w:tc>
          <w:tcPr>
            <w:tcW w:w="4508" w:type="dxa"/>
            <w:vAlign w:val="center"/>
          </w:tcPr>
          <w:p w14:paraId="5FA6304A" w14:textId="34B1DC53" w:rsidR="00DF7BDC" w:rsidRPr="006E03E1" w:rsidRDefault="006E03E1" w:rsidP="00DF7BDC">
            <w:pPr>
              <w:rPr>
                <w:rFonts w:ascii="Bradley Hand ITC" w:hAnsi="Bradley Hand ITC"/>
              </w:rPr>
            </w:pPr>
            <w:r w:rsidRPr="006E03E1">
              <w:rPr>
                <w:rFonts w:ascii="Bradley Hand ITC" w:hAnsi="Bradley Hand ITC"/>
              </w:rPr>
              <w:t>Makes decisions to address cases that have already occurred. These decisions can sometimes affect future decisions</w:t>
            </w:r>
          </w:p>
        </w:tc>
      </w:tr>
    </w:tbl>
    <w:p w14:paraId="3BEE6275" w14:textId="64A59EB1" w:rsidR="009923EB" w:rsidRDefault="009923EB"/>
    <w:p w14:paraId="5A576DCD" w14:textId="798382BF" w:rsidR="00654960" w:rsidRPr="006E03E1" w:rsidRDefault="00654960" w:rsidP="00654960">
      <w:pPr>
        <w:pStyle w:val="Heading1"/>
      </w:pPr>
      <w:r w:rsidRPr="006E03E1">
        <w:t xml:space="preserve">Activity </w:t>
      </w:r>
      <w:r>
        <w:t>4</w:t>
      </w:r>
    </w:p>
    <w:p w14:paraId="37FC4018" w14:textId="3D35A707" w:rsidR="00654960" w:rsidRDefault="00654960" w:rsidP="00654960">
      <w:r>
        <w:t>Use the words in the word bank below to complete the cloze activity on the following sheet:</w:t>
      </w:r>
    </w:p>
    <w:tbl>
      <w:tblPr>
        <w:tblStyle w:val="TableGrid"/>
        <w:tblW w:w="0" w:type="auto"/>
        <w:tblLook w:val="04A0" w:firstRow="1" w:lastRow="0" w:firstColumn="1" w:lastColumn="0" w:noHBand="0" w:noVBand="1"/>
      </w:tblPr>
      <w:tblGrid>
        <w:gridCol w:w="2254"/>
        <w:gridCol w:w="2254"/>
        <w:gridCol w:w="2254"/>
        <w:gridCol w:w="2254"/>
      </w:tblGrid>
      <w:tr w:rsidR="001A77A8" w:rsidRPr="001A77A8" w14:paraId="459A28B3" w14:textId="77777777" w:rsidTr="001A77A8">
        <w:trPr>
          <w:trHeight w:val="567"/>
        </w:trPr>
        <w:tc>
          <w:tcPr>
            <w:tcW w:w="2254" w:type="dxa"/>
            <w:vAlign w:val="center"/>
          </w:tcPr>
          <w:p w14:paraId="3165056D" w14:textId="05E3434A" w:rsidR="001A77A8" w:rsidRPr="001A77A8" w:rsidRDefault="001A77A8" w:rsidP="001A77A8">
            <w:pPr>
              <w:jc w:val="center"/>
            </w:pPr>
            <w:r w:rsidRPr="001A77A8">
              <w:t>cross-examined</w:t>
            </w:r>
          </w:p>
        </w:tc>
        <w:tc>
          <w:tcPr>
            <w:tcW w:w="2254" w:type="dxa"/>
            <w:vAlign w:val="center"/>
          </w:tcPr>
          <w:p w14:paraId="0B8DF8A6" w14:textId="5F1558A4" w:rsidR="001A77A8" w:rsidRPr="001A77A8" w:rsidRDefault="001A77A8" w:rsidP="001A77A8">
            <w:pPr>
              <w:jc w:val="center"/>
            </w:pPr>
            <w:r w:rsidRPr="001A77A8">
              <w:t>evidence</w:t>
            </w:r>
          </w:p>
        </w:tc>
        <w:tc>
          <w:tcPr>
            <w:tcW w:w="2254" w:type="dxa"/>
            <w:vAlign w:val="center"/>
          </w:tcPr>
          <w:p w14:paraId="6088A7CF" w14:textId="7E20787F" w:rsidR="001A77A8" w:rsidRPr="001A77A8" w:rsidRDefault="001A77A8" w:rsidP="001A77A8">
            <w:pPr>
              <w:jc w:val="center"/>
            </w:pPr>
            <w:r w:rsidRPr="001A77A8">
              <w:t>guilty</w:t>
            </w:r>
          </w:p>
        </w:tc>
        <w:tc>
          <w:tcPr>
            <w:tcW w:w="2254" w:type="dxa"/>
            <w:vAlign w:val="center"/>
          </w:tcPr>
          <w:p w14:paraId="759A902E" w14:textId="3BA2210C" w:rsidR="001A77A8" w:rsidRPr="001A77A8" w:rsidRDefault="001A77A8" w:rsidP="001A77A8">
            <w:pPr>
              <w:jc w:val="center"/>
            </w:pPr>
            <w:r w:rsidRPr="001A77A8">
              <w:t>opening address</w:t>
            </w:r>
          </w:p>
        </w:tc>
      </w:tr>
      <w:tr w:rsidR="001A77A8" w14:paraId="53EA2FE3" w14:textId="77777777" w:rsidTr="001A77A8">
        <w:trPr>
          <w:trHeight w:val="567"/>
        </w:trPr>
        <w:tc>
          <w:tcPr>
            <w:tcW w:w="2254" w:type="dxa"/>
            <w:vAlign w:val="center"/>
          </w:tcPr>
          <w:p w14:paraId="46183BC2" w14:textId="2FA23C76" w:rsidR="001A77A8" w:rsidRPr="001A77A8" w:rsidRDefault="001A77A8" w:rsidP="001A77A8">
            <w:pPr>
              <w:jc w:val="center"/>
            </w:pPr>
            <w:r w:rsidRPr="001A77A8">
              <w:t>plaintiff</w:t>
            </w:r>
          </w:p>
        </w:tc>
        <w:tc>
          <w:tcPr>
            <w:tcW w:w="2254" w:type="dxa"/>
            <w:vAlign w:val="center"/>
          </w:tcPr>
          <w:p w14:paraId="2AB96E6D" w14:textId="52CBAEE4" w:rsidR="001A77A8" w:rsidRPr="001A77A8" w:rsidRDefault="001A77A8" w:rsidP="001A77A8">
            <w:pPr>
              <w:jc w:val="center"/>
            </w:pPr>
            <w:r w:rsidRPr="001A77A8">
              <w:t>punishment</w:t>
            </w:r>
          </w:p>
        </w:tc>
        <w:tc>
          <w:tcPr>
            <w:tcW w:w="2254" w:type="dxa"/>
            <w:vAlign w:val="center"/>
          </w:tcPr>
          <w:p w14:paraId="26CE031F" w14:textId="0DCB9B1B" w:rsidR="001A77A8" w:rsidRPr="001A77A8" w:rsidRDefault="001A77A8" w:rsidP="001A77A8">
            <w:pPr>
              <w:jc w:val="center"/>
            </w:pPr>
            <w:r w:rsidRPr="001A77A8">
              <w:t>witness</w:t>
            </w:r>
          </w:p>
        </w:tc>
        <w:tc>
          <w:tcPr>
            <w:tcW w:w="2254" w:type="dxa"/>
            <w:vAlign w:val="center"/>
          </w:tcPr>
          <w:p w14:paraId="485A8697" w14:textId="67F56DDC" w:rsidR="001A77A8" w:rsidRDefault="001A77A8" w:rsidP="001A77A8">
            <w:pPr>
              <w:jc w:val="center"/>
            </w:pPr>
            <w:r w:rsidRPr="001A77A8">
              <w:t>wrongdoing</w:t>
            </w:r>
          </w:p>
        </w:tc>
      </w:tr>
    </w:tbl>
    <w:p w14:paraId="50E8AE89" w14:textId="77777777" w:rsidR="00654960" w:rsidRDefault="00654960" w:rsidP="00654960"/>
    <w:p w14:paraId="4224C061" w14:textId="77777777" w:rsidR="00654960" w:rsidRDefault="00654960">
      <w:r>
        <w:br w:type="page"/>
      </w:r>
    </w:p>
    <w:p w14:paraId="40C5CC0F" w14:textId="6039B4D6" w:rsidR="006E03E1" w:rsidRPr="00654960" w:rsidRDefault="00453198" w:rsidP="000733F7">
      <w:pPr>
        <w:spacing w:line="360" w:lineRule="auto"/>
        <w:rPr>
          <w:b/>
          <w:bCs/>
        </w:rPr>
      </w:pPr>
      <w:r w:rsidRPr="00654960">
        <w:rPr>
          <w:b/>
          <w:bCs/>
        </w:rPr>
        <w:lastRenderedPageBreak/>
        <w:t xml:space="preserve">CRIMINAL TRIALS </w:t>
      </w:r>
    </w:p>
    <w:p w14:paraId="40770831" w14:textId="09B3AF45" w:rsidR="00654960" w:rsidRDefault="001A77A8" w:rsidP="008031D9">
      <w:pPr>
        <w:spacing w:line="360" w:lineRule="auto"/>
        <w:ind w:right="-188"/>
      </w:pPr>
      <w:r>
        <w:t>I</w:t>
      </w:r>
      <w:r w:rsidR="00654960" w:rsidRPr="00654960">
        <w:t xml:space="preserve">n criminal trials, once a jury has been selected, the alleged crime or offence is presented to the court and the accused must enter a plea of </w:t>
      </w:r>
      <w:r w:rsidR="00654960">
        <w:t>‘</w:t>
      </w:r>
      <w:r w:rsidR="00654960" w:rsidRPr="00007872">
        <w:rPr>
          <w:highlight w:val="yellow"/>
        </w:rPr>
        <w:t>guilty</w:t>
      </w:r>
      <w:r w:rsidR="00654960">
        <w:t>’</w:t>
      </w:r>
      <w:r w:rsidR="00654960" w:rsidRPr="00654960">
        <w:t xml:space="preserve"> or </w:t>
      </w:r>
      <w:r w:rsidR="00654960">
        <w:t>‘</w:t>
      </w:r>
      <w:r w:rsidR="00654960" w:rsidRPr="00654960">
        <w:t>not guilty</w:t>
      </w:r>
      <w:r w:rsidR="00654960">
        <w:t>’.</w:t>
      </w:r>
      <w:r w:rsidR="00654960" w:rsidRPr="00654960">
        <w:t xml:space="preserve"> </w:t>
      </w:r>
      <w:r w:rsidR="00007872">
        <w:t>T</w:t>
      </w:r>
      <w:r w:rsidR="00654960" w:rsidRPr="00654960">
        <w:t xml:space="preserve">he prosecution then gives what is called the </w:t>
      </w:r>
      <w:bookmarkStart w:id="1" w:name="_Hlk56255135"/>
      <w:r w:rsidR="00654960" w:rsidRPr="00007872">
        <w:rPr>
          <w:highlight w:val="yellow"/>
        </w:rPr>
        <w:t>opening address</w:t>
      </w:r>
      <w:bookmarkEnd w:id="1"/>
      <w:r w:rsidR="00654960" w:rsidRPr="00654960">
        <w:t xml:space="preserve">, which presents an overview of the case and the main evidence that will </w:t>
      </w:r>
      <w:r w:rsidR="00007872">
        <w:t xml:space="preserve">be used to </w:t>
      </w:r>
      <w:r w:rsidR="00007872" w:rsidRPr="00654960">
        <w:t>show</w:t>
      </w:r>
      <w:r w:rsidR="00654960" w:rsidRPr="00654960">
        <w:t xml:space="preserve"> why the accused should be found guilty. </w:t>
      </w:r>
      <w:r w:rsidR="000733F7">
        <w:t xml:space="preserve"> </w:t>
      </w:r>
      <w:r w:rsidR="00654960" w:rsidRPr="00654960">
        <w:t xml:space="preserve">The </w:t>
      </w:r>
      <w:r w:rsidR="00007872">
        <w:t>defence</w:t>
      </w:r>
      <w:r w:rsidR="00654960" w:rsidRPr="00654960">
        <w:t xml:space="preserve">, </w:t>
      </w:r>
      <w:r w:rsidR="00007872">
        <w:t xml:space="preserve">who </w:t>
      </w:r>
      <w:r w:rsidR="00654960" w:rsidRPr="00654960">
        <w:t>represents the accused, is then able to provide a response to the opening address</w:t>
      </w:r>
      <w:r w:rsidR="000733F7">
        <w:t>.</w:t>
      </w:r>
    </w:p>
    <w:p w14:paraId="1A462CDA" w14:textId="3C87FB53" w:rsidR="00654960" w:rsidRDefault="007C5C16" w:rsidP="000733F7">
      <w:pPr>
        <w:spacing w:line="360" w:lineRule="auto"/>
      </w:pPr>
      <w:r>
        <w:t>W</w:t>
      </w:r>
      <w:r w:rsidR="00654960" w:rsidRPr="00654960">
        <w:t xml:space="preserve">itnesses are called by the prosecution and the defence to provide evidence, which is information presented to the court to help support the alleged false </w:t>
      </w:r>
      <w:r w:rsidR="008031D9">
        <w:t>supposed</w:t>
      </w:r>
      <w:r w:rsidR="00654960" w:rsidRPr="00654960">
        <w:t xml:space="preserve"> facts of the case</w:t>
      </w:r>
      <w:r w:rsidR="008031D9">
        <w:t>. W</w:t>
      </w:r>
      <w:r w:rsidR="00654960" w:rsidRPr="00654960">
        <w:t>itnesses can be thoroughly question</w:t>
      </w:r>
      <w:r w:rsidR="008031D9">
        <w:t>ed</w:t>
      </w:r>
      <w:r w:rsidR="00654960" w:rsidRPr="00654960">
        <w:t xml:space="preserve"> and </w:t>
      </w:r>
      <w:r w:rsidR="00654960" w:rsidRPr="008031D9">
        <w:rPr>
          <w:highlight w:val="yellow"/>
        </w:rPr>
        <w:t>cross</w:t>
      </w:r>
      <w:r w:rsidR="008031D9" w:rsidRPr="008031D9">
        <w:rPr>
          <w:highlight w:val="yellow"/>
        </w:rPr>
        <w:t>-examined</w:t>
      </w:r>
      <w:r w:rsidR="008031D9">
        <w:t xml:space="preserve"> (</w:t>
      </w:r>
      <w:r w:rsidR="00654960" w:rsidRPr="00654960">
        <w:t>questioned by the opposing legal team</w:t>
      </w:r>
      <w:r w:rsidR="008031D9">
        <w:t>)</w:t>
      </w:r>
      <w:r w:rsidR="00654960" w:rsidRPr="00654960">
        <w:t xml:space="preserve"> </w:t>
      </w:r>
      <w:r w:rsidR="008031D9" w:rsidRPr="00654960">
        <w:t>to</w:t>
      </w:r>
      <w:r w:rsidR="00654960" w:rsidRPr="00654960">
        <w:t xml:space="preserve"> explore the evidence presented and possibly </w:t>
      </w:r>
      <w:r w:rsidR="001A77A8">
        <w:t>find</w:t>
      </w:r>
      <w:r w:rsidR="00654960" w:rsidRPr="00654960">
        <w:t xml:space="preserve"> any weakness or mistakes in the </w:t>
      </w:r>
      <w:r w:rsidR="008031D9" w:rsidRPr="00654960">
        <w:t>witnesses’</w:t>
      </w:r>
      <w:r w:rsidR="00654960" w:rsidRPr="00654960">
        <w:t xml:space="preserve"> statements</w:t>
      </w:r>
      <w:r w:rsidR="008031D9">
        <w:t xml:space="preserve">. </w:t>
      </w:r>
      <w:r>
        <w:t>A</w:t>
      </w:r>
      <w:r w:rsidR="00654960" w:rsidRPr="00654960">
        <w:t xml:space="preserve">part from </w:t>
      </w:r>
      <w:r w:rsidR="00654960" w:rsidRPr="008031D9">
        <w:rPr>
          <w:highlight w:val="yellow"/>
        </w:rPr>
        <w:t>witness</w:t>
      </w:r>
      <w:r w:rsidR="00654960" w:rsidRPr="00654960">
        <w:t xml:space="preserve"> statements</w:t>
      </w:r>
      <w:r w:rsidR="008031D9">
        <w:t>,</w:t>
      </w:r>
      <w:r w:rsidR="00654960" w:rsidRPr="00654960">
        <w:t xml:space="preserve"> other evidence maybe submitted </w:t>
      </w:r>
      <w:r w:rsidR="008031D9">
        <w:t>-</w:t>
      </w:r>
      <w:r w:rsidR="00654960" w:rsidRPr="00654960">
        <w:t xml:space="preserve"> for example</w:t>
      </w:r>
      <w:r w:rsidR="008031D9">
        <w:t>,</w:t>
      </w:r>
      <w:r w:rsidR="00654960" w:rsidRPr="00654960">
        <w:t xml:space="preserve"> a gun</w:t>
      </w:r>
      <w:r w:rsidR="008031D9">
        <w:t xml:space="preserve"> said</w:t>
      </w:r>
      <w:r w:rsidR="00654960" w:rsidRPr="00654960">
        <w:t xml:space="preserve"> to be involved in the crime, or forensic </w:t>
      </w:r>
      <w:r w:rsidR="00654960" w:rsidRPr="00DE2273">
        <w:rPr>
          <w:highlight w:val="yellow"/>
        </w:rPr>
        <w:t>evidence</w:t>
      </w:r>
      <w:r w:rsidR="00654960" w:rsidRPr="00654960">
        <w:t xml:space="preserve"> such as fingerprints</w:t>
      </w:r>
      <w:r w:rsidR="000733F7">
        <w:t>.</w:t>
      </w:r>
      <w:r w:rsidR="00654960" w:rsidRPr="00654960">
        <w:t xml:space="preserve"> </w:t>
      </w:r>
    </w:p>
    <w:p w14:paraId="444045C5" w14:textId="6B48BA7C" w:rsidR="00654960" w:rsidRDefault="007C5C16" w:rsidP="000733F7">
      <w:pPr>
        <w:spacing w:line="360" w:lineRule="auto"/>
      </w:pPr>
      <w:r>
        <w:t>B</w:t>
      </w:r>
      <w:r w:rsidR="00654960" w:rsidRPr="00654960">
        <w:t xml:space="preserve">oth the prosecution and defence provide a summary of their </w:t>
      </w:r>
      <w:r w:rsidR="00654960">
        <w:t>cases.</w:t>
      </w:r>
    </w:p>
    <w:p w14:paraId="0AA71C85" w14:textId="6C786038" w:rsidR="00654960" w:rsidRDefault="007C5C16" w:rsidP="000733F7">
      <w:pPr>
        <w:spacing w:line="360" w:lineRule="auto"/>
      </w:pPr>
      <w:r>
        <w:t>I</w:t>
      </w:r>
      <w:r w:rsidR="00654960" w:rsidRPr="00654960">
        <w:t xml:space="preserve">f the accused has pleaded </w:t>
      </w:r>
      <w:r>
        <w:t>‘</w:t>
      </w:r>
      <w:r w:rsidR="00654960" w:rsidRPr="00654960">
        <w:t>not guilty</w:t>
      </w:r>
      <w:r>
        <w:t>’</w:t>
      </w:r>
      <w:r w:rsidR="00654960" w:rsidRPr="00654960">
        <w:t>, then the jury retires to discuss and decide on a decision or ver</w:t>
      </w:r>
      <w:r w:rsidR="00654960">
        <w:t>dict.</w:t>
      </w:r>
      <w:r w:rsidR="000733F7">
        <w:t xml:space="preserve"> </w:t>
      </w:r>
      <w:r w:rsidR="00453198">
        <w:t>I</w:t>
      </w:r>
      <w:r w:rsidR="00654960" w:rsidRPr="00654960">
        <w:t xml:space="preserve">f the accused is found guilty, the judge then decides on the appropriate </w:t>
      </w:r>
      <w:r w:rsidR="00654960" w:rsidRPr="00453198">
        <w:rPr>
          <w:highlight w:val="yellow"/>
        </w:rPr>
        <w:t>punishment</w:t>
      </w:r>
      <w:r w:rsidR="00654960" w:rsidRPr="00654960">
        <w:t xml:space="preserve">. If the jury delivers a not guilty verdict, </w:t>
      </w:r>
      <w:r w:rsidR="00453198">
        <w:t>t</w:t>
      </w:r>
      <w:r w:rsidR="00654960" w:rsidRPr="00654960">
        <w:t>hen the accused is released and is free to leave</w:t>
      </w:r>
      <w:r w:rsidR="00654960">
        <w:t>.</w:t>
      </w:r>
    </w:p>
    <w:p w14:paraId="71171DFF" w14:textId="5F3D9E96" w:rsidR="00654960" w:rsidRPr="00453198" w:rsidRDefault="00453198" w:rsidP="000733F7">
      <w:pPr>
        <w:spacing w:line="360" w:lineRule="auto"/>
        <w:rPr>
          <w:b/>
          <w:bCs/>
        </w:rPr>
      </w:pPr>
      <w:r w:rsidRPr="00453198">
        <w:rPr>
          <w:b/>
          <w:bCs/>
        </w:rPr>
        <w:t xml:space="preserve">CIVIL TRIALS </w:t>
      </w:r>
    </w:p>
    <w:p w14:paraId="78B8BED4" w14:textId="1BCA3E68" w:rsidR="00654960" w:rsidRDefault="000733F7" w:rsidP="000733F7">
      <w:pPr>
        <w:spacing w:line="360" w:lineRule="auto"/>
      </w:pPr>
      <w:r>
        <w:t>C</w:t>
      </w:r>
      <w:r w:rsidR="00654960" w:rsidRPr="00654960">
        <w:t>ivil trials run in a very similar manner to criminal trials</w:t>
      </w:r>
      <w:r>
        <w:t>;</w:t>
      </w:r>
      <w:r w:rsidR="00654960" w:rsidRPr="00654960">
        <w:t xml:space="preserve"> however</w:t>
      </w:r>
      <w:r>
        <w:t>,</w:t>
      </w:r>
      <w:r w:rsidR="00654960" w:rsidRPr="00654960">
        <w:t xml:space="preserve"> a jury is not usually used in</w:t>
      </w:r>
      <w:r>
        <w:t xml:space="preserve"> a</w:t>
      </w:r>
      <w:r w:rsidR="00654960" w:rsidRPr="00654960">
        <w:t xml:space="preserve"> civil trial</w:t>
      </w:r>
      <w:r>
        <w:t>. T</w:t>
      </w:r>
      <w:r w:rsidR="00654960" w:rsidRPr="00654960">
        <w:t xml:space="preserve">he party taking the action to court is known as the </w:t>
      </w:r>
      <w:r w:rsidR="00654960" w:rsidRPr="000733F7">
        <w:t>plaintiff</w:t>
      </w:r>
      <w:r w:rsidR="00654960" w:rsidRPr="00654960">
        <w:t xml:space="preserve"> and the party being accused of a </w:t>
      </w:r>
      <w:r w:rsidR="00654960" w:rsidRPr="000733F7">
        <w:rPr>
          <w:highlight w:val="yellow"/>
        </w:rPr>
        <w:t>wrongdoing</w:t>
      </w:r>
      <w:r w:rsidR="00654960" w:rsidRPr="00654960">
        <w:t xml:space="preserve"> is known as the defendant</w:t>
      </w:r>
      <w:r w:rsidR="00654960">
        <w:t xml:space="preserve">. </w:t>
      </w:r>
      <w:r w:rsidR="00654960" w:rsidRPr="00654960">
        <w:t xml:space="preserve">both parties and their legal representatives give opening addresses, present evidence and can </w:t>
      </w:r>
      <w:r w:rsidR="00654960">
        <w:t xml:space="preserve">call </w:t>
      </w:r>
      <w:r w:rsidR="00654960" w:rsidRPr="00654960">
        <w:t>witnesses</w:t>
      </w:r>
      <w:r w:rsidR="00654960">
        <w:t>.</w:t>
      </w:r>
      <w:r w:rsidR="00453198">
        <w:t xml:space="preserve"> E</w:t>
      </w:r>
      <w:r w:rsidR="00654960" w:rsidRPr="00654960">
        <w:t xml:space="preserve">ven once a trial has begun, parties are able to reach an out of court settlement. This means that they come to an agreement about the outcome, whether it be correcting faulty work, replacing faulty quotes, compensation or damages requested. At the end of a civil trial, if an out of court settlement has not been reached, the judge presents </w:t>
      </w:r>
      <w:r>
        <w:t>their</w:t>
      </w:r>
      <w:r w:rsidR="00654960" w:rsidRPr="00654960">
        <w:t xml:space="preserve"> verdict</w:t>
      </w:r>
      <w:r>
        <w:t>. I</w:t>
      </w:r>
      <w:r w:rsidR="00654960" w:rsidRPr="00654960">
        <w:t>f the plaintiff wins, the judge then decides what remedy</w:t>
      </w:r>
      <w:r w:rsidR="00654960">
        <w:t xml:space="preserve"> (usually</w:t>
      </w:r>
      <w:r w:rsidR="00654960" w:rsidRPr="00654960">
        <w:t xml:space="preserve"> in the form of money</w:t>
      </w:r>
      <w:r w:rsidR="00654960">
        <w:t>)</w:t>
      </w:r>
      <w:r w:rsidR="00654960" w:rsidRPr="00654960">
        <w:t xml:space="preserve"> will be awarded </w:t>
      </w:r>
      <w:r w:rsidR="00654960">
        <w:t xml:space="preserve">to the </w:t>
      </w:r>
      <w:r w:rsidR="00654960" w:rsidRPr="000733F7">
        <w:rPr>
          <w:highlight w:val="yellow"/>
        </w:rPr>
        <w:t>plaintiff</w:t>
      </w:r>
      <w:r w:rsidR="00654960">
        <w:t>.</w:t>
      </w:r>
    </w:p>
    <w:p w14:paraId="0F4EC146" w14:textId="7326790B" w:rsidR="002A36AA" w:rsidRDefault="002A36AA" w:rsidP="002A36AA">
      <w:pPr>
        <w:pStyle w:val="Heading1"/>
      </w:pPr>
      <w:r w:rsidRPr="006E03E1">
        <w:lastRenderedPageBreak/>
        <w:t xml:space="preserve">Activity </w:t>
      </w:r>
      <w:r w:rsidR="001E5704">
        <w:t>5</w:t>
      </w:r>
    </w:p>
    <w:p w14:paraId="161B3230" w14:textId="4A147EBC" w:rsidR="00516368" w:rsidRDefault="00516368" w:rsidP="000733F7">
      <w:pPr>
        <w:spacing w:line="360" w:lineRule="auto"/>
      </w:pPr>
      <w:r>
        <w:t>Copy down each category of evidence from the PowerPoint slide</w:t>
      </w:r>
      <w:r w:rsidR="002A36AA">
        <w:t>.</w:t>
      </w:r>
    </w:p>
    <w:p w14:paraId="522BF7CA" w14:textId="24411CFB" w:rsidR="00516368" w:rsidRDefault="002A36AA" w:rsidP="000733F7">
      <w:pPr>
        <w:spacing w:line="360" w:lineRule="auto"/>
      </w:pPr>
      <w:r>
        <w:t>Next, d</w:t>
      </w:r>
      <w:r w:rsidR="00516368">
        <w:t>raw a line to match the term with the examples</w:t>
      </w:r>
      <w:r>
        <w:t>:</w:t>
      </w:r>
    </w:p>
    <w:tbl>
      <w:tblPr>
        <w:tblStyle w:val="TableGrid"/>
        <w:tblW w:w="0" w:type="auto"/>
        <w:tblLook w:val="04A0" w:firstRow="1" w:lastRow="0" w:firstColumn="1" w:lastColumn="0" w:noHBand="0" w:noVBand="1"/>
      </w:tblPr>
      <w:tblGrid>
        <w:gridCol w:w="3005"/>
        <w:gridCol w:w="3005"/>
        <w:gridCol w:w="3006"/>
      </w:tblGrid>
      <w:tr w:rsidR="00516368" w14:paraId="2E402667" w14:textId="77777777" w:rsidTr="002A36AA">
        <w:trPr>
          <w:trHeight w:val="850"/>
        </w:trPr>
        <w:tc>
          <w:tcPr>
            <w:tcW w:w="3005" w:type="dxa"/>
            <w:vAlign w:val="center"/>
          </w:tcPr>
          <w:p w14:paraId="28B26596" w14:textId="66D6ADEE" w:rsidR="00516368" w:rsidRPr="00DA154D" w:rsidRDefault="00516368" w:rsidP="00516368">
            <w:pPr>
              <w:spacing w:line="360" w:lineRule="auto"/>
              <w:rPr>
                <w:b/>
                <w:bCs/>
              </w:rPr>
            </w:pPr>
            <w:r w:rsidRPr="00DA154D">
              <w:rPr>
                <w:b/>
                <w:bCs/>
              </w:rPr>
              <w:t>Category of Evidence</w:t>
            </w:r>
          </w:p>
        </w:tc>
        <w:tc>
          <w:tcPr>
            <w:tcW w:w="3005" w:type="dxa"/>
            <w:tcBorders>
              <w:top w:val="single" w:sz="4" w:space="0" w:color="FFFFFF" w:themeColor="background1"/>
              <w:bottom w:val="single" w:sz="4" w:space="0" w:color="FFFFFF" w:themeColor="background1"/>
            </w:tcBorders>
            <w:vAlign w:val="center"/>
          </w:tcPr>
          <w:p w14:paraId="5EEFF2F9" w14:textId="77777777" w:rsidR="00516368" w:rsidRPr="00DA154D" w:rsidRDefault="00516368" w:rsidP="00516368">
            <w:pPr>
              <w:spacing w:line="360" w:lineRule="auto"/>
              <w:rPr>
                <w:b/>
                <w:bCs/>
              </w:rPr>
            </w:pPr>
          </w:p>
        </w:tc>
        <w:tc>
          <w:tcPr>
            <w:tcW w:w="3006" w:type="dxa"/>
            <w:vAlign w:val="center"/>
          </w:tcPr>
          <w:p w14:paraId="36491F3D" w14:textId="6632195F" w:rsidR="00516368" w:rsidRPr="00DA154D" w:rsidRDefault="00516368" w:rsidP="00516368">
            <w:pPr>
              <w:spacing w:line="360" w:lineRule="auto"/>
              <w:rPr>
                <w:b/>
                <w:bCs/>
              </w:rPr>
            </w:pPr>
            <w:r w:rsidRPr="00DA154D">
              <w:rPr>
                <w:b/>
                <w:bCs/>
              </w:rPr>
              <w:t>Example</w:t>
            </w:r>
          </w:p>
        </w:tc>
      </w:tr>
      <w:tr w:rsidR="00516368" w14:paraId="2BEB7773" w14:textId="77777777" w:rsidTr="002A36AA">
        <w:trPr>
          <w:trHeight w:val="850"/>
        </w:trPr>
        <w:tc>
          <w:tcPr>
            <w:tcW w:w="3005" w:type="dxa"/>
            <w:vAlign w:val="center"/>
          </w:tcPr>
          <w:p w14:paraId="6E0DFC94" w14:textId="7E33AB23" w:rsidR="00516368" w:rsidRPr="00DA154D" w:rsidRDefault="00516368" w:rsidP="002A36AA">
            <w:pPr>
              <w:spacing w:line="276" w:lineRule="auto"/>
              <w:rPr>
                <w:rFonts w:ascii="Bradley Hand ITC" w:hAnsi="Bradley Hand ITC"/>
                <w:sz w:val="28"/>
                <w:szCs w:val="28"/>
              </w:rPr>
            </w:pPr>
            <w:r w:rsidRPr="00DA154D">
              <w:rPr>
                <w:rFonts w:ascii="Bradley Hand ITC" w:hAnsi="Bradley Hand ITC"/>
                <w:sz w:val="28"/>
                <w:szCs w:val="28"/>
              </w:rPr>
              <w:t>Real</w:t>
            </w:r>
          </w:p>
        </w:tc>
        <w:tc>
          <w:tcPr>
            <w:tcW w:w="3005" w:type="dxa"/>
            <w:tcBorders>
              <w:top w:val="single" w:sz="4" w:space="0" w:color="FFFFFF" w:themeColor="background1"/>
              <w:bottom w:val="single" w:sz="4" w:space="0" w:color="FFFFFF" w:themeColor="background1"/>
            </w:tcBorders>
            <w:vAlign w:val="center"/>
          </w:tcPr>
          <w:p w14:paraId="299FBEB1" w14:textId="7CB5EC36" w:rsidR="00516368" w:rsidRDefault="002A36AA" w:rsidP="00516368">
            <w:pPr>
              <w:spacing w:line="360" w:lineRule="auto"/>
            </w:pPr>
            <w:r>
              <w:rPr>
                <w:rFonts w:ascii="Bradley Hand ITC" w:hAnsi="Bradley Hand ITC"/>
                <w:noProof/>
                <w:lang w:eastAsia="en-AU"/>
              </w:rPr>
              <mc:AlternateContent>
                <mc:Choice Requires="wps">
                  <w:drawing>
                    <wp:anchor distT="0" distB="0" distL="114300" distR="114300" simplePos="0" relativeHeight="251661312" behindDoc="0" locked="0" layoutInCell="1" allowOverlap="1" wp14:anchorId="0816BFFA" wp14:editId="1A1ACCFA">
                      <wp:simplePos x="0" y="0"/>
                      <wp:positionH relativeFrom="column">
                        <wp:posOffset>-79375</wp:posOffset>
                      </wp:positionH>
                      <wp:positionV relativeFrom="paragraph">
                        <wp:posOffset>465455</wp:posOffset>
                      </wp:positionV>
                      <wp:extent cx="1910080" cy="2401570"/>
                      <wp:effectExtent l="0" t="0" r="33020" b="36830"/>
                      <wp:wrapNone/>
                      <wp:docPr id="5" name="Straight Connector 5"/>
                      <wp:cNvGraphicFramePr/>
                      <a:graphic xmlns:a="http://schemas.openxmlformats.org/drawingml/2006/main">
                        <a:graphicData uri="http://schemas.microsoft.com/office/word/2010/wordprocessingShape">
                          <wps:wsp>
                            <wps:cNvCnPr/>
                            <wps:spPr>
                              <a:xfrm>
                                <a:off x="0" y="0"/>
                                <a:ext cx="1910080" cy="240157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0D87C7"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36.65pt" to="144.15pt,2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" strokecolor="#ed7d31 [3205]" strokeweight=".5pt">
                      <v:stroke joinstyle="miter"/>
                    </v:line>
                  </w:pict>
                </mc:Fallback>
              </mc:AlternateContent>
            </w:r>
          </w:p>
        </w:tc>
        <w:tc>
          <w:tcPr>
            <w:tcW w:w="3006" w:type="dxa"/>
            <w:vAlign w:val="center"/>
          </w:tcPr>
          <w:p w14:paraId="706348C4" w14:textId="07BD1AB3" w:rsidR="00516368" w:rsidRDefault="00516368" w:rsidP="002A36AA">
            <w:pPr>
              <w:spacing w:line="276" w:lineRule="auto"/>
            </w:pPr>
            <w:r w:rsidRPr="00516368">
              <w:t>a type of real evidence, describ</w:t>
            </w:r>
            <w:r w:rsidRPr="00516368">
              <w:softHyphen/>
              <w:t>es letters, contracts, newspapers or anything that contains human language</w:t>
            </w:r>
          </w:p>
        </w:tc>
      </w:tr>
      <w:tr w:rsidR="00516368" w14:paraId="22DE386A" w14:textId="77777777" w:rsidTr="002A36AA">
        <w:trPr>
          <w:trHeight w:val="850"/>
        </w:trPr>
        <w:tc>
          <w:tcPr>
            <w:tcW w:w="3005" w:type="dxa"/>
            <w:vAlign w:val="center"/>
          </w:tcPr>
          <w:p w14:paraId="03522E27" w14:textId="366BAE8E" w:rsidR="00516368" w:rsidRPr="00DA154D" w:rsidRDefault="00516368" w:rsidP="002A36AA">
            <w:pPr>
              <w:spacing w:line="276" w:lineRule="auto"/>
              <w:rPr>
                <w:rFonts w:ascii="Bradley Hand ITC" w:hAnsi="Bradley Hand ITC"/>
                <w:sz w:val="28"/>
                <w:szCs w:val="28"/>
              </w:rPr>
            </w:pPr>
            <w:r w:rsidRPr="00DA154D">
              <w:rPr>
                <w:rFonts w:ascii="Bradley Hand ITC" w:hAnsi="Bradley Hand ITC"/>
                <w:sz w:val="28"/>
                <w:szCs w:val="28"/>
              </w:rPr>
              <w:t>Demonstrative</w:t>
            </w:r>
          </w:p>
        </w:tc>
        <w:tc>
          <w:tcPr>
            <w:tcW w:w="3005" w:type="dxa"/>
            <w:tcBorders>
              <w:top w:val="single" w:sz="4" w:space="0" w:color="FFFFFF" w:themeColor="background1"/>
              <w:bottom w:val="single" w:sz="4" w:space="0" w:color="FFFFFF" w:themeColor="background1"/>
            </w:tcBorders>
            <w:vAlign w:val="center"/>
          </w:tcPr>
          <w:p w14:paraId="02C14A90" w14:textId="60FA286F" w:rsidR="00516368" w:rsidRDefault="00DA154D" w:rsidP="00516368">
            <w:pPr>
              <w:spacing w:line="360" w:lineRule="auto"/>
            </w:pPr>
            <w:r>
              <w:rPr>
                <w:rFonts w:ascii="Bradley Hand ITC" w:hAnsi="Bradley Hand ITC"/>
                <w:noProof/>
                <w:lang w:eastAsia="en-AU"/>
              </w:rPr>
              <mc:AlternateContent>
                <mc:Choice Requires="wps">
                  <w:drawing>
                    <wp:anchor distT="0" distB="0" distL="114300" distR="114300" simplePos="0" relativeHeight="251664384" behindDoc="0" locked="0" layoutInCell="1" allowOverlap="1" wp14:anchorId="77EE0775" wp14:editId="15981F73">
                      <wp:simplePos x="0" y="0"/>
                      <wp:positionH relativeFrom="column">
                        <wp:posOffset>-79375</wp:posOffset>
                      </wp:positionH>
                      <wp:positionV relativeFrom="paragraph">
                        <wp:posOffset>479425</wp:posOffset>
                      </wp:positionV>
                      <wp:extent cx="1908175" cy="2401570"/>
                      <wp:effectExtent l="0" t="0" r="34925" b="17780"/>
                      <wp:wrapNone/>
                      <wp:docPr id="8" name="Straight Connector 8"/>
                      <wp:cNvGraphicFramePr/>
                      <a:graphic xmlns:a="http://schemas.openxmlformats.org/drawingml/2006/main">
                        <a:graphicData uri="http://schemas.microsoft.com/office/word/2010/wordprocessingShape">
                          <wps:wsp>
                            <wps:cNvCnPr/>
                            <wps:spPr>
                              <a:xfrm flipV="1">
                                <a:off x="0" y="0"/>
                                <a:ext cx="1908175" cy="24015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31F61D3" id="Straight Connector 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pt,37.75pt" to="2in,2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" strokecolor="#4472c4 [3204]" strokeweight=".5pt">
                      <v:stroke joinstyle="miter"/>
                    </v:line>
                  </w:pict>
                </mc:Fallback>
              </mc:AlternateContent>
            </w:r>
            <w:r w:rsidR="002A36AA">
              <w:rPr>
                <w:rFonts w:ascii="Bradley Hand ITC" w:hAnsi="Bradley Hand ITC"/>
                <w:noProof/>
                <w:lang w:eastAsia="en-AU"/>
              </w:rPr>
              <mc:AlternateContent>
                <mc:Choice Requires="wps">
                  <w:drawing>
                    <wp:anchor distT="0" distB="0" distL="114300" distR="114300" simplePos="0" relativeHeight="251663360" behindDoc="0" locked="0" layoutInCell="1" allowOverlap="1" wp14:anchorId="6BFA1AC2" wp14:editId="5B17517F">
                      <wp:simplePos x="0" y="0"/>
                      <wp:positionH relativeFrom="column">
                        <wp:posOffset>-80010</wp:posOffset>
                      </wp:positionH>
                      <wp:positionV relativeFrom="paragraph">
                        <wp:posOffset>-530225</wp:posOffset>
                      </wp:positionV>
                      <wp:extent cx="1924050" cy="2197100"/>
                      <wp:effectExtent l="0" t="0" r="19050" b="31750"/>
                      <wp:wrapNone/>
                      <wp:docPr id="7" name="Straight Connector 7"/>
                      <wp:cNvGraphicFramePr/>
                      <a:graphic xmlns:a="http://schemas.openxmlformats.org/drawingml/2006/main">
                        <a:graphicData uri="http://schemas.microsoft.com/office/word/2010/wordprocessingShape">
                          <wps:wsp>
                            <wps:cNvCnPr/>
                            <wps:spPr>
                              <a:xfrm flipV="1">
                                <a:off x="0" y="0"/>
                                <a:ext cx="1924050" cy="219710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2113082"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41.75pt" to="145.2pt,1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" strokecolor="#ffc000 [3207]" strokeweight=".5pt">
                      <v:stroke joinstyle="miter"/>
                    </v:line>
                  </w:pict>
                </mc:Fallback>
              </mc:AlternateContent>
            </w:r>
          </w:p>
        </w:tc>
        <w:tc>
          <w:tcPr>
            <w:tcW w:w="3006" w:type="dxa"/>
            <w:vAlign w:val="center"/>
          </w:tcPr>
          <w:p w14:paraId="4C56393A" w14:textId="5042BFF4" w:rsidR="00516368" w:rsidRDefault="00516368" w:rsidP="002A36AA">
            <w:pPr>
              <w:spacing w:line="276" w:lineRule="auto"/>
            </w:pPr>
            <w:r w:rsidRPr="00516368">
              <w:t>oral or written evidence from victims, suspects and witnesses involved with the case</w:t>
            </w:r>
          </w:p>
        </w:tc>
      </w:tr>
      <w:tr w:rsidR="00516368" w14:paraId="4D40BDAC" w14:textId="77777777" w:rsidTr="002A36AA">
        <w:trPr>
          <w:trHeight w:val="850"/>
        </w:trPr>
        <w:tc>
          <w:tcPr>
            <w:tcW w:w="3005" w:type="dxa"/>
            <w:vAlign w:val="center"/>
          </w:tcPr>
          <w:p w14:paraId="4226FE3E" w14:textId="76125D6C" w:rsidR="00516368" w:rsidRPr="00DA154D" w:rsidRDefault="00516368" w:rsidP="002A36AA">
            <w:pPr>
              <w:spacing w:line="276" w:lineRule="auto"/>
              <w:rPr>
                <w:rFonts w:ascii="Bradley Hand ITC" w:hAnsi="Bradley Hand ITC"/>
                <w:sz w:val="28"/>
                <w:szCs w:val="28"/>
              </w:rPr>
            </w:pPr>
            <w:r w:rsidRPr="00DA154D">
              <w:rPr>
                <w:rFonts w:ascii="Bradley Hand ITC" w:hAnsi="Bradley Hand ITC"/>
                <w:sz w:val="28"/>
                <w:szCs w:val="28"/>
              </w:rPr>
              <w:t>Documentary</w:t>
            </w:r>
          </w:p>
        </w:tc>
        <w:tc>
          <w:tcPr>
            <w:tcW w:w="3005" w:type="dxa"/>
            <w:tcBorders>
              <w:top w:val="single" w:sz="4" w:space="0" w:color="FFFFFF" w:themeColor="background1"/>
              <w:bottom w:val="single" w:sz="4" w:space="0" w:color="FFFFFF" w:themeColor="background1"/>
            </w:tcBorders>
            <w:vAlign w:val="center"/>
          </w:tcPr>
          <w:p w14:paraId="6CF47227" w14:textId="3E30C58D" w:rsidR="00516368" w:rsidRDefault="002A36AA" w:rsidP="00516368">
            <w:pPr>
              <w:spacing w:line="360" w:lineRule="auto"/>
            </w:pPr>
            <w:r>
              <w:rPr>
                <w:rFonts w:ascii="Bradley Hand ITC" w:hAnsi="Bradley Hand ITC"/>
                <w:noProof/>
                <w:lang w:eastAsia="en-AU"/>
              </w:rPr>
              <mc:AlternateContent>
                <mc:Choice Requires="wps">
                  <w:drawing>
                    <wp:anchor distT="0" distB="0" distL="114300" distR="114300" simplePos="0" relativeHeight="251662336" behindDoc="0" locked="0" layoutInCell="1" allowOverlap="1" wp14:anchorId="15FC9476" wp14:editId="266AEDD1">
                      <wp:simplePos x="0" y="0"/>
                      <wp:positionH relativeFrom="column">
                        <wp:posOffset>-89535</wp:posOffset>
                      </wp:positionH>
                      <wp:positionV relativeFrom="paragraph">
                        <wp:posOffset>-382270</wp:posOffset>
                      </wp:positionV>
                      <wp:extent cx="1908810" cy="2482215"/>
                      <wp:effectExtent l="0" t="0" r="34290" b="32385"/>
                      <wp:wrapNone/>
                      <wp:docPr id="6" name="Straight Connector 6"/>
                      <wp:cNvGraphicFramePr/>
                      <a:graphic xmlns:a="http://schemas.openxmlformats.org/drawingml/2006/main">
                        <a:graphicData uri="http://schemas.microsoft.com/office/word/2010/wordprocessingShape">
                          <wps:wsp>
                            <wps:cNvCnPr/>
                            <wps:spPr>
                              <a:xfrm>
                                <a:off x="0" y="0"/>
                                <a:ext cx="1908810" cy="2482215"/>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371B7"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30.1pt" to="143.25pt,1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" strokecolor="#70ad47 [3209]" strokeweight=".5pt">
                      <v:stroke joinstyle="miter"/>
                    </v:line>
                  </w:pict>
                </mc:Fallback>
              </mc:AlternateContent>
            </w:r>
          </w:p>
        </w:tc>
        <w:tc>
          <w:tcPr>
            <w:tcW w:w="3006" w:type="dxa"/>
            <w:vAlign w:val="center"/>
          </w:tcPr>
          <w:p w14:paraId="78CC3601" w14:textId="23B6C3B1" w:rsidR="00516368" w:rsidRDefault="00516368" w:rsidP="002A36AA">
            <w:pPr>
              <w:spacing w:line="276" w:lineRule="auto"/>
            </w:pPr>
            <w:r w:rsidRPr="00516368">
              <w:t>any actual object that was directly involved in an event in the case. It could be the weapon used to murder a victim, like a </w:t>
            </w:r>
            <w:hyperlink r:id="rId11" w:history="1">
              <w:r w:rsidRPr="00516368">
                <w:t>gun</w:t>
              </w:r>
            </w:hyperlink>
            <w:r w:rsidRPr="00516368">
              <w:t> or a hammer, or the tool used to break into a house, like a crowbar</w:t>
            </w:r>
          </w:p>
        </w:tc>
      </w:tr>
      <w:tr w:rsidR="00516368" w14:paraId="556A0A55" w14:textId="77777777" w:rsidTr="002A36AA">
        <w:trPr>
          <w:trHeight w:val="850"/>
        </w:trPr>
        <w:tc>
          <w:tcPr>
            <w:tcW w:w="3005" w:type="dxa"/>
            <w:vAlign w:val="center"/>
          </w:tcPr>
          <w:p w14:paraId="47B94C52" w14:textId="663A42F2" w:rsidR="00516368" w:rsidRPr="00DA154D" w:rsidRDefault="00516368" w:rsidP="002A36AA">
            <w:pPr>
              <w:spacing w:line="276" w:lineRule="auto"/>
              <w:rPr>
                <w:rFonts w:ascii="Bradley Hand ITC" w:hAnsi="Bradley Hand ITC"/>
                <w:sz w:val="28"/>
                <w:szCs w:val="28"/>
              </w:rPr>
            </w:pPr>
            <w:r w:rsidRPr="00DA154D">
              <w:rPr>
                <w:rFonts w:ascii="Bradley Hand ITC" w:hAnsi="Bradley Hand ITC"/>
                <w:sz w:val="28"/>
                <w:szCs w:val="28"/>
              </w:rPr>
              <w:t>Testimonial</w:t>
            </w:r>
          </w:p>
        </w:tc>
        <w:tc>
          <w:tcPr>
            <w:tcW w:w="3005" w:type="dxa"/>
            <w:tcBorders>
              <w:top w:val="single" w:sz="4" w:space="0" w:color="FFFFFF" w:themeColor="background1"/>
              <w:bottom w:val="single" w:sz="4" w:space="0" w:color="FFFFFF" w:themeColor="background1"/>
            </w:tcBorders>
            <w:vAlign w:val="center"/>
          </w:tcPr>
          <w:p w14:paraId="2AB1C1A7" w14:textId="32148113" w:rsidR="00516368" w:rsidRDefault="00516368" w:rsidP="00516368">
            <w:pPr>
              <w:spacing w:line="360" w:lineRule="auto"/>
            </w:pPr>
          </w:p>
        </w:tc>
        <w:tc>
          <w:tcPr>
            <w:tcW w:w="3006" w:type="dxa"/>
            <w:vAlign w:val="center"/>
          </w:tcPr>
          <w:p w14:paraId="005EF1AC" w14:textId="57A88C12" w:rsidR="00516368" w:rsidRDefault="00516368" w:rsidP="002A36AA">
            <w:pPr>
              <w:spacing w:line="276" w:lineRule="auto"/>
            </w:pPr>
            <w:r w:rsidRPr="00516368">
              <w:t>an illustration of evidence -- something like a map of the crime scene</w:t>
            </w:r>
          </w:p>
        </w:tc>
      </w:tr>
    </w:tbl>
    <w:p w14:paraId="02DCC67D" w14:textId="5F6B856C" w:rsidR="000D0E8F" w:rsidRDefault="000D0E8F" w:rsidP="000D0E8F"/>
    <w:p w14:paraId="3AEA7ABE" w14:textId="5073A430" w:rsidR="000D0E8F" w:rsidRDefault="000D0E8F" w:rsidP="000D0E8F"/>
    <w:p w14:paraId="7F6EA51E" w14:textId="52C16E60" w:rsidR="000D0E8F" w:rsidRDefault="000D0E8F" w:rsidP="000D0E8F"/>
    <w:p w14:paraId="3772EC8E" w14:textId="77777777" w:rsidR="000D0E8F" w:rsidRDefault="000D0E8F" w:rsidP="000D0E8F">
      <w:pPr>
        <w:pStyle w:val="Heading1"/>
      </w:pPr>
      <w:r>
        <w:t>Bibliography</w:t>
      </w:r>
    </w:p>
    <w:p w14:paraId="4EE9C273" w14:textId="77777777" w:rsidR="000D0E8F" w:rsidRPr="000D0E8F" w:rsidRDefault="000D0E8F" w:rsidP="000D0E8F">
      <w:pPr>
        <w:pStyle w:val="Bibliography"/>
        <w:ind w:left="720" w:hanging="720"/>
        <w:rPr>
          <w:noProof/>
          <w:sz w:val="20"/>
          <w:szCs w:val="20"/>
        </w:rPr>
      </w:pPr>
      <w:r w:rsidRPr="000D0E8F">
        <w:rPr>
          <w:noProof/>
          <w:sz w:val="20"/>
          <w:szCs w:val="20"/>
        </w:rPr>
        <w:t xml:space="preserve">Addison, P., Butler, J., Byrne, P., Dresden, G., Kleeman, G., Lane, R., . . . Van Tol, D. (2017). </w:t>
      </w:r>
      <w:r w:rsidRPr="000D0E8F">
        <w:rPr>
          <w:i/>
          <w:iCs/>
          <w:noProof/>
          <w:sz w:val="20"/>
          <w:szCs w:val="20"/>
        </w:rPr>
        <w:t>Humanitities &amp; Social Sciences 9: Western Australia.</w:t>
      </w:r>
      <w:r w:rsidRPr="000D0E8F">
        <w:rPr>
          <w:noProof/>
          <w:sz w:val="20"/>
          <w:szCs w:val="20"/>
        </w:rPr>
        <w:t xml:space="preserve"> Melbourne: Pearson.</w:t>
      </w:r>
    </w:p>
    <w:p w14:paraId="78D59ED3" w14:textId="77777777" w:rsidR="000D0E8F" w:rsidRPr="000D0E8F" w:rsidRDefault="000D0E8F" w:rsidP="000D0E8F">
      <w:pPr>
        <w:pStyle w:val="Bibliography"/>
        <w:ind w:left="720" w:hanging="720"/>
        <w:rPr>
          <w:noProof/>
          <w:sz w:val="20"/>
          <w:szCs w:val="20"/>
        </w:rPr>
      </w:pPr>
      <w:r w:rsidRPr="000D0E8F">
        <w:rPr>
          <w:noProof/>
          <w:sz w:val="20"/>
          <w:szCs w:val="20"/>
        </w:rPr>
        <w:t xml:space="preserve">Conti, L., Easton, M., Carrodus, G., Wilson, J., Wilson, A., &amp; Smith, R. (2016). </w:t>
      </w:r>
      <w:r w:rsidRPr="000D0E8F">
        <w:rPr>
          <w:i/>
          <w:iCs/>
          <w:noProof/>
          <w:sz w:val="20"/>
          <w:szCs w:val="20"/>
        </w:rPr>
        <w:t>Oxford Big Ideas: Humanities and social sciences 9 Western Australian curriculum.</w:t>
      </w:r>
      <w:r w:rsidRPr="000D0E8F">
        <w:rPr>
          <w:noProof/>
          <w:sz w:val="20"/>
          <w:szCs w:val="20"/>
        </w:rPr>
        <w:t xml:space="preserve"> Melbourne: Oxford University Press.</w:t>
      </w:r>
    </w:p>
    <w:p w14:paraId="363AF7D1" w14:textId="77777777" w:rsidR="000D0E8F" w:rsidRPr="000D0E8F" w:rsidRDefault="000D0E8F" w:rsidP="000D0E8F">
      <w:pPr>
        <w:pStyle w:val="Bibliography"/>
        <w:ind w:left="720" w:hanging="720"/>
        <w:rPr>
          <w:noProof/>
          <w:sz w:val="20"/>
          <w:szCs w:val="20"/>
        </w:rPr>
      </w:pPr>
      <w:r w:rsidRPr="000D0E8F">
        <w:rPr>
          <w:noProof/>
          <w:sz w:val="20"/>
          <w:szCs w:val="20"/>
        </w:rPr>
        <w:t xml:space="preserve">Fuller, J. (2020). </w:t>
      </w:r>
      <w:r w:rsidRPr="000D0E8F">
        <w:rPr>
          <w:i/>
          <w:iCs/>
          <w:noProof/>
          <w:sz w:val="20"/>
          <w:szCs w:val="20"/>
        </w:rPr>
        <w:t>What makes evidence inadmissible in court?</w:t>
      </w:r>
      <w:r w:rsidRPr="000D0E8F">
        <w:rPr>
          <w:noProof/>
          <w:sz w:val="20"/>
          <w:szCs w:val="20"/>
        </w:rPr>
        <w:t xml:space="preserve"> (I. Holdings, Producer) Retrieved November 11, 2020, from How Stuff Works: https://people.howstuffworks.com/inadmissible-evidence.htm</w:t>
      </w:r>
    </w:p>
    <w:p w14:paraId="198FA9D4" w14:textId="77777777" w:rsidR="000D0E8F" w:rsidRPr="006E03E1" w:rsidRDefault="000D0E8F" w:rsidP="000D0E8F"/>
    <w:sectPr w:rsidR="000D0E8F" w:rsidRPr="006E03E1" w:rsidSect="00654960">
      <w:footerReference w:type="default" r:id="rId12"/>
      <w:headerReference w:type="first" r:id="rId13"/>
      <w:pgSz w:w="11906" w:h="16838"/>
      <w:pgMar w:top="1440" w:right="1440" w:bottom="1440" w:left="1440" w:header="708"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8EFCF2" w14:textId="77777777" w:rsidR="00672D4C" w:rsidRDefault="00672D4C" w:rsidP="00672D4C">
      <w:pPr>
        <w:spacing w:after="0" w:line="240" w:lineRule="auto"/>
      </w:pPr>
      <w:r>
        <w:separator/>
      </w:r>
    </w:p>
  </w:endnote>
  <w:endnote w:type="continuationSeparator" w:id="0">
    <w:p w14:paraId="654DDC67" w14:textId="77777777" w:rsidR="00672D4C" w:rsidRDefault="00672D4C" w:rsidP="0067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34F60" w14:textId="63679384" w:rsidR="00654960" w:rsidRPr="00654960" w:rsidRDefault="00654960">
    <w:pPr>
      <w:pStyle w:val="Footer"/>
      <w:rPr>
        <w:sz w:val="16"/>
        <w:szCs w:val="16"/>
      </w:rPr>
    </w:pPr>
    <w:r>
      <w:tab/>
    </w:r>
    <w:r w:rsidRPr="00654960">
      <w:rPr>
        <w:rFonts w:asciiTheme="majorHAnsi" w:eastAsiaTheme="majorEastAsia" w:hAnsiTheme="majorHAnsi" w:cstheme="majorBidi"/>
        <w:sz w:val="16"/>
        <w:szCs w:val="16"/>
      </w:rPr>
      <w:t xml:space="preserve">~ </w:t>
    </w:r>
    <w:r w:rsidRPr="00654960">
      <w:rPr>
        <w:rFonts w:eastAsiaTheme="minorEastAsia"/>
        <w:sz w:val="16"/>
        <w:szCs w:val="16"/>
      </w:rPr>
      <w:fldChar w:fldCharType="begin"/>
    </w:r>
    <w:r w:rsidRPr="00654960">
      <w:rPr>
        <w:sz w:val="16"/>
        <w:szCs w:val="16"/>
      </w:rPr>
      <w:instrText xml:space="preserve"> PAGE    \* MERGEFORMAT </w:instrText>
    </w:r>
    <w:r w:rsidRPr="00654960">
      <w:rPr>
        <w:rFonts w:eastAsiaTheme="minorEastAsia"/>
        <w:sz w:val="16"/>
        <w:szCs w:val="16"/>
      </w:rPr>
      <w:fldChar w:fldCharType="separate"/>
    </w:r>
    <w:r w:rsidR="00211B2D" w:rsidRPr="00211B2D">
      <w:rPr>
        <w:rFonts w:asciiTheme="majorHAnsi" w:eastAsiaTheme="majorEastAsia" w:hAnsiTheme="majorHAnsi" w:cstheme="majorBidi"/>
        <w:noProof/>
        <w:sz w:val="16"/>
        <w:szCs w:val="16"/>
      </w:rPr>
      <w:t>2</w:t>
    </w:r>
    <w:r w:rsidRPr="00654960">
      <w:rPr>
        <w:rFonts w:asciiTheme="majorHAnsi" w:eastAsiaTheme="majorEastAsia" w:hAnsiTheme="majorHAnsi" w:cstheme="majorBidi"/>
        <w:sz w:val="16"/>
        <w:szCs w:val="16"/>
      </w:rPr>
      <w:fldChar w:fldCharType="end"/>
    </w:r>
    <w:r w:rsidRPr="00654960">
      <w:rPr>
        <w:rFonts w:asciiTheme="majorHAnsi" w:eastAsiaTheme="majorEastAsia" w:hAnsiTheme="majorHAnsi" w:cstheme="majorBid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E11DD" w14:textId="77777777" w:rsidR="00672D4C" w:rsidRDefault="00672D4C" w:rsidP="00672D4C">
      <w:pPr>
        <w:spacing w:after="0" w:line="240" w:lineRule="auto"/>
      </w:pPr>
      <w:r>
        <w:separator/>
      </w:r>
    </w:p>
  </w:footnote>
  <w:footnote w:type="continuationSeparator" w:id="0">
    <w:p w14:paraId="5C6C3220" w14:textId="77777777" w:rsidR="00672D4C" w:rsidRDefault="00672D4C" w:rsidP="00672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8CC494" w14:textId="77777777" w:rsidR="00672D4C" w:rsidRDefault="00672D4C" w:rsidP="00672D4C">
    <w:pPr>
      <w:pStyle w:val="Header"/>
    </w:pPr>
    <w:r>
      <w:tab/>
    </w:r>
    <w:r>
      <w:tab/>
      <w:t>Name: _______________________________</w:t>
    </w:r>
  </w:p>
  <w:p w14:paraId="24820B8E" w14:textId="77777777" w:rsidR="00672D4C" w:rsidRDefault="00672D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3EB"/>
    <w:rsid w:val="00007872"/>
    <w:rsid w:val="000150A3"/>
    <w:rsid w:val="000733F7"/>
    <w:rsid w:val="00074938"/>
    <w:rsid w:val="000D0E8F"/>
    <w:rsid w:val="00107D0A"/>
    <w:rsid w:val="001A77A8"/>
    <w:rsid w:val="001E5704"/>
    <w:rsid w:val="00211B2D"/>
    <w:rsid w:val="002653A2"/>
    <w:rsid w:val="002A36AA"/>
    <w:rsid w:val="003F46A7"/>
    <w:rsid w:val="00453198"/>
    <w:rsid w:val="00516368"/>
    <w:rsid w:val="00654960"/>
    <w:rsid w:val="00660C25"/>
    <w:rsid w:val="00672D4C"/>
    <w:rsid w:val="006E03E1"/>
    <w:rsid w:val="007C5C16"/>
    <w:rsid w:val="008031D9"/>
    <w:rsid w:val="0097315F"/>
    <w:rsid w:val="009923EB"/>
    <w:rsid w:val="00A2183B"/>
    <w:rsid w:val="00A4558C"/>
    <w:rsid w:val="00C71FB1"/>
    <w:rsid w:val="00C808E6"/>
    <w:rsid w:val="00CF7CFB"/>
    <w:rsid w:val="00D9324B"/>
    <w:rsid w:val="00DA154D"/>
    <w:rsid w:val="00DE2273"/>
    <w:rsid w:val="00DF059D"/>
    <w:rsid w:val="00DF7BDC"/>
    <w:rsid w:val="00E802CD"/>
    <w:rsid w:val="00E85BD5"/>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A94E"/>
  <w15:chartTrackingRefBased/>
  <w15:docId w15:val="{7775B6DA-991E-4007-8F2E-5DEE6072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3EB"/>
    <w:rPr>
      <w:sz w:val="24"/>
    </w:rPr>
  </w:style>
  <w:style w:type="paragraph" w:styleId="Heading1">
    <w:name w:val="heading 1"/>
    <w:basedOn w:val="Normal"/>
    <w:next w:val="Normal"/>
    <w:link w:val="Heading1Char"/>
    <w:uiPriority w:val="9"/>
    <w:qFormat/>
    <w:rsid w:val="00660C25"/>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9923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E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EB"/>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92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0C2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9923E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72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D4C"/>
    <w:rPr>
      <w:sz w:val="24"/>
    </w:rPr>
  </w:style>
  <w:style w:type="paragraph" w:styleId="Footer">
    <w:name w:val="footer"/>
    <w:basedOn w:val="Normal"/>
    <w:link w:val="FooterChar"/>
    <w:uiPriority w:val="99"/>
    <w:unhideWhenUsed/>
    <w:rsid w:val="00672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D4C"/>
    <w:rPr>
      <w:sz w:val="24"/>
    </w:rPr>
  </w:style>
  <w:style w:type="character" w:styleId="Hyperlink">
    <w:name w:val="Hyperlink"/>
    <w:basedOn w:val="DefaultParagraphFont"/>
    <w:uiPriority w:val="99"/>
    <w:semiHidden/>
    <w:unhideWhenUsed/>
    <w:rsid w:val="00516368"/>
    <w:rPr>
      <w:color w:val="0000FF"/>
      <w:u w:val="single"/>
    </w:rPr>
  </w:style>
  <w:style w:type="paragraph" w:styleId="Bibliography">
    <w:name w:val="Bibliography"/>
    <w:basedOn w:val="Normal"/>
    <w:next w:val="Normal"/>
    <w:uiPriority w:val="37"/>
    <w:unhideWhenUsed/>
    <w:rsid w:val="000D0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985039">
      <w:bodyDiv w:val="1"/>
      <w:marLeft w:val="0"/>
      <w:marRight w:val="0"/>
      <w:marTop w:val="0"/>
      <w:marBottom w:val="0"/>
      <w:divBdr>
        <w:top w:val="none" w:sz="0" w:space="0" w:color="auto"/>
        <w:left w:val="none" w:sz="0" w:space="0" w:color="auto"/>
        <w:bottom w:val="none" w:sz="0" w:space="0" w:color="auto"/>
        <w:right w:val="none" w:sz="0" w:space="0" w:color="auto"/>
      </w:divBdr>
    </w:div>
    <w:div w:id="477262889">
      <w:bodyDiv w:val="1"/>
      <w:marLeft w:val="0"/>
      <w:marRight w:val="0"/>
      <w:marTop w:val="0"/>
      <w:marBottom w:val="0"/>
      <w:divBdr>
        <w:top w:val="none" w:sz="0" w:space="0" w:color="auto"/>
        <w:left w:val="none" w:sz="0" w:space="0" w:color="auto"/>
        <w:bottom w:val="none" w:sz="0" w:space="0" w:color="auto"/>
        <w:right w:val="none" w:sz="0" w:space="0" w:color="auto"/>
      </w:divBdr>
    </w:div>
    <w:div w:id="483933528">
      <w:bodyDiv w:val="1"/>
      <w:marLeft w:val="0"/>
      <w:marRight w:val="0"/>
      <w:marTop w:val="0"/>
      <w:marBottom w:val="0"/>
      <w:divBdr>
        <w:top w:val="none" w:sz="0" w:space="0" w:color="auto"/>
        <w:left w:val="none" w:sz="0" w:space="0" w:color="auto"/>
        <w:bottom w:val="none" w:sz="0" w:space="0" w:color="auto"/>
        <w:right w:val="none" w:sz="0" w:space="0" w:color="auto"/>
      </w:divBdr>
    </w:div>
    <w:div w:id="628708894">
      <w:bodyDiv w:val="1"/>
      <w:marLeft w:val="0"/>
      <w:marRight w:val="0"/>
      <w:marTop w:val="0"/>
      <w:marBottom w:val="0"/>
      <w:divBdr>
        <w:top w:val="none" w:sz="0" w:space="0" w:color="auto"/>
        <w:left w:val="none" w:sz="0" w:space="0" w:color="auto"/>
        <w:bottom w:val="none" w:sz="0" w:space="0" w:color="auto"/>
        <w:right w:val="none" w:sz="0" w:space="0" w:color="auto"/>
      </w:divBdr>
    </w:div>
    <w:div w:id="774131515">
      <w:bodyDiv w:val="1"/>
      <w:marLeft w:val="0"/>
      <w:marRight w:val="0"/>
      <w:marTop w:val="0"/>
      <w:marBottom w:val="0"/>
      <w:divBdr>
        <w:top w:val="none" w:sz="0" w:space="0" w:color="auto"/>
        <w:left w:val="none" w:sz="0" w:space="0" w:color="auto"/>
        <w:bottom w:val="none" w:sz="0" w:space="0" w:color="auto"/>
        <w:right w:val="none" w:sz="0" w:space="0" w:color="auto"/>
      </w:divBdr>
    </w:div>
    <w:div w:id="831141402">
      <w:bodyDiv w:val="1"/>
      <w:marLeft w:val="0"/>
      <w:marRight w:val="0"/>
      <w:marTop w:val="0"/>
      <w:marBottom w:val="0"/>
      <w:divBdr>
        <w:top w:val="none" w:sz="0" w:space="0" w:color="auto"/>
        <w:left w:val="none" w:sz="0" w:space="0" w:color="auto"/>
        <w:bottom w:val="none" w:sz="0" w:space="0" w:color="auto"/>
        <w:right w:val="none" w:sz="0" w:space="0" w:color="auto"/>
      </w:divBdr>
    </w:div>
    <w:div w:id="919215245">
      <w:bodyDiv w:val="1"/>
      <w:marLeft w:val="0"/>
      <w:marRight w:val="0"/>
      <w:marTop w:val="0"/>
      <w:marBottom w:val="0"/>
      <w:divBdr>
        <w:top w:val="none" w:sz="0" w:space="0" w:color="auto"/>
        <w:left w:val="none" w:sz="0" w:space="0" w:color="auto"/>
        <w:bottom w:val="none" w:sz="0" w:space="0" w:color="auto"/>
        <w:right w:val="none" w:sz="0" w:space="0" w:color="auto"/>
      </w:divBdr>
    </w:div>
    <w:div w:id="963778007">
      <w:bodyDiv w:val="1"/>
      <w:marLeft w:val="0"/>
      <w:marRight w:val="0"/>
      <w:marTop w:val="0"/>
      <w:marBottom w:val="0"/>
      <w:divBdr>
        <w:top w:val="none" w:sz="0" w:space="0" w:color="auto"/>
        <w:left w:val="none" w:sz="0" w:space="0" w:color="auto"/>
        <w:bottom w:val="none" w:sz="0" w:space="0" w:color="auto"/>
        <w:right w:val="none" w:sz="0" w:space="0" w:color="auto"/>
      </w:divBdr>
    </w:div>
    <w:div w:id="1114398762">
      <w:bodyDiv w:val="1"/>
      <w:marLeft w:val="0"/>
      <w:marRight w:val="0"/>
      <w:marTop w:val="0"/>
      <w:marBottom w:val="0"/>
      <w:divBdr>
        <w:top w:val="none" w:sz="0" w:space="0" w:color="auto"/>
        <w:left w:val="none" w:sz="0" w:space="0" w:color="auto"/>
        <w:bottom w:val="none" w:sz="0" w:space="0" w:color="auto"/>
        <w:right w:val="none" w:sz="0" w:space="0" w:color="auto"/>
      </w:divBdr>
    </w:div>
    <w:div w:id="1263537056">
      <w:bodyDiv w:val="1"/>
      <w:marLeft w:val="0"/>
      <w:marRight w:val="0"/>
      <w:marTop w:val="0"/>
      <w:marBottom w:val="0"/>
      <w:divBdr>
        <w:top w:val="none" w:sz="0" w:space="0" w:color="auto"/>
        <w:left w:val="none" w:sz="0" w:space="0" w:color="auto"/>
        <w:bottom w:val="none" w:sz="0" w:space="0" w:color="auto"/>
        <w:right w:val="none" w:sz="0" w:space="0" w:color="auto"/>
      </w:divBdr>
    </w:div>
    <w:div w:id="1280256744">
      <w:bodyDiv w:val="1"/>
      <w:marLeft w:val="0"/>
      <w:marRight w:val="0"/>
      <w:marTop w:val="0"/>
      <w:marBottom w:val="0"/>
      <w:divBdr>
        <w:top w:val="none" w:sz="0" w:space="0" w:color="auto"/>
        <w:left w:val="none" w:sz="0" w:space="0" w:color="auto"/>
        <w:bottom w:val="none" w:sz="0" w:space="0" w:color="auto"/>
        <w:right w:val="none" w:sz="0" w:space="0" w:color="auto"/>
      </w:divBdr>
    </w:div>
    <w:div w:id="1486819134">
      <w:bodyDiv w:val="1"/>
      <w:marLeft w:val="0"/>
      <w:marRight w:val="0"/>
      <w:marTop w:val="0"/>
      <w:marBottom w:val="0"/>
      <w:divBdr>
        <w:top w:val="none" w:sz="0" w:space="0" w:color="auto"/>
        <w:left w:val="none" w:sz="0" w:space="0" w:color="auto"/>
        <w:bottom w:val="none" w:sz="0" w:space="0" w:color="auto"/>
        <w:right w:val="none" w:sz="0" w:space="0" w:color="auto"/>
      </w:divBdr>
    </w:div>
    <w:div w:id="1599022360">
      <w:bodyDiv w:val="1"/>
      <w:marLeft w:val="0"/>
      <w:marRight w:val="0"/>
      <w:marTop w:val="0"/>
      <w:marBottom w:val="0"/>
      <w:divBdr>
        <w:top w:val="none" w:sz="0" w:space="0" w:color="auto"/>
        <w:left w:val="none" w:sz="0" w:space="0" w:color="auto"/>
        <w:bottom w:val="none" w:sz="0" w:space="0" w:color="auto"/>
        <w:right w:val="none" w:sz="0" w:space="0" w:color="auto"/>
      </w:divBdr>
    </w:div>
    <w:div w:id="1773669385">
      <w:bodyDiv w:val="1"/>
      <w:marLeft w:val="0"/>
      <w:marRight w:val="0"/>
      <w:marTop w:val="0"/>
      <w:marBottom w:val="0"/>
      <w:divBdr>
        <w:top w:val="none" w:sz="0" w:space="0" w:color="auto"/>
        <w:left w:val="none" w:sz="0" w:space="0" w:color="auto"/>
        <w:bottom w:val="none" w:sz="0" w:space="0" w:color="auto"/>
        <w:right w:val="none" w:sz="0" w:space="0" w:color="auto"/>
      </w:divBdr>
    </w:div>
    <w:div w:id="1903372485">
      <w:bodyDiv w:val="1"/>
      <w:marLeft w:val="0"/>
      <w:marRight w:val="0"/>
      <w:marTop w:val="0"/>
      <w:marBottom w:val="0"/>
      <w:divBdr>
        <w:top w:val="none" w:sz="0" w:space="0" w:color="auto"/>
        <w:left w:val="none" w:sz="0" w:space="0" w:color="auto"/>
        <w:bottom w:val="none" w:sz="0" w:space="0" w:color="auto"/>
        <w:right w:val="none" w:sz="0" w:space="0" w:color="auto"/>
      </w:divBdr>
    </w:div>
    <w:div w:id="1980066437">
      <w:bodyDiv w:val="1"/>
      <w:marLeft w:val="0"/>
      <w:marRight w:val="0"/>
      <w:marTop w:val="0"/>
      <w:marBottom w:val="0"/>
      <w:divBdr>
        <w:top w:val="none" w:sz="0" w:space="0" w:color="auto"/>
        <w:left w:val="none" w:sz="0" w:space="0" w:color="auto"/>
        <w:bottom w:val="none" w:sz="0" w:space="0" w:color="auto"/>
        <w:right w:val="none" w:sz="0" w:space="0" w:color="auto"/>
      </w:divBdr>
    </w:div>
    <w:div w:id="214022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cience.howstuffworks.com/gun-roundup.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Add17</b:Tag>
    <b:SourceType>Book</b:SourceType>
    <b:Guid>{CE7F7873-0382-42DB-86DA-CBB85EF083C2}</b:Guid>
    <b:Author>
      <b:Author>
        <b:NameList>
          <b:Person>
            <b:Last>Addison</b:Last>
            <b:First>Penny</b:First>
          </b:Person>
          <b:Person>
            <b:Last>Butler</b:Last>
            <b:First>John</b:First>
          </b:Person>
          <b:Person>
            <b:Last>Byrne</b:Last>
            <b:First>Peter</b:First>
          </b:Person>
          <b:Person>
            <b:Last>Dresden</b:Last>
            <b:First>Galit</b:First>
          </b:Person>
          <b:Person>
            <b:Last>Kleeman</b:Last>
            <b:First>Grant</b:First>
          </b:Person>
          <b:Person>
            <b:Last>Lane</b:Last>
            <b:First>Rod</b:First>
          </b:Person>
          <b:Person>
            <b:Last>Morrow</b:Last>
            <b:First>Christine</b:First>
          </b:Person>
          <b:Person>
            <b:Last>Peters</b:Last>
            <b:First>Andrew</b:First>
          </b:Person>
          <b:Person>
            <b:Last>Rhodes</b:Last>
            <b:First>Helen</b:First>
          </b:Person>
          <b:Person>
            <b:Last>Smith</b:Last>
            <b:First>Vanessa</b:First>
          </b:Person>
          <b:Person>
            <b:Last>Van Tol</b:Last>
            <b:First>David</b:First>
          </b:Person>
        </b:NameList>
      </b:Author>
    </b:Author>
    <b:Title>Humanitities &amp; Social Sciences 9: Western Australia</b:Title>
    <b:Year>2017</b:Year>
    <b:City>Melbourne</b:City>
    <b:Publisher>Pearson</b:Publisher>
    <b:RefOrder>1</b:RefOrder>
  </b:Source>
  <b:Source>
    <b:Tag>Ful20</b:Tag>
    <b:SourceType>InternetSite</b:SourceType>
    <b:Guid>{EC1D8BF4-7B65-41D6-96CD-646A09D27DBB}</b:Guid>
    <b:Title>What makes evidence inadmissible in court?</b:Title>
    <b:Year>2020</b:Year>
    <b:Author>
      <b:Author>
        <b:NameList>
          <b:Person>
            <b:Last>Fuller</b:Last>
            <b:First>John</b:First>
          </b:Person>
        </b:NameList>
      </b:Author>
      <b:ProducerName>
        <b:NameList>
          <b:Person>
            <b:Last>Holdings</b:Last>
            <b:First>InfoSpace</b:First>
          </b:Person>
        </b:NameList>
      </b:ProducerName>
    </b:Author>
    <b:InternetSiteTitle>How Stuff Works</b:InternetSiteTitle>
    <b:URL>https://people.howstuffworks.com/inadmissible-evidence.htm</b:URL>
    <b:YearAccessed>2020</b:YearAccessed>
    <b:MonthAccessed>November</b:MonthAccessed>
    <b:DayAccessed>11</b:DayAccessed>
    <b:RefOrder>2</b:RefOrder>
  </b:Source>
  <b:Source>
    <b:Tag>Con</b:Tag>
    <b:SourceType>Book</b:SourceType>
    <b:Guid>{E50FB6A3-3BD9-4546-86A4-BDAA04789F0A}</b:Guid>
    <b:Title>Oxford Big Ideas: Humanities and social sciences 9 Western Australian curriculum</b:Title>
    <b:Author>
      <b:Author>
        <b:NameList>
          <b:Person>
            <b:Last>Conti</b:Last>
            <b:First>Leo</b:First>
          </b:Person>
          <b:Person>
            <b:Last>Easton</b:Last>
            <b:First>Mark</b:First>
          </b:Person>
          <b:Person>
            <b:Last>Carrodus</b:Last>
            <b:First>Geraldine</b:First>
          </b:Person>
          <b:Person>
            <b:Last>Wilson</b:Last>
            <b:First>Joanne</b:First>
          </b:Person>
          <b:Person>
            <b:Last>Wilson</b:Last>
            <b:First>Annie</b:First>
          </b:Person>
          <b:Person>
            <b:Last>Smith</b:Last>
            <b:First>Richard</b:First>
          </b:Person>
        </b:NameList>
      </b:Author>
    </b:Author>
    <b:Year>2016</b:Year>
    <b:City>Melbourne</b:City>
    <b:Publisher>Oxford University Press</b:Publisher>
    <b:RefOrder>3</b:RefOrder>
  </b:Source>
</b:Sources>
</file>

<file path=customXml/itemProps1.xml><?xml version="1.0" encoding="utf-8"?>
<ds:datastoreItem xmlns:ds="http://schemas.openxmlformats.org/officeDocument/2006/customXml" ds:itemID="{D3892A5C-E6C7-4782-A1B7-7A4EA51D7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5043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DONAVON Rebecca [Narrogin Senior High School]</cp:lastModifiedBy>
  <cp:revision>2</cp:revision>
  <dcterms:created xsi:type="dcterms:W3CDTF">2020-11-24T00:24:00Z</dcterms:created>
  <dcterms:modified xsi:type="dcterms:W3CDTF">2020-11-24T00:24:00Z</dcterms:modified>
</cp:coreProperties>
</file>