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902" w:rsidRDefault="00ED6902">
      <w:pPr>
        <w:rPr>
          <w:rFonts w:ascii="Arial" w:hAnsi="Arial" w:cs="Arial"/>
          <w:b/>
          <w:bCs/>
          <w:color w:val="252525"/>
          <w:sz w:val="21"/>
          <w:szCs w:val="21"/>
          <w:shd w:val="clear" w:color="auto" w:fill="FFFFFF"/>
        </w:rPr>
      </w:pPr>
      <w:r>
        <w:rPr>
          <w:rFonts w:ascii="Arial" w:hAnsi="Arial" w:cs="Arial"/>
          <w:b/>
          <w:bCs/>
          <w:color w:val="252525"/>
          <w:sz w:val="21"/>
          <w:szCs w:val="21"/>
          <w:shd w:val="clear" w:color="auto" w:fill="FFFFFF"/>
        </w:rPr>
        <w:t>POST TRAUMATIC GROWTH</w:t>
      </w:r>
    </w:p>
    <w:p w:rsidR="007E31FC" w:rsidRDefault="00ED6902">
      <w:pPr>
        <w:rPr>
          <w:rFonts w:ascii="Arial" w:hAnsi="Arial" w:cs="Arial"/>
          <w:color w:val="252525"/>
          <w:sz w:val="17"/>
          <w:szCs w:val="17"/>
          <w:shd w:val="clear" w:color="auto" w:fill="FFFFFF"/>
          <w:vertAlign w:val="superscript"/>
        </w:rPr>
      </w:pPr>
      <w:r>
        <w:rPr>
          <w:rFonts w:ascii="Arial" w:hAnsi="Arial" w:cs="Arial"/>
          <w:b/>
          <w:bCs/>
          <w:color w:val="252525"/>
          <w:sz w:val="21"/>
          <w:szCs w:val="21"/>
          <w:shd w:val="clear" w:color="auto" w:fill="FFFFFF"/>
        </w:rPr>
        <w:t>Post-traumatic growth</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w:t>
      </w:r>
      <w:r>
        <w:rPr>
          <w:rFonts w:ascii="Arial" w:hAnsi="Arial" w:cs="Arial"/>
          <w:b/>
          <w:bCs/>
          <w:color w:val="252525"/>
          <w:sz w:val="21"/>
          <w:szCs w:val="21"/>
          <w:shd w:val="clear" w:color="auto" w:fill="FFFFFF"/>
        </w:rPr>
        <w:t>PTG</w:t>
      </w:r>
      <w:r>
        <w:rPr>
          <w:rFonts w:ascii="Arial" w:hAnsi="Arial" w:cs="Arial"/>
          <w:color w:val="252525"/>
          <w:sz w:val="21"/>
          <w:szCs w:val="21"/>
          <w:shd w:val="clear" w:color="auto" w:fill="FFFFFF"/>
        </w:rPr>
        <w:t>) or</w:t>
      </w:r>
      <w:r>
        <w:rPr>
          <w:rStyle w:val="apple-converted-space"/>
          <w:rFonts w:ascii="Arial" w:hAnsi="Arial" w:cs="Arial"/>
          <w:color w:val="252525"/>
          <w:sz w:val="21"/>
          <w:szCs w:val="21"/>
          <w:shd w:val="clear" w:color="auto" w:fill="FFFFFF"/>
        </w:rPr>
        <w:t> </w:t>
      </w:r>
      <w:r>
        <w:rPr>
          <w:rFonts w:ascii="Arial" w:hAnsi="Arial" w:cs="Arial"/>
          <w:b/>
          <w:bCs/>
          <w:color w:val="252525"/>
          <w:sz w:val="21"/>
          <w:szCs w:val="21"/>
          <w:shd w:val="clear" w:color="auto" w:fill="FFFFFF"/>
        </w:rPr>
        <w:t>benefit finding</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 xml:space="preserve">refers to positive psychological change </w:t>
      </w:r>
      <w:bookmarkStart w:id="0" w:name="_GoBack"/>
      <w:bookmarkEnd w:id="0"/>
      <w:r>
        <w:rPr>
          <w:rFonts w:ascii="Arial" w:hAnsi="Arial" w:cs="Arial"/>
          <w:color w:val="252525"/>
          <w:sz w:val="21"/>
          <w:szCs w:val="21"/>
          <w:shd w:val="clear" w:color="auto" w:fill="FFFFFF"/>
        </w:rPr>
        <w:t>experienced as a result of adversity and other challenges in order to rise to a higher level of functioning</w:t>
      </w:r>
      <w:r w:rsidR="00E110D1">
        <w:rPr>
          <w:rFonts w:ascii="Arial" w:hAnsi="Arial" w:cs="Arial"/>
          <w:color w:val="252525"/>
          <w:sz w:val="21"/>
          <w:szCs w:val="21"/>
          <w:shd w:val="clear" w:color="auto" w:fill="FFFFFF"/>
        </w:rPr>
        <w:t>.</w:t>
      </w:r>
      <w:r w:rsidR="00E110D1">
        <w:rPr>
          <w:rStyle w:val="apple-converted-space"/>
          <w:rFonts w:ascii="Arial" w:hAnsi="Arial" w:cs="Arial"/>
          <w:color w:val="252525"/>
          <w:sz w:val="21"/>
          <w:szCs w:val="21"/>
          <w:shd w:val="clear" w:color="auto" w:fill="FFFFFF"/>
        </w:rPr>
        <w:t xml:space="preserve"> </w:t>
      </w:r>
      <w:r>
        <w:rPr>
          <w:rFonts w:ascii="Arial" w:hAnsi="Arial" w:cs="Arial"/>
          <w:color w:val="252525"/>
          <w:sz w:val="21"/>
          <w:szCs w:val="21"/>
          <w:shd w:val="clear" w:color="auto" w:fill="FFFFFF"/>
        </w:rPr>
        <w:t>These sets of circumstances represent significant challenges to the adaptive resources of the individual, and pose significant challenges to individuals' way of understanding the world and their place in it.</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Posttraumatic growth is not about returning to the same life as it was previously experienced before a period of traumatic suffering; but rather it is about undergoing significant 'life-changing' psychological shifts in thinking and relating to the world, that contribute to a personal process of change, that is deeply meaningful.</w:t>
      </w:r>
      <w:r w:rsidR="00E110D1">
        <w:rPr>
          <w:rFonts w:ascii="Arial" w:hAnsi="Arial" w:cs="Arial"/>
          <w:color w:val="252525"/>
          <w:sz w:val="17"/>
          <w:szCs w:val="17"/>
          <w:shd w:val="clear" w:color="auto" w:fill="FFFFFF"/>
          <w:vertAlign w:val="superscript"/>
        </w:rPr>
        <w:t xml:space="preserve"> </w:t>
      </w:r>
    </w:p>
    <w:p w:rsidR="0033463D" w:rsidRDefault="0033463D">
      <w:pPr>
        <w:rPr>
          <w:rFonts w:ascii="Arial" w:hAnsi="Arial" w:cs="Arial"/>
          <w:color w:val="252525"/>
          <w:sz w:val="17"/>
          <w:szCs w:val="17"/>
          <w:shd w:val="clear" w:color="auto" w:fill="FFFFFF"/>
          <w:vertAlign w:val="superscript"/>
        </w:rPr>
      </w:pPr>
    </w:p>
    <w:p w:rsidR="0033463D" w:rsidRDefault="0033463D">
      <w:pPr>
        <w:rPr>
          <w:rFonts w:ascii="Arial" w:hAnsi="Arial" w:cs="Arial"/>
          <w:color w:val="252525"/>
          <w:sz w:val="17"/>
          <w:szCs w:val="17"/>
          <w:shd w:val="clear" w:color="auto" w:fill="FFFFFF"/>
          <w:vertAlign w:val="superscript"/>
        </w:rPr>
      </w:pPr>
      <w:r>
        <w:rPr>
          <w:rFonts w:ascii="Arial" w:hAnsi="Arial" w:cs="Arial"/>
          <w:color w:val="252525"/>
          <w:sz w:val="21"/>
          <w:szCs w:val="21"/>
          <w:shd w:val="clear" w:color="auto" w:fill="FFFFFF"/>
        </w:rPr>
        <w:t>It is often characterized by decreased reactivity and faster recovery in response to similar stressors in the future. This occurs as a result of exposure to the event and subsequent learning. It is associated with the</w:t>
      </w:r>
      <w:r>
        <w:rPr>
          <w:rStyle w:val="apple-converted-space"/>
          <w:rFonts w:ascii="Arial" w:hAnsi="Arial" w:cs="Arial"/>
          <w:color w:val="252525"/>
          <w:sz w:val="21"/>
          <w:szCs w:val="21"/>
          <w:shd w:val="clear" w:color="auto" w:fill="FFFFFF"/>
        </w:rPr>
        <w:t> </w:t>
      </w:r>
      <w:r w:rsidRPr="00E110D1">
        <w:rPr>
          <w:rFonts w:ascii="Arial" w:hAnsi="Arial" w:cs="Arial"/>
          <w:sz w:val="21"/>
          <w:szCs w:val="21"/>
          <w:shd w:val="clear" w:color="auto" w:fill="FFFFFF"/>
        </w:rPr>
        <w:t>positive psychology</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movement.</w:t>
      </w:r>
      <w:r w:rsidRPr="0033463D">
        <w:rPr>
          <w:rFonts w:ascii="Arial" w:hAnsi="Arial" w:cs="Arial"/>
          <w:color w:val="252525"/>
          <w:sz w:val="21"/>
          <w:szCs w:val="21"/>
          <w:shd w:val="clear" w:color="auto" w:fill="FFFFFF"/>
        </w:rPr>
        <w:t xml:space="preserve"> </w:t>
      </w:r>
      <w:r>
        <w:rPr>
          <w:rFonts w:ascii="Arial" w:hAnsi="Arial" w:cs="Arial"/>
          <w:color w:val="252525"/>
          <w:sz w:val="21"/>
          <w:szCs w:val="21"/>
          <w:shd w:val="clear" w:color="auto" w:fill="FFFFFF"/>
        </w:rPr>
        <w:t xml:space="preserve">The term was coined by psychologists Richard G. </w:t>
      </w:r>
      <w:proofErr w:type="spellStart"/>
      <w:r>
        <w:rPr>
          <w:rFonts w:ascii="Arial" w:hAnsi="Arial" w:cs="Arial"/>
          <w:color w:val="252525"/>
          <w:sz w:val="21"/>
          <w:szCs w:val="21"/>
          <w:shd w:val="clear" w:color="auto" w:fill="FFFFFF"/>
        </w:rPr>
        <w:t>Tedeschi</w:t>
      </w:r>
      <w:proofErr w:type="spellEnd"/>
      <w:r>
        <w:rPr>
          <w:rFonts w:ascii="Arial" w:hAnsi="Arial" w:cs="Arial"/>
          <w:color w:val="252525"/>
          <w:sz w:val="21"/>
          <w:szCs w:val="21"/>
          <w:shd w:val="clear" w:color="auto" w:fill="FFFFFF"/>
        </w:rPr>
        <w:t xml:space="preserve"> and Lawrence G. Calhoun at the University of North Carolina at Charlotte in the mid-nineties.</w:t>
      </w:r>
      <w:r>
        <w:rPr>
          <w:rStyle w:val="apple-converted-space"/>
          <w:rFonts w:ascii="Arial" w:hAnsi="Arial" w:cs="Arial"/>
          <w:color w:val="252525"/>
          <w:sz w:val="21"/>
          <w:szCs w:val="21"/>
          <w:shd w:val="clear" w:color="auto" w:fill="FFFFFF"/>
        </w:rPr>
        <w:t> </w:t>
      </w:r>
      <w:proofErr w:type="gramStart"/>
      <w:r>
        <w:rPr>
          <w:rFonts w:ascii="Arial" w:hAnsi="Arial" w:cs="Arial"/>
          <w:color w:val="252525"/>
          <w:sz w:val="21"/>
          <w:szCs w:val="21"/>
          <w:shd w:val="clear" w:color="auto" w:fill="FFFFFF"/>
        </w:rPr>
        <w:t xml:space="preserve">According to </w:t>
      </w:r>
      <w:proofErr w:type="spellStart"/>
      <w:r>
        <w:rPr>
          <w:rFonts w:ascii="Arial" w:hAnsi="Arial" w:cs="Arial"/>
          <w:color w:val="252525"/>
          <w:sz w:val="21"/>
          <w:szCs w:val="21"/>
          <w:shd w:val="clear" w:color="auto" w:fill="FFFFFF"/>
        </w:rPr>
        <w:t>Tedeschi</w:t>
      </w:r>
      <w:proofErr w:type="spellEnd"/>
      <w:r>
        <w:rPr>
          <w:rFonts w:ascii="Arial" w:hAnsi="Arial" w:cs="Arial"/>
          <w:color w:val="252525"/>
          <w:sz w:val="21"/>
          <w:szCs w:val="21"/>
          <w:shd w:val="clear" w:color="auto" w:fill="FFFFFF"/>
        </w:rPr>
        <w:t xml:space="preserve"> as many as 90 percent of survivors report at least one aspect of posttraumatic growth, such as a renewed appreciation for life.</w:t>
      </w:r>
      <w:proofErr w:type="gramEnd"/>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Traditional psychology's equivalent to thriving is resilience, which is reaching the previous level of functioning before a trauma, stressor, or challenge. The difference between resilience and thriving is the recovery point. Thriving goes above and beyond</w:t>
      </w:r>
      <w:r>
        <w:rPr>
          <w:rStyle w:val="apple-converted-space"/>
          <w:rFonts w:ascii="Arial" w:hAnsi="Arial" w:cs="Arial"/>
          <w:color w:val="252525"/>
          <w:sz w:val="21"/>
          <w:szCs w:val="21"/>
          <w:shd w:val="clear" w:color="auto" w:fill="FFFFFF"/>
        </w:rPr>
        <w:t> </w:t>
      </w:r>
      <w:hyperlink r:id="rId5" w:tooltip="Psychological resilience" w:history="1">
        <w:r>
          <w:rPr>
            <w:rStyle w:val="Hyperlink"/>
            <w:rFonts w:ascii="Arial" w:hAnsi="Arial" w:cs="Arial"/>
            <w:color w:val="0B0080"/>
            <w:sz w:val="21"/>
            <w:szCs w:val="21"/>
            <w:u w:val="none"/>
            <w:shd w:val="clear" w:color="auto" w:fill="FFFFFF"/>
          </w:rPr>
          <w:t>resilience</w:t>
        </w:r>
      </w:hyperlink>
      <w:r>
        <w:rPr>
          <w:rFonts w:ascii="Arial" w:hAnsi="Arial" w:cs="Arial"/>
          <w:color w:val="252525"/>
          <w:sz w:val="21"/>
          <w:szCs w:val="21"/>
          <w:shd w:val="clear" w:color="auto" w:fill="FFFFFF"/>
        </w:rPr>
        <w:t>. Thriving finds benefits within challenges.</w:t>
      </w:r>
      <w:r w:rsidR="00E110D1">
        <w:rPr>
          <w:rFonts w:ascii="Arial" w:hAnsi="Arial" w:cs="Arial"/>
          <w:color w:val="252525"/>
          <w:sz w:val="17"/>
          <w:szCs w:val="17"/>
          <w:shd w:val="clear" w:color="auto" w:fill="FFFFFF"/>
          <w:vertAlign w:val="superscript"/>
        </w:rPr>
        <w:t xml:space="preserve"> </w:t>
      </w:r>
    </w:p>
    <w:p w:rsidR="0033463D" w:rsidRDefault="0033463D">
      <w:pPr>
        <w:rPr>
          <w:rFonts w:ascii="Arial" w:hAnsi="Arial" w:cs="Arial"/>
          <w:color w:val="252525"/>
          <w:sz w:val="17"/>
          <w:szCs w:val="17"/>
          <w:shd w:val="clear" w:color="auto" w:fill="FFFFFF"/>
          <w:vertAlign w:val="superscript"/>
        </w:rPr>
      </w:pPr>
      <w:r>
        <w:rPr>
          <w:rFonts w:ascii="Arial" w:hAnsi="Arial" w:cs="Arial"/>
          <w:color w:val="252525"/>
          <w:sz w:val="21"/>
          <w:szCs w:val="21"/>
          <w:shd w:val="clear" w:color="auto" w:fill="FFFFFF"/>
        </w:rPr>
        <w:t>Posttraumatic growth occurs with the attempts to adapt to highly negative sets of circumstances that can engender high levels of psychological distress such as major life crises, which typically engender unpleasant psychological reactions.</w:t>
      </w:r>
      <w:hyperlink r:id="rId6" w:anchor="cite_note-ref1-1" w:history="1">
        <w:r>
          <w:rPr>
            <w:rStyle w:val="Hyperlink"/>
            <w:rFonts w:ascii="Arial" w:hAnsi="Arial" w:cs="Arial"/>
            <w:color w:val="0B0080"/>
            <w:sz w:val="17"/>
            <w:szCs w:val="17"/>
            <w:u w:val="none"/>
            <w:shd w:val="clear" w:color="auto" w:fill="FFFFFF"/>
            <w:vertAlign w:val="superscript"/>
          </w:rPr>
          <w:t>[1]</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 xml:space="preserve">Growth does not occur as a direct result of </w:t>
      </w:r>
      <w:proofErr w:type="gramStart"/>
      <w:r>
        <w:rPr>
          <w:rFonts w:ascii="Arial" w:hAnsi="Arial" w:cs="Arial"/>
          <w:color w:val="252525"/>
          <w:sz w:val="21"/>
          <w:szCs w:val="21"/>
          <w:shd w:val="clear" w:color="auto" w:fill="FFFFFF"/>
        </w:rPr>
        <w:t>trauma,</w:t>
      </w:r>
      <w:proofErr w:type="gramEnd"/>
      <w:r>
        <w:rPr>
          <w:rFonts w:ascii="Arial" w:hAnsi="Arial" w:cs="Arial"/>
          <w:color w:val="252525"/>
          <w:sz w:val="21"/>
          <w:szCs w:val="21"/>
          <w:shd w:val="clear" w:color="auto" w:fill="FFFFFF"/>
        </w:rPr>
        <w:t xml:space="preserve"> rather it is the individual's struggle with the new reality in the aftermath of trauma that is crucial in determining the extent to which posttraumatic growth occurs.</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Encouragingly, reports of growth experiences in the aftermath of traumatic events far outnumber reports of psychiatric disorders, since continuing personal distress and growth often coexist.</w:t>
      </w:r>
      <w:r w:rsidR="00E110D1">
        <w:rPr>
          <w:rFonts w:ascii="Arial" w:hAnsi="Arial" w:cs="Arial"/>
          <w:color w:val="252525"/>
          <w:sz w:val="17"/>
          <w:szCs w:val="17"/>
          <w:shd w:val="clear" w:color="auto" w:fill="FFFFFF"/>
          <w:vertAlign w:val="superscript"/>
        </w:rPr>
        <w:t xml:space="preserve"> </w:t>
      </w:r>
    </w:p>
    <w:p w:rsidR="0033463D" w:rsidRDefault="0033463D">
      <w:r>
        <w:rPr>
          <w:rFonts w:ascii="Arial" w:hAnsi="Arial" w:cs="Arial"/>
          <w:color w:val="252525"/>
          <w:sz w:val="21"/>
          <w:szCs w:val="21"/>
          <w:shd w:val="clear" w:color="auto" w:fill="FFFFFF"/>
        </w:rPr>
        <w:t>Results seen in people that have experienced posttraumatic growth include some of the following: greater appreciation of life; changed sense of priorities; warmer, more intimate relationships; greater sense of personal strength; and recognition of new possibilities or paths for one's life and spiritual development.</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Two personality characteristics that may affect the likelihood that people can make positive use of the after-math of traumatic events that befall them include extraversion and openness to experience.</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Also, optimists may be better able to focus attention and resources on the most important matters, and disengage from uncontrollable or unsolvable problems.</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The ability to grieve and gradually accept trauma could also increase the likelihood of growth.</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It also benefits a person to have supportive others that can aid in post-traumatic growth by providing a way to craft narratives about the changes that have occurred, and by offering perspectives that can be integrated into schema change.</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These relationships help develop narratives; these narratives of trauma and survival are always important in post-traumatic growth because the development of these narratives forces survivors to confront questions of meaning and how answers to those questions can be reconstructed.</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Individual differences in coping strategies set some people on a maladaptive spiral, whereas others proceed on an adaptive spiral.</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With this in mind, some early success in coping could be a precursor to posttraumatic growth.</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 person's level of confidence could also play a role in her or his ability to persist into growth or, out of lack of confidence, give up.</w:t>
      </w:r>
      <w:r w:rsidR="00E110D1">
        <w:t xml:space="preserve"> </w:t>
      </w:r>
    </w:p>
    <w:sectPr w:rsidR="00334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5BF"/>
    <w:rsid w:val="0033463D"/>
    <w:rsid w:val="004535BF"/>
    <w:rsid w:val="007E31FC"/>
    <w:rsid w:val="00E110D1"/>
    <w:rsid w:val="00ED69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D6902"/>
  </w:style>
  <w:style w:type="character" w:styleId="Hyperlink">
    <w:name w:val="Hyperlink"/>
    <w:basedOn w:val="DefaultParagraphFont"/>
    <w:uiPriority w:val="99"/>
    <w:semiHidden/>
    <w:unhideWhenUsed/>
    <w:rsid w:val="00ED690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D6902"/>
  </w:style>
  <w:style w:type="character" w:styleId="Hyperlink">
    <w:name w:val="Hyperlink"/>
    <w:basedOn w:val="DefaultParagraphFont"/>
    <w:uiPriority w:val="99"/>
    <w:semiHidden/>
    <w:unhideWhenUsed/>
    <w:rsid w:val="00ED69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n.wikipedia.org/wiki/Posttraumatic_growth" TargetMode="External"/><Relationship Id="rId5" Type="http://schemas.openxmlformats.org/officeDocument/2006/relationships/hyperlink" Target="https://en.wikipedia.org/wiki/Psychological_resilie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Rory McKenzie</cp:lastModifiedBy>
  <cp:revision>4</cp:revision>
  <dcterms:created xsi:type="dcterms:W3CDTF">2016-09-05T23:46:00Z</dcterms:created>
  <dcterms:modified xsi:type="dcterms:W3CDTF">2017-10-02T13:11:00Z</dcterms:modified>
</cp:coreProperties>
</file>