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795FA9" w14:textId="77777777" w:rsidR="00642330" w:rsidRPr="00642330" w:rsidRDefault="00642330" w:rsidP="007C7E0E">
      <w:pPr>
        <w:pStyle w:val="Title"/>
        <w:spacing w:after="240"/>
      </w:pPr>
      <w:bookmarkStart w:id="0" w:name="_GoBack"/>
      <w:bookmarkEnd w:id="0"/>
      <w:r w:rsidRPr="00642330">
        <w:t>Tasmanian Dam Case</w:t>
      </w:r>
    </w:p>
    <w:p w14:paraId="11690377" w14:textId="77777777" w:rsidR="00A9205A" w:rsidRPr="00642330" w:rsidRDefault="00A9205A" w:rsidP="00A9205A">
      <w:pPr>
        <w:pStyle w:val="NormalWeb"/>
        <w:shd w:val="clear" w:color="auto" w:fill="FFFFFF"/>
        <w:spacing w:before="96" w:beforeAutospacing="0" w:after="240" w:afterAutospacing="0" w:line="336" w:lineRule="atLeast"/>
        <w:rPr>
          <w:rFonts w:ascii="Arial" w:hAnsi="Arial" w:cs="Arial"/>
          <w:sz w:val="32"/>
          <w:szCs w:val="32"/>
        </w:rPr>
      </w:pPr>
      <w:r w:rsidRPr="00642330">
        <w:rPr>
          <w:rFonts w:ascii="Arial" w:hAnsi="Arial" w:cs="Arial"/>
          <w:sz w:val="32"/>
          <w:szCs w:val="32"/>
        </w:rPr>
        <w:t>The Tasmanian Dam Case is the most famous and influential environmental law case in Australian history. It was also a landmark in Australian constitutional law.</w:t>
      </w:r>
    </w:p>
    <w:p w14:paraId="4CFC2C6E" w14:textId="77FC54BC" w:rsidR="00A9205A" w:rsidRPr="00642330" w:rsidRDefault="00A9205A" w:rsidP="00A9205A">
      <w:pPr>
        <w:pStyle w:val="NormalWeb"/>
        <w:shd w:val="clear" w:color="auto" w:fill="FFFFFF"/>
        <w:spacing w:before="96" w:beforeAutospacing="0" w:after="288" w:afterAutospacing="0" w:line="276" w:lineRule="auto"/>
        <w:rPr>
          <w:rFonts w:ascii="Arial" w:hAnsi="Arial" w:cs="Arial"/>
          <w:sz w:val="26"/>
          <w:szCs w:val="26"/>
        </w:rPr>
      </w:pPr>
      <w:r w:rsidRPr="00642330">
        <w:rPr>
          <w:rFonts w:ascii="Arial" w:hAnsi="Arial" w:cs="Arial"/>
          <w:sz w:val="26"/>
          <w:szCs w:val="26"/>
        </w:rPr>
        <w:t>In it, the Commonwealth Government succeeded in stopping a large hydro-electric dam proposed to be constructed in South-West Tasmania. The seven judges of the High Court</w:t>
      </w:r>
      <w:r w:rsidR="00A375EF">
        <w:rPr>
          <w:rFonts w:ascii="Arial" w:hAnsi="Arial" w:cs="Arial"/>
          <w:sz w:val="26"/>
          <w:szCs w:val="26"/>
        </w:rPr>
        <w:t xml:space="preserve"> </w:t>
      </w:r>
      <w:r w:rsidRPr="00642330">
        <w:rPr>
          <w:rFonts w:ascii="Arial" w:hAnsi="Arial" w:cs="Arial"/>
          <w:sz w:val="26"/>
          <w:szCs w:val="26"/>
        </w:rPr>
        <w:t>split 4:3 in deciding (amongst other matters) that the Commonwealth had power under section 51(xxix) of the Australian Constitution to stop the dam based on Australia’s international obligations under the World Heritage Convention.</w:t>
      </w:r>
    </w:p>
    <w:p w14:paraId="01415BFF" w14:textId="46FBB061" w:rsidR="00A9205A" w:rsidRPr="00642330" w:rsidRDefault="00A9205A" w:rsidP="00A9205A">
      <w:pPr>
        <w:spacing w:after="240" w:line="336" w:lineRule="atLeast"/>
        <w:rPr>
          <w:rFonts w:ascii="Arial" w:eastAsia="Times New Roman" w:hAnsi="Arial" w:cs="Arial"/>
          <w:sz w:val="26"/>
          <w:szCs w:val="26"/>
          <w:lang w:eastAsia="en-AU"/>
        </w:rPr>
      </w:pPr>
      <w:r w:rsidRPr="00642330">
        <w:rPr>
          <w:rFonts w:ascii="Arial" w:eastAsia="Times New Roman" w:hAnsi="Arial" w:cs="Arial"/>
          <w:sz w:val="26"/>
          <w:szCs w:val="26"/>
          <w:lang w:eastAsia="en-AU"/>
        </w:rPr>
        <w:t>The Tasmanian Dam Case is the most famous and influential environmental law case in Australian history. It was also a landmark in Australian constitutional law.</w:t>
      </w:r>
    </w:p>
    <w:p w14:paraId="4372E58E" w14:textId="40AA50AE" w:rsidR="00A9205A" w:rsidRPr="007C7E0E" w:rsidRDefault="007C7E0E" w:rsidP="00A9205A">
      <w:pPr>
        <w:spacing w:after="0" w:line="276" w:lineRule="auto"/>
        <w:rPr>
          <w:rFonts w:ascii="Arial" w:eastAsia="Times New Roman" w:hAnsi="Arial" w:cs="Arial"/>
          <w:lang w:eastAsia="en-AU"/>
        </w:rPr>
      </w:pPr>
      <w:r w:rsidRPr="00642330">
        <w:rPr>
          <w:noProof/>
          <w:lang w:eastAsia="en-AU"/>
        </w:rPr>
        <w:drawing>
          <wp:anchor distT="0" distB="0" distL="114300" distR="114300" simplePos="0" relativeHeight="251658240" behindDoc="0" locked="0" layoutInCell="1" allowOverlap="1" wp14:anchorId="7D7FE319" wp14:editId="1DC284A5">
            <wp:simplePos x="0" y="0"/>
            <wp:positionH relativeFrom="column">
              <wp:posOffset>3971925</wp:posOffset>
            </wp:positionH>
            <wp:positionV relativeFrom="paragraph">
              <wp:posOffset>59690</wp:posOffset>
            </wp:positionV>
            <wp:extent cx="2752090" cy="41236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595" t="2606" r="2593" b="4025"/>
                    <a:stretch/>
                  </pic:blipFill>
                  <pic:spPr bwMode="auto">
                    <a:xfrm>
                      <a:off x="0" y="0"/>
                      <a:ext cx="2752090" cy="4123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9205A" w:rsidRPr="007C7E0E">
        <w:rPr>
          <w:rFonts w:ascii="Arial" w:eastAsia="Times New Roman" w:hAnsi="Arial" w:cs="Arial"/>
          <w:lang w:eastAsia="en-AU"/>
        </w:rPr>
        <w:t>In it, the Commonwealth Government succeeded in stopping a large hydro-electric dam proposed to be constructed in South-West Tasmania. The seven judges of the High Court split 4:3 in deciding (amongst other matters) that the Commonwealth had power under section 51(xxix) of the Australian Constitution to stop the dam based on Australia’s international obligations under the World Heritage Convention.</w:t>
      </w:r>
    </w:p>
    <w:p w14:paraId="0FE855AC" w14:textId="77777777" w:rsidR="00A9205A" w:rsidRPr="007C7E0E" w:rsidRDefault="00A9205A" w:rsidP="00A9205A">
      <w:pPr>
        <w:spacing w:after="0" w:line="276" w:lineRule="auto"/>
        <w:rPr>
          <w:rFonts w:ascii="Arial" w:eastAsia="Times New Roman" w:hAnsi="Arial" w:cs="Arial"/>
          <w:lang w:eastAsia="en-AU"/>
        </w:rPr>
      </w:pPr>
    </w:p>
    <w:p w14:paraId="29DD60F7" w14:textId="7B5DB1EE" w:rsidR="00A9205A" w:rsidRPr="007C7E0E" w:rsidRDefault="007C7E0E" w:rsidP="00A9205A">
      <w:pPr>
        <w:spacing w:after="0" w:line="276" w:lineRule="auto"/>
        <w:rPr>
          <w:rFonts w:ascii="Arial" w:eastAsia="Times New Roman" w:hAnsi="Arial" w:cs="Arial"/>
          <w:lang w:eastAsia="en-AU"/>
        </w:rPr>
      </w:pPr>
      <w:r w:rsidRPr="007C7E0E">
        <w:rPr>
          <w:rFonts w:ascii="Arial" w:eastAsia="Times New Roman" w:hAnsi="Arial" w:cs="Arial"/>
          <w:b/>
          <w:bCs/>
          <w:lang w:eastAsia="en-AU"/>
        </w:rPr>
        <w:t>The legal action</w:t>
      </w:r>
      <w:r w:rsidR="00A9205A" w:rsidRPr="007C7E0E">
        <w:rPr>
          <w:rFonts w:ascii="Arial" w:eastAsia="Times New Roman" w:hAnsi="Arial" w:cs="Arial"/>
          <w:b/>
          <w:bCs/>
          <w:lang w:eastAsia="en-AU"/>
        </w:rPr>
        <w:t xml:space="preserve"> rose out of a proposal in 1978 by the Tasmanian Hydro-Electric Commission, owned by the Tasmanian Government, to construct the Franklin Dam </w:t>
      </w:r>
      <w:r w:rsidR="00A375EF" w:rsidRPr="007C7E0E">
        <w:rPr>
          <w:rFonts w:ascii="Arial" w:eastAsia="Times New Roman" w:hAnsi="Arial" w:cs="Arial"/>
          <w:b/>
          <w:bCs/>
          <w:lang w:eastAsia="en-AU"/>
        </w:rPr>
        <w:t>on the</w:t>
      </w:r>
      <w:r w:rsidR="00A9205A" w:rsidRPr="007C7E0E">
        <w:rPr>
          <w:rFonts w:ascii="Arial" w:eastAsia="Times New Roman" w:hAnsi="Arial" w:cs="Arial"/>
          <w:b/>
          <w:bCs/>
          <w:lang w:eastAsia="en-AU"/>
        </w:rPr>
        <w:t xml:space="preserve"> Gordon River</w:t>
      </w:r>
      <w:r w:rsidR="00A9205A" w:rsidRPr="007C7E0E">
        <w:rPr>
          <w:rFonts w:ascii="Arial" w:eastAsia="Times New Roman" w:hAnsi="Arial" w:cs="Arial"/>
          <w:lang w:eastAsia="en-AU"/>
        </w:rPr>
        <w:t>. The dam would have flooded a large section of the Franklin River in South-West Tasmania.</w:t>
      </w:r>
    </w:p>
    <w:p w14:paraId="1D6FEDDB" w14:textId="77777777" w:rsidR="00A9205A" w:rsidRPr="007C7E0E" w:rsidRDefault="00A9205A" w:rsidP="00A9205A">
      <w:pPr>
        <w:spacing w:after="0" w:line="276" w:lineRule="auto"/>
        <w:rPr>
          <w:rFonts w:ascii="Arial" w:eastAsia="Times New Roman" w:hAnsi="Arial" w:cs="Arial"/>
          <w:lang w:eastAsia="en-AU"/>
        </w:rPr>
      </w:pPr>
    </w:p>
    <w:p w14:paraId="4DDBC875" w14:textId="6FBF2BED" w:rsidR="00A9205A" w:rsidRPr="007C7E0E" w:rsidRDefault="00A9205A" w:rsidP="00A9205A">
      <w:pPr>
        <w:spacing w:after="0" w:line="276" w:lineRule="auto"/>
        <w:rPr>
          <w:rFonts w:ascii="Arial" w:eastAsia="Times New Roman" w:hAnsi="Arial" w:cs="Arial"/>
          <w:lang w:eastAsia="en-AU"/>
        </w:rPr>
      </w:pPr>
      <w:r w:rsidRPr="007C7E0E">
        <w:rPr>
          <w:rFonts w:ascii="Arial" w:eastAsia="Times New Roman" w:hAnsi="Arial" w:cs="Arial"/>
          <w:lang w:eastAsia="en-AU"/>
        </w:rPr>
        <w:t>In 1981 the area in which the dam was proposed was nominated for listing under the World Heritage Convention. The World Heritage Committee declared the area a World Heritage site in 1982.</w:t>
      </w:r>
      <w:r w:rsidR="00642330" w:rsidRPr="007C7E0E">
        <w:rPr>
          <w:rFonts w:ascii="Arial" w:eastAsia="Times New Roman" w:hAnsi="Arial" w:cs="Arial"/>
          <w:lang w:eastAsia="en-AU"/>
        </w:rPr>
        <w:t xml:space="preserve"> </w:t>
      </w:r>
      <w:r w:rsidRPr="007C7E0E">
        <w:rPr>
          <w:rFonts w:ascii="Arial" w:eastAsia="Times New Roman" w:hAnsi="Arial" w:cs="Arial"/>
          <w:lang w:eastAsia="en-AU"/>
        </w:rPr>
        <w:t xml:space="preserve">However, the listing of the area as a World Heritage site by itself would not have prevented construction of the dam. </w:t>
      </w:r>
      <w:r w:rsidRPr="007C7E0E">
        <w:rPr>
          <w:rFonts w:ascii="Arial" w:eastAsia="Times New Roman" w:hAnsi="Arial" w:cs="Arial"/>
          <w:b/>
          <w:bCs/>
          <w:lang w:eastAsia="en-AU"/>
        </w:rPr>
        <w:t>To stop the dam required incorporation of the protection of the area under international law into Australian domestic law.</w:t>
      </w:r>
    </w:p>
    <w:p w14:paraId="14051DFC" w14:textId="77777777" w:rsidR="00642330" w:rsidRPr="007C7E0E" w:rsidRDefault="00642330" w:rsidP="00A9205A">
      <w:pPr>
        <w:spacing w:after="0" w:line="276" w:lineRule="auto"/>
        <w:rPr>
          <w:rFonts w:ascii="Arial" w:eastAsia="Times New Roman" w:hAnsi="Arial" w:cs="Arial"/>
          <w:lang w:eastAsia="en-AU"/>
        </w:rPr>
      </w:pPr>
    </w:p>
    <w:p w14:paraId="03A61057" w14:textId="6360A46D" w:rsidR="00A9205A" w:rsidRPr="007C7E0E" w:rsidRDefault="007C7E0E" w:rsidP="00A9205A">
      <w:pPr>
        <w:spacing w:after="0" w:line="276" w:lineRule="auto"/>
        <w:rPr>
          <w:rFonts w:ascii="Arial" w:eastAsia="Times New Roman" w:hAnsi="Arial" w:cs="Arial"/>
          <w:lang w:eastAsia="en-AU"/>
        </w:rPr>
      </w:pPr>
      <w:r w:rsidRPr="007C7E0E">
        <w:rPr>
          <w:rFonts w:ascii="Arial" w:eastAsia="Times New Roman" w:hAnsi="Arial" w:cs="Arial"/>
          <w:lang w:eastAsia="en-AU"/>
        </w:rPr>
        <w:t xml:space="preserve">In </w:t>
      </w:r>
      <w:r>
        <w:rPr>
          <w:rFonts w:ascii="Arial" w:eastAsia="Times New Roman" w:hAnsi="Arial" w:cs="Arial"/>
          <w:lang w:eastAsia="en-AU"/>
        </w:rPr>
        <w:t>t</w:t>
      </w:r>
      <w:r w:rsidRPr="007C7E0E">
        <w:rPr>
          <w:rFonts w:ascii="Arial" w:eastAsia="Times New Roman" w:hAnsi="Arial" w:cs="Arial"/>
          <w:lang w:eastAsia="en-AU"/>
        </w:rPr>
        <w:t xml:space="preserve">he </w:t>
      </w:r>
      <w:r>
        <w:rPr>
          <w:rFonts w:ascii="Arial" w:eastAsia="Times New Roman" w:hAnsi="Arial" w:cs="Arial"/>
          <w:lang w:eastAsia="en-AU"/>
        </w:rPr>
        <w:t>c</w:t>
      </w:r>
      <w:r w:rsidRPr="007C7E0E">
        <w:rPr>
          <w:rFonts w:ascii="Arial" w:eastAsia="Times New Roman" w:hAnsi="Arial" w:cs="Arial"/>
          <w:lang w:eastAsia="en-AU"/>
        </w:rPr>
        <w:t xml:space="preserve">ourse </w:t>
      </w:r>
      <w:r>
        <w:rPr>
          <w:rFonts w:ascii="Arial" w:eastAsia="Times New Roman" w:hAnsi="Arial" w:cs="Arial"/>
          <w:lang w:eastAsia="en-AU"/>
        </w:rPr>
        <w:t>o</w:t>
      </w:r>
      <w:r w:rsidRPr="007C7E0E">
        <w:rPr>
          <w:rFonts w:ascii="Arial" w:eastAsia="Times New Roman" w:hAnsi="Arial" w:cs="Arial"/>
          <w:lang w:eastAsia="en-AU"/>
        </w:rPr>
        <w:t>f</w:t>
      </w:r>
      <w:r w:rsidR="00A9205A" w:rsidRPr="007C7E0E">
        <w:rPr>
          <w:rFonts w:ascii="Arial" w:eastAsia="Times New Roman" w:hAnsi="Arial" w:cs="Arial"/>
          <w:lang w:eastAsia="en-AU"/>
        </w:rPr>
        <w:t xml:space="preserve"> a growing national controversy in 1982</w:t>
      </w:r>
      <w:r>
        <w:rPr>
          <w:rFonts w:ascii="Arial" w:eastAsia="Times New Roman" w:hAnsi="Arial" w:cs="Arial"/>
          <w:lang w:eastAsia="en-AU"/>
        </w:rPr>
        <w:t>,</w:t>
      </w:r>
      <w:r w:rsidR="00A9205A" w:rsidRPr="007C7E0E">
        <w:rPr>
          <w:rFonts w:ascii="Arial" w:eastAsia="Times New Roman" w:hAnsi="Arial" w:cs="Arial"/>
          <w:lang w:eastAsia="en-AU"/>
        </w:rPr>
        <w:t xml:space="preserve"> the Tasmanian Government passed laws allowing the dam to proceed and the Tasmanian Hydro-Electric Commission commenced preliminary works for the construction of the dam.</w:t>
      </w:r>
    </w:p>
    <w:p w14:paraId="1AD8BF19" w14:textId="77777777" w:rsidR="00642330" w:rsidRPr="007C7E0E" w:rsidRDefault="00642330" w:rsidP="00A9205A">
      <w:pPr>
        <w:spacing w:after="0" w:line="276" w:lineRule="auto"/>
        <w:rPr>
          <w:rFonts w:ascii="Arial" w:eastAsia="Times New Roman" w:hAnsi="Arial" w:cs="Arial"/>
          <w:lang w:eastAsia="en-AU"/>
        </w:rPr>
      </w:pPr>
    </w:p>
    <w:p w14:paraId="14CD994C" w14:textId="7C560DDD" w:rsidR="00A9205A" w:rsidRPr="007C7E0E" w:rsidRDefault="00A9205A" w:rsidP="00A9205A">
      <w:pPr>
        <w:spacing w:after="0" w:line="276" w:lineRule="auto"/>
        <w:rPr>
          <w:rFonts w:ascii="Arial" w:eastAsia="Times New Roman" w:hAnsi="Arial" w:cs="Arial"/>
          <w:lang w:eastAsia="en-AU"/>
        </w:rPr>
      </w:pPr>
      <w:r w:rsidRPr="007C7E0E">
        <w:rPr>
          <w:rFonts w:ascii="Arial" w:eastAsia="Times New Roman" w:hAnsi="Arial" w:cs="Arial"/>
          <w:lang w:eastAsia="en-AU"/>
        </w:rPr>
        <w:t xml:space="preserve">During the Australian federal </w:t>
      </w:r>
      <w:r w:rsidR="00642330" w:rsidRPr="007C7E0E">
        <w:rPr>
          <w:rFonts w:ascii="Arial" w:eastAsia="Times New Roman" w:hAnsi="Arial" w:cs="Arial"/>
          <w:lang w:eastAsia="en-AU"/>
        </w:rPr>
        <w:t>election of 1983,</w:t>
      </w:r>
      <w:r w:rsidRPr="007C7E0E">
        <w:rPr>
          <w:rFonts w:ascii="Arial" w:eastAsia="Times New Roman" w:hAnsi="Arial" w:cs="Arial"/>
          <w:lang w:eastAsia="en-AU"/>
        </w:rPr>
        <w:t xml:space="preserve"> the </w:t>
      </w:r>
      <w:proofErr w:type="spellStart"/>
      <w:r w:rsidRPr="007C7E0E">
        <w:rPr>
          <w:rFonts w:ascii="Arial" w:eastAsia="Times New Roman" w:hAnsi="Arial" w:cs="Arial"/>
          <w:lang w:eastAsia="en-AU"/>
        </w:rPr>
        <w:t>Labor</w:t>
      </w:r>
      <w:proofErr w:type="spellEnd"/>
      <w:r w:rsidRPr="007C7E0E">
        <w:rPr>
          <w:rFonts w:ascii="Arial" w:eastAsia="Times New Roman" w:hAnsi="Arial" w:cs="Arial"/>
          <w:lang w:eastAsia="en-AU"/>
        </w:rPr>
        <w:t xml:space="preserve"> Party under Bob Hawke promised to intervene and prevent construction of the dam. The Liberal Party led by Malcolm Fraser refused to use the external affairs power to intervene to stop the dam.</w:t>
      </w:r>
    </w:p>
    <w:p w14:paraId="7B3E605C" w14:textId="77777777" w:rsidR="00642330" w:rsidRPr="007C7E0E" w:rsidRDefault="00642330" w:rsidP="00A9205A">
      <w:pPr>
        <w:spacing w:after="0" w:line="276" w:lineRule="auto"/>
        <w:rPr>
          <w:rFonts w:ascii="Arial" w:eastAsia="Times New Roman" w:hAnsi="Arial" w:cs="Arial"/>
          <w:lang w:eastAsia="en-AU"/>
        </w:rPr>
      </w:pPr>
    </w:p>
    <w:p w14:paraId="224695E9" w14:textId="77777777" w:rsidR="007C7E0E" w:rsidRDefault="007C7E0E">
      <w:pPr>
        <w:rPr>
          <w:rFonts w:ascii="Arial" w:eastAsia="Times New Roman" w:hAnsi="Arial" w:cs="Arial"/>
          <w:lang w:eastAsia="en-AU"/>
        </w:rPr>
      </w:pPr>
      <w:r>
        <w:rPr>
          <w:rFonts w:ascii="Arial" w:eastAsia="Times New Roman" w:hAnsi="Arial" w:cs="Arial"/>
          <w:lang w:eastAsia="en-AU"/>
        </w:rPr>
        <w:br w:type="page"/>
      </w:r>
    </w:p>
    <w:p w14:paraId="6AD65CCD" w14:textId="77777777" w:rsidR="007C7E0E" w:rsidRDefault="007C7E0E" w:rsidP="007C7E0E">
      <w:pPr>
        <w:spacing w:after="0" w:line="276" w:lineRule="auto"/>
        <w:rPr>
          <w:rFonts w:ascii="Arial" w:eastAsia="Times New Roman" w:hAnsi="Arial" w:cs="Arial"/>
          <w:lang w:eastAsia="en-AU"/>
        </w:rPr>
      </w:pPr>
    </w:p>
    <w:p w14:paraId="3D59AC34" w14:textId="77777777" w:rsidR="007C7E0E" w:rsidRDefault="007C7E0E" w:rsidP="007C7E0E">
      <w:pPr>
        <w:spacing w:after="0" w:line="276" w:lineRule="auto"/>
        <w:rPr>
          <w:rFonts w:ascii="Arial" w:eastAsia="Times New Roman" w:hAnsi="Arial" w:cs="Arial"/>
          <w:lang w:eastAsia="en-AU"/>
        </w:rPr>
      </w:pPr>
    </w:p>
    <w:p w14:paraId="2E7EBB39" w14:textId="3CB315D7" w:rsidR="00A9205A" w:rsidRDefault="00A9205A" w:rsidP="007C7E0E">
      <w:pPr>
        <w:spacing w:after="0" w:line="276" w:lineRule="auto"/>
        <w:rPr>
          <w:rFonts w:ascii="Arial" w:eastAsia="Times New Roman" w:hAnsi="Arial" w:cs="Arial"/>
          <w:lang w:eastAsia="en-AU"/>
        </w:rPr>
      </w:pPr>
      <w:r w:rsidRPr="007C7E0E">
        <w:rPr>
          <w:rFonts w:ascii="Arial" w:eastAsia="Times New Roman" w:hAnsi="Arial" w:cs="Arial"/>
          <w:lang w:eastAsia="en-AU"/>
        </w:rPr>
        <w:t xml:space="preserve">This helped </w:t>
      </w:r>
      <w:proofErr w:type="spellStart"/>
      <w:r w:rsidRPr="007C7E0E">
        <w:rPr>
          <w:rFonts w:ascii="Arial" w:eastAsia="Times New Roman" w:hAnsi="Arial" w:cs="Arial"/>
          <w:lang w:eastAsia="en-AU"/>
        </w:rPr>
        <w:t>Labor</w:t>
      </w:r>
      <w:proofErr w:type="spellEnd"/>
      <w:r w:rsidRPr="007C7E0E">
        <w:rPr>
          <w:rFonts w:ascii="Arial" w:eastAsia="Times New Roman" w:hAnsi="Arial" w:cs="Arial"/>
          <w:lang w:eastAsia="en-AU"/>
        </w:rPr>
        <w:t xml:space="preserve"> win the election and it subsequently passed the World Heritage Properties Conservation Act 1983 (</w:t>
      </w:r>
      <w:proofErr w:type="spellStart"/>
      <w:r w:rsidRPr="007C7E0E">
        <w:rPr>
          <w:rFonts w:ascii="Arial" w:eastAsia="Times New Roman" w:hAnsi="Arial" w:cs="Arial"/>
          <w:lang w:eastAsia="en-AU"/>
        </w:rPr>
        <w:t>Cth</w:t>
      </w:r>
      <w:proofErr w:type="spellEnd"/>
      <w:r w:rsidRPr="007C7E0E">
        <w:rPr>
          <w:rFonts w:ascii="Arial" w:eastAsia="Times New Roman" w:hAnsi="Arial" w:cs="Arial"/>
          <w:lang w:eastAsia="en-AU"/>
        </w:rPr>
        <w:t xml:space="preserve">), which, </w:t>
      </w:r>
      <w:r w:rsidR="007C7E0E">
        <w:rPr>
          <w:rFonts w:ascii="Arial" w:eastAsia="Times New Roman" w:hAnsi="Arial" w:cs="Arial"/>
          <w:lang w:eastAsia="en-AU"/>
        </w:rPr>
        <w:t>together</w:t>
      </w:r>
      <w:r w:rsidRPr="007C7E0E">
        <w:rPr>
          <w:rFonts w:ascii="Arial" w:eastAsia="Times New Roman" w:hAnsi="Arial" w:cs="Arial"/>
          <w:lang w:eastAsia="en-AU"/>
        </w:rPr>
        <w:t xml:space="preserve"> with the National Parks and Wildlife Conservation Act 1975 (</w:t>
      </w:r>
      <w:proofErr w:type="spellStart"/>
      <w:r w:rsidRPr="007C7E0E">
        <w:rPr>
          <w:rFonts w:ascii="Arial" w:eastAsia="Times New Roman" w:hAnsi="Arial" w:cs="Arial"/>
          <w:lang w:eastAsia="en-AU"/>
        </w:rPr>
        <w:t>Cth</w:t>
      </w:r>
      <w:proofErr w:type="spellEnd"/>
      <w:r w:rsidRPr="007C7E0E">
        <w:rPr>
          <w:rFonts w:ascii="Arial" w:eastAsia="Times New Roman" w:hAnsi="Arial" w:cs="Arial"/>
          <w:lang w:eastAsia="en-AU"/>
        </w:rPr>
        <w:t>) enabled them to prohibit clearing, excavation and other activities within the Tasmanian Wilderness World Heritage Area.</w:t>
      </w:r>
    </w:p>
    <w:p w14:paraId="0AA2B7F1" w14:textId="77777777" w:rsidR="007C7E0E" w:rsidRPr="007C7E0E" w:rsidRDefault="007C7E0E" w:rsidP="00A9205A">
      <w:pPr>
        <w:spacing w:after="0" w:line="276" w:lineRule="auto"/>
        <w:rPr>
          <w:rFonts w:ascii="Arial" w:eastAsia="Times New Roman" w:hAnsi="Arial" w:cs="Arial"/>
          <w:lang w:eastAsia="en-AU"/>
        </w:rPr>
      </w:pPr>
    </w:p>
    <w:p w14:paraId="4EE13F8A" w14:textId="2303A0EF" w:rsidR="00A9205A" w:rsidRPr="007C7E0E" w:rsidRDefault="00A9205A" w:rsidP="00A9205A">
      <w:pPr>
        <w:spacing w:after="0" w:line="276" w:lineRule="auto"/>
        <w:rPr>
          <w:rFonts w:ascii="Arial" w:eastAsia="Times New Roman" w:hAnsi="Arial" w:cs="Arial"/>
          <w:lang w:eastAsia="en-AU"/>
        </w:rPr>
      </w:pPr>
      <w:r w:rsidRPr="007C7E0E">
        <w:rPr>
          <w:rFonts w:ascii="Arial" w:eastAsia="Times New Roman" w:hAnsi="Arial" w:cs="Arial"/>
          <w:lang w:eastAsia="en-AU"/>
        </w:rPr>
        <w:t>The Tasmanian Government challenged these actions and refused to halt construction of the dam. It argued that the Commonwealth Government did not have power under the Commonwealth Constitution to stop the dam.</w:t>
      </w:r>
    </w:p>
    <w:p w14:paraId="5D41BFDF" w14:textId="77777777" w:rsidR="00642330" w:rsidRPr="007C7E0E" w:rsidRDefault="00642330" w:rsidP="00A9205A">
      <w:pPr>
        <w:spacing w:after="0" w:line="276" w:lineRule="auto"/>
        <w:rPr>
          <w:rFonts w:ascii="Arial" w:eastAsia="Times New Roman" w:hAnsi="Arial" w:cs="Arial"/>
          <w:lang w:eastAsia="en-AU"/>
        </w:rPr>
      </w:pPr>
    </w:p>
    <w:p w14:paraId="324F7610" w14:textId="3E6AC00E" w:rsidR="00A9205A" w:rsidRPr="007C7E0E" w:rsidRDefault="00A9205A" w:rsidP="00A9205A">
      <w:pPr>
        <w:spacing w:after="0" w:line="276" w:lineRule="auto"/>
        <w:rPr>
          <w:rFonts w:ascii="Arial" w:eastAsia="Times New Roman" w:hAnsi="Arial" w:cs="Arial"/>
          <w:lang w:eastAsia="en-AU"/>
        </w:rPr>
      </w:pPr>
      <w:r w:rsidRPr="007C7E0E">
        <w:rPr>
          <w:rFonts w:ascii="Arial" w:eastAsia="Times New Roman" w:hAnsi="Arial" w:cs="Arial"/>
          <w:lang w:eastAsia="en-AU"/>
        </w:rPr>
        <w:t>The Commonwealth Government commenced proceedings in the High Court for an injunction and declaration of the validity of its laws on 4 April 1983.</w:t>
      </w:r>
    </w:p>
    <w:p w14:paraId="20569E19" w14:textId="77777777" w:rsidR="00642330" w:rsidRPr="007C7E0E" w:rsidRDefault="00642330" w:rsidP="00A9205A">
      <w:pPr>
        <w:spacing w:after="0" w:line="276" w:lineRule="auto"/>
        <w:rPr>
          <w:rFonts w:ascii="Arial" w:eastAsia="Times New Roman" w:hAnsi="Arial" w:cs="Arial"/>
          <w:lang w:eastAsia="en-AU"/>
        </w:rPr>
      </w:pPr>
    </w:p>
    <w:p w14:paraId="2D7110FD" w14:textId="4F297852" w:rsidR="00A9205A" w:rsidRPr="007C7E0E" w:rsidRDefault="00A9205A" w:rsidP="00A9205A">
      <w:pPr>
        <w:spacing w:after="0" w:line="276" w:lineRule="auto"/>
        <w:rPr>
          <w:rFonts w:ascii="Arial" w:eastAsia="Times New Roman" w:hAnsi="Arial" w:cs="Arial"/>
          <w:lang w:eastAsia="en-AU"/>
        </w:rPr>
      </w:pPr>
      <w:r w:rsidRPr="007C7E0E">
        <w:rPr>
          <w:rFonts w:ascii="Arial" w:eastAsia="Times New Roman" w:hAnsi="Arial" w:cs="Arial"/>
          <w:lang w:eastAsia="en-AU"/>
        </w:rPr>
        <w:t>The case was heard in May and June 1983 and the High Court delivered its</w:t>
      </w:r>
      <w:r w:rsidR="00642330" w:rsidRPr="007C7E0E">
        <w:rPr>
          <w:rFonts w:ascii="Arial" w:eastAsia="Times New Roman" w:hAnsi="Arial" w:cs="Arial"/>
          <w:lang w:eastAsia="en-AU"/>
        </w:rPr>
        <w:t xml:space="preserve"> </w:t>
      </w:r>
      <w:r w:rsidRPr="007C7E0E">
        <w:rPr>
          <w:rFonts w:ascii="Arial" w:eastAsia="Times New Roman" w:hAnsi="Arial" w:cs="Arial"/>
          <w:lang w:eastAsia="en-AU"/>
        </w:rPr>
        <w:t>judgment</w:t>
      </w:r>
      <w:r w:rsidR="00642330" w:rsidRPr="007C7E0E">
        <w:rPr>
          <w:rFonts w:ascii="Arial" w:eastAsia="Times New Roman" w:hAnsi="Arial" w:cs="Arial"/>
          <w:lang w:eastAsia="en-AU"/>
        </w:rPr>
        <w:t xml:space="preserve"> </w:t>
      </w:r>
      <w:r w:rsidRPr="007C7E0E">
        <w:rPr>
          <w:rFonts w:ascii="Arial" w:eastAsia="Times New Roman" w:hAnsi="Arial" w:cs="Arial"/>
          <w:lang w:eastAsia="en-AU"/>
        </w:rPr>
        <w:t>a few weeks later on 1 July 1983. In a 4:3 split decision the High Court</w:t>
      </w:r>
      <w:r w:rsidR="00642330" w:rsidRPr="007C7E0E">
        <w:rPr>
          <w:rFonts w:ascii="Arial" w:eastAsia="Times New Roman" w:hAnsi="Arial" w:cs="Arial"/>
          <w:lang w:eastAsia="en-AU"/>
        </w:rPr>
        <w:t xml:space="preserve"> </w:t>
      </w:r>
      <w:r w:rsidRPr="007C7E0E">
        <w:rPr>
          <w:rFonts w:ascii="Arial" w:eastAsia="Times New Roman" w:hAnsi="Arial" w:cs="Arial"/>
          <w:lang w:eastAsia="en-AU"/>
        </w:rPr>
        <w:t>largely</w:t>
      </w:r>
      <w:r w:rsidR="00642330" w:rsidRPr="007C7E0E">
        <w:rPr>
          <w:rFonts w:ascii="Arial" w:eastAsia="Times New Roman" w:hAnsi="Arial" w:cs="Arial"/>
          <w:lang w:eastAsia="en-AU"/>
        </w:rPr>
        <w:t xml:space="preserve"> </w:t>
      </w:r>
      <w:r w:rsidRPr="007C7E0E">
        <w:rPr>
          <w:rFonts w:ascii="Arial" w:eastAsia="Times New Roman" w:hAnsi="Arial" w:cs="Arial"/>
          <w:lang w:eastAsia="en-AU"/>
        </w:rPr>
        <w:t>upheld the validity of the Commonwealth laws, thereby preventing the dam proceeding.</w:t>
      </w:r>
    </w:p>
    <w:p w14:paraId="1B5C045B" w14:textId="77777777" w:rsidR="00642330" w:rsidRPr="007C7E0E" w:rsidRDefault="00642330" w:rsidP="00A9205A">
      <w:pPr>
        <w:spacing w:after="0" w:line="276" w:lineRule="auto"/>
        <w:rPr>
          <w:rFonts w:ascii="Arial" w:eastAsia="Times New Roman" w:hAnsi="Arial" w:cs="Arial"/>
          <w:lang w:eastAsia="en-AU"/>
        </w:rPr>
      </w:pPr>
    </w:p>
    <w:p w14:paraId="65A59732" w14:textId="34300B3A" w:rsidR="00A9205A" w:rsidRDefault="00A9205A" w:rsidP="00A9205A">
      <w:pPr>
        <w:spacing w:after="0" w:line="276" w:lineRule="auto"/>
        <w:rPr>
          <w:rFonts w:ascii="Arial" w:eastAsia="Times New Roman" w:hAnsi="Arial" w:cs="Arial"/>
          <w:lang w:eastAsia="en-AU"/>
        </w:rPr>
      </w:pPr>
      <w:r w:rsidRPr="00581568">
        <w:rPr>
          <w:rFonts w:ascii="Arial" w:eastAsia="Times New Roman" w:hAnsi="Arial" w:cs="Arial"/>
          <w:b/>
          <w:bCs/>
          <w:lang w:eastAsia="en-AU"/>
        </w:rPr>
        <w:t>The decision had enormous significance for the extent of Commonwealth powers to make laws under the Australian Constitution</w:t>
      </w:r>
      <w:r w:rsidRPr="007C7E0E">
        <w:rPr>
          <w:rFonts w:ascii="Arial" w:eastAsia="Times New Roman" w:hAnsi="Arial" w:cs="Arial"/>
          <w:lang w:eastAsia="en-AU"/>
        </w:rPr>
        <w:t>, including its power to make laws to protect the environment.</w:t>
      </w:r>
    </w:p>
    <w:p w14:paraId="322B7CB9" w14:textId="77777777" w:rsidR="007C7E0E" w:rsidRPr="007C7E0E" w:rsidRDefault="007C7E0E" w:rsidP="00A9205A">
      <w:pPr>
        <w:spacing w:after="0" w:line="276" w:lineRule="auto"/>
        <w:rPr>
          <w:rFonts w:ascii="Arial" w:eastAsia="Times New Roman" w:hAnsi="Arial" w:cs="Arial"/>
          <w:lang w:eastAsia="en-AU"/>
        </w:rPr>
      </w:pPr>
    </w:p>
    <w:p w14:paraId="1CA6387A" w14:textId="28119BFC" w:rsidR="00A9205A" w:rsidRPr="007C7E0E" w:rsidRDefault="00A9205A" w:rsidP="00A9205A">
      <w:pPr>
        <w:spacing w:after="0" w:line="276" w:lineRule="auto"/>
        <w:rPr>
          <w:rFonts w:ascii="Arial" w:eastAsia="Times New Roman" w:hAnsi="Arial" w:cs="Arial"/>
          <w:lang w:eastAsia="en-AU"/>
        </w:rPr>
      </w:pPr>
      <w:r w:rsidRPr="007C7E0E">
        <w:rPr>
          <w:rFonts w:ascii="Arial" w:eastAsia="Times New Roman" w:hAnsi="Arial" w:cs="Arial"/>
          <w:lang w:eastAsia="en-AU"/>
        </w:rPr>
        <w:t>Following the decision, the legal debate over the extent of the “external affairs” power continued for a decade in a series of cases in the High Court in which the wide view of the external affairs power prevailed. It is now firmly established that under section 51(xxix) of the Australian Constitution the Australian Government has the power to enact legislation that is reasonably capable of being considered appropriate and adapted to fulfil Australia’s international legal obligations.</w:t>
      </w:r>
    </w:p>
    <w:p w14:paraId="5E0CB7D4" w14:textId="77777777" w:rsidR="00642330" w:rsidRPr="007C7E0E" w:rsidRDefault="00642330" w:rsidP="00A9205A">
      <w:pPr>
        <w:spacing w:after="0" w:line="276" w:lineRule="auto"/>
        <w:rPr>
          <w:rFonts w:ascii="Arial" w:eastAsia="Times New Roman" w:hAnsi="Arial" w:cs="Arial"/>
          <w:lang w:eastAsia="en-AU"/>
        </w:rPr>
      </w:pPr>
    </w:p>
    <w:p w14:paraId="35C1B92B" w14:textId="4699ED0F" w:rsidR="00A9205A" w:rsidRDefault="00A9205A" w:rsidP="00A9205A">
      <w:pPr>
        <w:spacing w:after="0" w:line="276" w:lineRule="auto"/>
        <w:rPr>
          <w:rFonts w:ascii="Arial" w:eastAsia="Times New Roman" w:hAnsi="Arial" w:cs="Arial"/>
          <w:lang w:eastAsia="en-AU"/>
        </w:rPr>
      </w:pPr>
      <w:r w:rsidRPr="007C7E0E">
        <w:rPr>
          <w:rFonts w:ascii="Arial" w:eastAsia="Times New Roman" w:hAnsi="Arial" w:cs="Arial"/>
          <w:lang w:eastAsia="en-AU"/>
        </w:rPr>
        <w:t>Due to the large number of international obligations that Australia has accepted</w:t>
      </w:r>
      <w:r w:rsidR="00642330" w:rsidRPr="007C7E0E">
        <w:rPr>
          <w:rFonts w:ascii="Arial" w:eastAsia="Times New Roman" w:hAnsi="Arial" w:cs="Arial"/>
          <w:lang w:eastAsia="en-AU"/>
        </w:rPr>
        <w:t xml:space="preserve"> u</w:t>
      </w:r>
      <w:r w:rsidRPr="007C7E0E">
        <w:rPr>
          <w:rFonts w:ascii="Arial" w:eastAsia="Times New Roman" w:hAnsi="Arial" w:cs="Arial"/>
          <w:lang w:eastAsia="en-AU"/>
        </w:rPr>
        <w:t>nder</w:t>
      </w:r>
      <w:r w:rsidR="00642330" w:rsidRPr="007C7E0E">
        <w:rPr>
          <w:rFonts w:ascii="Arial" w:eastAsia="Times New Roman" w:hAnsi="Arial" w:cs="Arial"/>
          <w:lang w:eastAsia="en-AU"/>
        </w:rPr>
        <w:t xml:space="preserve"> </w:t>
      </w:r>
      <w:r w:rsidRPr="007C7E0E">
        <w:rPr>
          <w:rFonts w:ascii="Arial" w:eastAsia="Times New Roman" w:hAnsi="Arial" w:cs="Arial"/>
          <w:lang w:eastAsia="en-AU"/>
        </w:rPr>
        <w:t>international treaties, the external affairs power in section 51(xxix) gives the Australian Government a very wide constitutional power to make laws on many subjects, including protecting the environment.</w:t>
      </w:r>
    </w:p>
    <w:p w14:paraId="1A28427A" w14:textId="158AF6A0" w:rsidR="00581568" w:rsidRDefault="00581568" w:rsidP="00A9205A">
      <w:pPr>
        <w:spacing w:after="0" w:line="276" w:lineRule="auto"/>
        <w:rPr>
          <w:rFonts w:ascii="Arial" w:eastAsia="Times New Roman" w:hAnsi="Arial" w:cs="Arial"/>
          <w:lang w:eastAsia="en-AU"/>
        </w:rPr>
      </w:pPr>
    </w:p>
    <w:p w14:paraId="0F24035D" w14:textId="73A1B2D7" w:rsidR="00581568" w:rsidRDefault="00581568" w:rsidP="00A9205A">
      <w:pPr>
        <w:spacing w:after="0" w:line="276" w:lineRule="auto"/>
        <w:rPr>
          <w:rFonts w:ascii="Arial" w:eastAsia="Times New Roman" w:hAnsi="Arial" w:cs="Arial"/>
          <w:lang w:eastAsia="en-AU"/>
        </w:rPr>
      </w:pPr>
    </w:p>
    <w:sdt>
      <w:sdtPr>
        <w:rPr>
          <w:rFonts w:asciiTheme="minorHAnsi" w:eastAsiaTheme="minorHAnsi" w:hAnsiTheme="minorHAnsi" w:cstheme="minorBidi"/>
          <w:b w:val="0"/>
          <w:bCs w:val="0"/>
          <w:kern w:val="0"/>
          <w:sz w:val="22"/>
          <w:szCs w:val="22"/>
          <w:lang w:eastAsia="en-US"/>
        </w:rPr>
        <w:id w:val="-489643835"/>
        <w:docPartObj>
          <w:docPartGallery w:val="Bibliographies"/>
          <w:docPartUnique/>
        </w:docPartObj>
      </w:sdtPr>
      <w:sdtEndPr/>
      <w:sdtContent>
        <w:p w14:paraId="24262064" w14:textId="20C0EEDC" w:rsidR="00581568" w:rsidRDefault="00581568">
          <w:pPr>
            <w:pStyle w:val="Heading1"/>
          </w:pPr>
          <w:r>
            <w:t>Bibliography</w:t>
          </w:r>
        </w:p>
        <w:sdt>
          <w:sdtPr>
            <w:id w:val="111145805"/>
            <w:bibliography/>
          </w:sdtPr>
          <w:sdtEndPr/>
          <w:sdtContent>
            <w:p w14:paraId="342AEE9C" w14:textId="77777777" w:rsidR="00581568" w:rsidRDefault="00581568" w:rsidP="00581568">
              <w:pPr>
                <w:pStyle w:val="Bibliography"/>
                <w:ind w:left="720" w:hanging="720"/>
                <w:rPr>
                  <w:noProof/>
                  <w:sz w:val="24"/>
                  <w:szCs w:val="24"/>
                </w:rPr>
              </w:pPr>
              <w:r>
                <w:fldChar w:fldCharType="begin"/>
              </w:r>
              <w:r>
                <w:instrText xml:space="preserve"> BIBLIOGRAPHY </w:instrText>
              </w:r>
              <w:r>
                <w:fldChar w:fldCharType="separate"/>
              </w:r>
              <w:r>
                <w:rPr>
                  <w:noProof/>
                </w:rPr>
                <w:t xml:space="preserve">Environmental Law Australia. (n.d.). </w:t>
              </w:r>
              <w:r>
                <w:rPr>
                  <w:i/>
                  <w:iCs/>
                  <w:noProof/>
                </w:rPr>
                <w:t>Tasmanian Dam Case</w:t>
              </w:r>
              <w:r>
                <w:rPr>
                  <w:noProof/>
                </w:rPr>
                <w:t>. Retrieved November 11, 2020, from Environmental Law Australia: http://envlaw.com.au/tasmanian-dam-case/</w:t>
              </w:r>
            </w:p>
            <w:p w14:paraId="65B562FC" w14:textId="2171AB2F" w:rsidR="00581568" w:rsidRDefault="00581568" w:rsidP="00581568">
              <w:r>
                <w:rPr>
                  <w:b/>
                  <w:bCs/>
                  <w:noProof/>
                </w:rPr>
                <w:fldChar w:fldCharType="end"/>
              </w:r>
            </w:p>
          </w:sdtContent>
        </w:sdt>
      </w:sdtContent>
    </w:sdt>
    <w:p w14:paraId="1D56DAD1" w14:textId="77777777" w:rsidR="00581568" w:rsidRPr="00642330" w:rsidRDefault="00581568" w:rsidP="00A9205A">
      <w:pPr>
        <w:spacing w:after="0" w:line="276" w:lineRule="auto"/>
        <w:rPr>
          <w:rFonts w:ascii="Arial" w:eastAsia="Times New Roman" w:hAnsi="Arial" w:cs="Arial"/>
          <w:sz w:val="21"/>
          <w:szCs w:val="21"/>
          <w:lang w:eastAsia="en-AU"/>
        </w:rPr>
      </w:pPr>
    </w:p>
    <w:sectPr w:rsidR="00581568" w:rsidRPr="00642330" w:rsidSect="0064233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20A8F"/>
    <w:multiLevelType w:val="multilevel"/>
    <w:tmpl w:val="859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05A"/>
    <w:rsid w:val="000150A3"/>
    <w:rsid w:val="00074938"/>
    <w:rsid w:val="003B7687"/>
    <w:rsid w:val="003F46A7"/>
    <w:rsid w:val="00581568"/>
    <w:rsid w:val="00642330"/>
    <w:rsid w:val="007C7E0E"/>
    <w:rsid w:val="00A2183B"/>
    <w:rsid w:val="00A375EF"/>
    <w:rsid w:val="00A4558C"/>
    <w:rsid w:val="00A9205A"/>
    <w:rsid w:val="00C71FB1"/>
    <w:rsid w:val="00C808E6"/>
    <w:rsid w:val="00CF7CFB"/>
    <w:rsid w:val="00D9324B"/>
    <w:rsid w:val="00DF059D"/>
    <w:rsid w:val="00EB2E1E"/>
    <w:rsid w:val="00F80F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6958C"/>
  <w15:chartTrackingRefBased/>
  <w15:docId w15:val="{E02163D7-9CA2-48C6-B1C9-B7F2117C6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920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205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A9205A"/>
    <w:rPr>
      <w:color w:val="0000FF"/>
      <w:u w:val="single"/>
    </w:rPr>
  </w:style>
  <w:style w:type="character" w:customStyle="1" w:styleId="Heading1Char">
    <w:name w:val="Heading 1 Char"/>
    <w:basedOn w:val="DefaultParagraphFont"/>
    <w:link w:val="Heading1"/>
    <w:uiPriority w:val="9"/>
    <w:rsid w:val="00A9205A"/>
    <w:rPr>
      <w:rFonts w:ascii="Times New Roman" w:eastAsia="Times New Roman" w:hAnsi="Times New Roman" w:cs="Times New Roman"/>
      <w:b/>
      <w:bCs/>
      <w:kern w:val="36"/>
      <w:sz w:val="48"/>
      <w:szCs w:val="48"/>
      <w:lang w:eastAsia="en-AU"/>
    </w:rPr>
  </w:style>
  <w:style w:type="paragraph" w:customStyle="1" w:styleId="menu-item">
    <w:name w:val="menu-item"/>
    <w:basedOn w:val="Normal"/>
    <w:rsid w:val="00A9205A"/>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z-TopofForm">
    <w:name w:val="HTML Top of Form"/>
    <w:basedOn w:val="Normal"/>
    <w:next w:val="Normal"/>
    <w:link w:val="z-TopofFormChar"/>
    <w:hidden/>
    <w:uiPriority w:val="99"/>
    <w:semiHidden/>
    <w:unhideWhenUsed/>
    <w:rsid w:val="00A9205A"/>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A9205A"/>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A9205A"/>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A9205A"/>
    <w:rPr>
      <w:rFonts w:ascii="Arial" w:eastAsia="Times New Roman" w:hAnsi="Arial" w:cs="Arial"/>
      <w:vanish/>
      <w:sz w:val="16"/>
      <w:szCs w:val="16"/>
      <w:lang w:eastAsia="en-AU"/>
    </w:rPr>
  </w:style>
  <w:style w:type="character" w:styleId="Emphasis">
    <w:name w:val="Emphasis"/>
    <w:basedOn w:val="DefaultParagraphFont"/>
    <w:uiPriority w:val="20"/>
    <w:qFormat/>
    <w:rsid w:val="00A9205A"/>
    <w:rPr>
      <w:i/>
      <w:iCs/>
    </w:rPr>
  </w:style>
  <w:style w:type="paragraph" w:styleId="Title">
    <w:name w:val="Title"/>
    <w:basedOn w:val="Normal"/>
    <w:next w:val="Normal"/>
    <w:link w:val="TitleChar"/>
    <w:uiPriority w:val="10"/>
    <w:qFormat/>
    <w:rsid w:val="007C7E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E0E"/>
    <w:rPr>
      <w:rFonts w:asciiTheme="majorHAnsi" w:eastAsiaTheme="majorEastAsia" w:hAnsiTheme="majorHAnsi" w:cstheme="majorBidi"/>
      <w:spacing w:val="-10"/>
      <w:kern w:val="28"/>
      <w:sz w:val="56"/>
      <w:szCs w:val="56"/>
    </w:rPr>
  </w:style>
  <w:style w:type="paragraph" w:styleId="Bibliography">
    <w:name w:val="Bibliography"/>
    <w:basedOn w:val="Normal"/>
    <w:next w:val="Normal"/>
    <w:uiPriority w:val="37"/>
    <w:unhideWhenUsed/>
    <w:rsid w:val="00581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962918">
      <w:bodyDiv w:val="1"/>
      <w:marLeft w:val="0"/>
      <w:marRight w:val="0"/>
      <w:marTop w:val="0"/>
      <w:marBottom w:val="0"/>
      <w:divBdr>
        <w:top w:val="none" w:sz="0" w:space="0" w:color="auto"/>
        <w:left w:val="none" w:sz="0" w:space="0" w:color="auto"/>
        <w:bottom w:val="none" w:sz="0" w:space="0" w:color="auto"/>
        <w:right w:val="none" w:sz="0" w:space="0" w:color="auto"/>
      </w:divBdr>
      <w:divsChild>
        <w:div w:id="182596576">
          <w:marLeft w:val="0"/>
          <w:marRight w:val="0"/>
          <w:marTop w:val="0"/>
          <w:marBottom w:val="0"/>
          <w:divBdr>
            <w:top w:val="none" w:sz="0" w:space="0" w:color="auto"/>
            <w:left w:val="none" w:sz="0" w:space="0" w:color="auto"/>
            <w:bottom w:val="none" w:sz="0" w:space="0" w:color="auto"/>
            <w:right w:val="none" w:sz="0" w:space="0" w:color="auto"/>
          </w:divBdr>
          <w:divsChild>
            <w:div w:id="1642727830">
              <w:marLeft w:val="270"/>
              <w:marRight w:val="270"/>
              <w:marTop w:val="0"/>
              <w:marBottom w:val="0"/>
              <w:divBdr>
                <w:top w:val="none" w:sz="0" w:space="0" w:color="auto"/>
                <w:left w:val="none" w:sz="0" w:space="0" w:color="auto"/>
                <w:bottom w:val="single" w:sz="6" w:space="6" w:color="FFFFFF"/>
                <w:right w:val="none" w:sz="0" w:space="0" w:color="auto"/>
              </w:divBdr>
              <w:divsChild>
                <w:div w:id="559243660">
                  <w:marLeft w:val="0"/>
                  <w:marRight w:val="0"/>
                  <w:marTop w:val="0"/>
                  <w:marBottom w:val="0"/>
                  <w:divBdr>
                    <w:top w:val="none" w:sz="0" w:space="0" w:color="auto"/>
                    <w:left w:val="none" w:sz="0" w:space="0" w:color="auto"/>
                    <w:bottom w:val="none" w:sz="0" w:space="0" w:color="auto"/>
                    <w:right w:val="none" w:sz="0" w:space="0" w:color="auto"/>
                  </w:divBdr>
                </w:div>
              </w:divsChild>
            </w:div>
            <w:div w:id="1863274325">
              <w:marLeft w:val="0"/>
              <w:marRight w:val="270"/>
              <w:marTop w:val="0"/>
              <w:marBottom w:val="0"/>
              <w:divBdr>
                <w:top w:val="none" w:sz="0" w:space="0" w:color="auto"/>
                <w:left w:val="none" w:sz="0" w:space="0" w:color="auto"/>
                <w:bottom w:val="none" w:sz="0" w:space="0" w:color="auto"/>
                <w:right w:val="none" w:sz="0" w:space="0" w:color="auto"/>
              </w:divBdr>
              <w:divsChild>
                <w:div w:id="1262497088">
                  <w:marLeft w:val="0"/>
                  <w:marRight w:val="0"/>
                  <w:marTop w:val="210"/>
                  <w:marBottom w:val="210"/>
                  <w:divBdr>
                    <w:top w:val="none" w:sz="0" w:space="0" w:color="auto"/>
                    <w:left w:val="none" w:sz="0" w:space="0" w:color="auto"/>
                    <w:bottom w:val="none" w:sz="0" w:space="0" w:color="auto"/>
                    <w:right w:val="none" w:sz="0" w:space="0" w:color="auto"/>
                  </w:divBdr>
                </w:div>
                <w:div w:id="149292042">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921717942">
          <w:marLeft w:val="0"/>
          <w:marRight w:val="0"/>
          <w:marTop w:val="0"/>
          <w:marBottom w:val="0"/>
          <w:divBdr>
            <w:top w:val="none" w:sz="0" w:space="0" w:color="auto"/>
            <w:left w:val="none" w:sz="0" w:space="0" w:color="auto"/>
            <w:bottom w:val="none" w:sz="0" w:space="0" w:color="auto"/>
            <w:right w:val="none" w:sz="0" w:space="0" w:color="auto"/>
          </w:divBdr>
          <w:divsChild>
            <w:div w:id="901058612">
              <w:marLeft w:val="270"/>
              <w:marRight w:val="270"/>
              <w:marTop w:val="0"/>
              <w:marBottom w:val="0"/>
              <w:divBdr>
                <w:top w:val="none" w:sz="0" w:space="0" w:color="auto"/>
                <w:left w:val="none" w:sz="0" w:space="0" w:color="auto"/>
                <w:bottom w:val="none" w:sz="0" w:space="0" w:color="auto"/>
                <w:right w:val="none" w:sz="0" w:space="0" w:color="auto"/>
              </w:divBdr>
              <w:divsChild>
                <w:div w:id="999504284">
                  <w:marLeft w:val="0"/>
                  <w:marRight w:val="0"/>
                  <w:marTop w:val="0"/>
                  <w:marBottom w:val="0"/>
                  <w:divBdr>
                    <w:top w:val="none" w:sz="0" w:space="0" w:color="auto"/>
                    <w:left w:val="none" w:sz="0" w:space="0" w:color="auto"/>
                    <w:bottom w:val="none" w:sz="0" w:space="0" w:color="auto"/>
                    <w:right w:val="none" w:sz="0" w:space="0" w:color="auto"/>
                  </w:divBdr>
                </w:div>
              </w:divsChild>
            </w:div>
            <w:div w:id="2083209328">
              <w:marLeft w:val="270"/>
              <w:marRight w:val="270"/>
              <w:marTop w:val="720"/>
              <w:marBottom w:val="720"/>
              <w:divBdr>
                <w:top w:val="none" w:sz="0" w:space="0" w:color="auto"/>
                <w:left w:val="none" w:sz="0" w:space="0" w:color="auto"/>
                <w:bottom w:val="none" w:sz="0" w:space="0" w:color="auto"/>
                <w:right w:val="none" w:sz="0" w:space="0" w:color="auto"/>
              </w:divBdr>
              <w:divsChild>
                <w:div w:id="79240594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665134407">
      <w:bodyDiv w:val="1"/>
      <w:marLeft w:val="0"/>
      <w:marRight w:val="0"/>
      <w:marTop w:val="0"/>
      <w:marBottom w:val="0"/>
      <w:divBdr>
        <w:top w:val="none" w:sz="0" w:space="0" w:color="auto"/>
        <w:left w:val="none" w:sz="0" w:space="0" w:color="auto"/>
        <w:bottom w:val="none" w:sz="0" w:space="0" w:color="auto"/>
        <w:right w:val="none" w:sz="0" w:space="0" w:color="auto"/>
      </w:divBdr>
    </w:div>
    <w:div w:id="882785375">
      <w:bodyDiv w:val="1"/>
      <w:marLeft w:val="0"/>
      <w:marRight w:val="0"/>
      <w:marTop w:val="0"/>
      <w:marBottom w:val="0"/>
      <w:divBdr>
        <w:top w:val="none" w:sz="0" w:space="0" w:color="auto"/>
        <w:left w:val="none" w:sz="0" w:space="0" w:color="auto"/>
        <w:bottom w:val="none" w:sz="0" w:space="0" w:color="auto"/>
        <w:right w:val="none" w:sz="0" w:space="0" w:color="auto"/>
      </w:divBdr>
    </w:div>
    <w:div w:id="205746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Envnd</b:Tag>
    <b:SourceType>InternetSite</b:SourceType>
    <b:Guid>{667D6B93-0B2E-4FD4-A113-DB3C9F3C1735}</b:Guid>
    <b:Title>Tasmanian Dam Case</b:Title>
    <b:Year>n.d.</b:Year>
    <b:Author>
      <b:Author>
        <b:Corporate>Environmental Law Australia</b:Corporate>
      </b:Author>
    </b:Author>
    <b:InternetSiteTitle>Environmental Law Australia</b:InternetSiteTitle>
    <b:URL>http://envlaw.com.au/tasmanian-dam-case/</b:URL>
    <b:YearAccessed>2020</b:YearAccessed>
    <b:MonthAccessed>November </b:MonthAccessed>
    <b:DayAccessed>11</b:DayAccessed>
    <b:RefOrder>1</b:RefOrder>
  </b:Source>
</b:Sources>
</file>

<file path=customXml/itemProps1.xml><?xml version="1.0" encoding="utf-8"?>
<ds:datastoreItem xmlns:ds="http://schemas.openxmlformats.org/officeDocument/2006/customXml" ds:itemID="{3A9AA51B-1621-48D7-8A07-D022B3CAE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661</Words>
  <Characters>3768</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SARGEANTSON Wendy [Narrogin Senior High School]</dc:creator>
  <cp:keywords/>
  <dc:description/>
  <cp:lastModifiedBy>FAZIOLI Carly [Narrogin Senior High School]</cp:lastModifiedBy>
  <cp:revision>2</cp:revision>
  <dcterms:created xsi:type="dcterms:W3CDTF">2021-10-18T05:20:00Z</dcterms:created>
  <dcterms:modified xsi:type="dcterms:W3CDTF">2021-10-18T05:20:00Z</dcterms:modified>
</cp:coreProperties>
</file>