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866ED" w14:textId="77777777" w:rsidR="00F22A31" w:rsidRPr="00F22A31" w:rsidRDefault="00F22A31" w:rsidP="00F22A3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3984C8"/>
          <w:kern w:val="36"/>
          <w:sz w:val="71"/>
          <w:szCs w:val="71"/>
          <w:lang w:eastAsia="en-AU"/>
        </w:rPr>
      </w:pPr>
      <w:r w:rsidRPr="00F22A31">
        <w:rPr>
          <w:rFonts w:ascii="Arial" w:eastAsia="Times New Roman" w:hAnsi="Arial" w:cs="Arial"/>
          <w:color w:val="3984C8"/>
          <w:kern w:val="36"/>
          <w:sz w:val="71"/>
          <w:szCs w:val="71"/>
          <w:lang w:eastAsia="en-AU"/>
        </w:rPr>
        <w:t>Incorporating Evaluation in Essay Writing</w:t>
      </w:r>
    </w:p>
    <w:p w14:paraId="50E76AB4" w14:textId="77777777" w:rsidR="00F22A31" w:rsidRP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Your </w:t>
      </w:r>
      <w:hyperlink r:id="rId4" w:tooltip="Evaluation" w:history="1">
        <w:r w:rsidRPr="00F22A31">
          <w:rPr>
            <w:rFonts w:ascii="Arial" w:eastAsia="Times New Roman" w:hAnsi="Arial" w:cs="Arial"/>
            <w:color w:val="222222"/>
            <w:sz w:val="27"/>
            <w:szCs w:val="27"/>
            <w:u w:val="single"/>
            <w:lang w:eastAsia="en-AU"/>
          </w:rPr>
          <w:t>evaluation of sources</w:t>
        </w:r>
      </w:hyperlink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 should ultimately be seamlessly incorporated into your academic writing. Since your evaluation of sources is based upon what you found in your </w:t>
      </w:r>
      <w:hyperlink r:id="rId5" w:tooltip="Analysis" w:history="1">
        <w:r w:rsidRPr="00F22A31">
          <w:rPr>
            <w:rFonts w:ascii="Arial" w:eastAsia="Times New Roman" w:hAnsi="Arial" w:cs="Arial"/>
            <w:color w:val="222222"/>
            <w:sz w:val="27"/>
            <w:szCs w:val="27"/>
            <w:u w:val="single"/>
            <w:lang w:eastAsia="en-AU"/>
          </w:rPr>
          <w:t>analysis</w:t>
        </w:r>
      </w:hyperlink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, a number of analytical and evaluation skills should appear in each paragraph you write, alongside </w:t>
      </w:r>
      <w:hyperlink r:id="rId6" w:tooltip="Quoting" w:history="1">
        <w:r w:rsidRPr="00F22A31">
          <w:rPr>
            <w:rFonts w:ascii="Arial" w:eastAsia="Times New Roman" w:hAnsi="Arial" w:cs="Arial"/>
            <w:color w:val="222222"/>
            <w:sz w:val="27"/>
            <w:szCs w:val="27"/>
            <w:u w:val="single"/>
            <w:lang w:eastAsia="en-AU"/>
          </w:rPr>
          <w:t>quotes from sources</w:t>
        </w:r>
      </w:hyperlink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.</w:t>
      </w:r>
    </w:p>
    <w:p w14:paraId="58F562B7" w14:textId="77777777" w:rsidR="00F22A31" w:rsidRP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 </w:t>
      </w:r>
    </w:p>
    <w:p w14:paraId="58D8F2D3" w14:textId="77777777" w:rsidR="00F22A31" w:rsidRP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A simple way to do this is to introduce a quote by using some analysis or evaluation:</w:t>
      </w:r>
    </w:p>
    <w:p w14:paraId="15E87B85" w14:textId="77777777" w:rsidR="00F22A31" w:rsidRPr="00F22A31" w:rsidRDefault="00F22A31" w:rsidP="00F22A3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 </w:t>
      </w:r>
    </w:p>
    <w:p w14:paraId="12D76241" w14:textId="77777777" w:rsidR="00F22A31" w:rsidRPr="00F22A31" w:rsidRDefault="00F22A31" w:rsidP="00F22A3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noProof/>
          <w:color w:val="000000"/>
          <w:sz w:val="24"/>
          <w:szCs w:val="24"/>
          <w:lang w:eastAsia="en-AU"/>
        </w:rPr>
        <w:drawing>
          <wp:inline distT="0" distB="0" distL="0" distR="0" wp14:anchorId="32501565" wp14:editId="016487C0">
            <wp:extent cx="6732533" cy="2405712"/>
            <wp:effectExtent l="0" t="0" r="0" b="0"/>
            <wp:docPr id="2" name="cc-m-imagesubtitle-image-10455643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m-imagesubtitle-image-104556434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206" cy="241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0F48" w14:textId="77777777" w:rsidR="00F22A31" w:rsidRPr="00F22A31" w:rsidRDefault="00F22A31" w:rsidP="00F22A3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noProof/>
          <w:color w:val="000000"/>
          <w:sz w:val="24"/>
          <w:szCs w:val="24"/>
          <w:lang w:eastAsia="en-AU"/>
        </w:rPr>
        <w:drawing>
          <wp:inline distT="0" distB="0" distL="0" distR="0" wp14:anchorId="64749A57" wp14:editId="2ABFE422">
            <wp:extent cx="6716767" cy="2226836"/>
            <wp:effectExtent l="0" t="0" r="8255" b="2540"/>
            <wp:docPr id="3" name="cc-m-imagesubtitle-image-1045565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m-imagesubtitle-image-10455655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656" cy="223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43BC9" w14:textId="77777777" w:rsidR="00F22A31" w:rsidRP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However, it is not always necessary to incorporate a quote into your analysis and evaluation of a source. This is especially true when you can interpret the overall theme or message of a source. In this manner, you can demonstrate analysis and evaluation without relying on a direct quote.</w:t>
      </w:r>
    </w:p>
    <w:p w14:paraId="074666F7" w14:textId="77777777" w:rsidR="00F22A31" w:rsidRP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</w:p>
    <w:p w14:paraId="32E8B626" w14:textId="77777777" w:rsidR="00F22A31" w:rsidRPr="00F22A31" w:rsidRDefault="00F22A31" w:rsidP="00F22A3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noProof/>
          <w:color w:val="000000"/>
          <w:sz w:val="24"/>
          <w:szCs w:val="24"/>
          <w:lang w:eastAsia="en-AU"/>
        </w:rPr>
        <w:lastRenderedPageBreak/>
        <w:drawing>
          <wp:inline distT="0" distB="0" distL="0" distR="0" wp14:anchorId="272E3FD0" wp14:editId="35DFF7E1">
            <wp:extent cx="6527581" cy="2164114"/>
            <wp:effectExtent l="0" t="0" r="6985" b="7620"/>
            <wp:docPr id="4" name="cc-m-imagesubtitle-image-10455658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m-imagesubtitle-image-104556582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330" cy="21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8DEC" w14:textId="77777777" w:rsidR="00F22A31" w:rsidRPr="00F22A31" w:rsidRDefault="00F22A31" w:rsidP="00F22A3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Below is an example body paragraph from an essay, showing the range of analysis and evaluation skills:</w:t>
      </w:r>
    </w:p>
    <w:p w14:paraId="3E716077" w14:textId="77777777" w:rsidR="00F22A31" w:rsidRPr="00F22A31" w:rsidRDefault="00F22A31" w:rsidP="00F22A3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A31" w:rsidRPr="00F22A31" w14:paraId="5C8C88CC" w14:textId="77777777" w:rsidTr="00F22A31">
        <w:trPr>
          <w:tblCellSpacing w:w="0" w:type="dxa"/>
        </w:trPr>
        <w:tc>
          <w:tcPr>
            <w:tcW w:w="0" w:type="auto"/>
            <w:shd w:val="clear" w:color="auto" w:fill="CCCCCC"/>
            <w:vAlign w:val="center"/>
            <w:hideMark/>
          </w:tcPr>
          <w:p w14:paraId="1E8E84E2" w14:textId="77777777" w:rsidR="00F22A31" w:rsidRPr="00F22A31" w:rsidRDefault="00F22A31" w:rsidP="00F22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F22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Example body paragraph:</w:t>
            </w:r>
          </w:p>
        </w:tc>
      </w:tr>
    </w:tbl>
    <w:p w14:paraId="1668EAE1" w14:textId="6C3547B4" w:rsid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30"/>
          <w:szCs w:val="30"/>
          <w:lang w:eastAsia="en-AU"/>
        </w:rPr>
      </w:pP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 xml:space="preserve">Martin Luther King Jr. considered the 1963 Birmingham Campaign a necessity because of the harsh treatment of the </w:t>
      </w:r>
      <w:proofErr w:type="gramStart"/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African-American</w:t>
      </w:r>
      <w:proofErr w:type="gramEnd"/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 xml:space="preserve"> community. In mid-1962, King and other officials from the SCLC conceived ‘Project C’, which used the non-violent protest strategies of sit-ins, boycotts and daily marches, to draw public attention to the heavy-handed, and often violent, responses by the police.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C000"/>
          <w:lang w:eastAsia="en-AU"/>
        </w:rPr>
        <w:t>King’s justifications for this approach are explained in a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00B0F0"/>
          <w:lang w:eastAsia="en-AU"/>
        </w:rPr>
        <w:t>telegram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which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FF00"/>
          <w:lang w:eastAsia="en-AU"/>
        </w:rPr>
        <w:t>he sent to President Kennedy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in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0000"/>
          <w:lang w:eastAsia="en-AU"/>
        </w:rPr>
        <w:t>1962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, in which he stated that a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C000"/>
          <w:lang w:eastAsia="en-AU"/>
        </w:rPr>
        <w:t>“reign of terror is still alive in Birmingham Alabama [and] it is by far the worst big city in race relations in the United States”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(King, 1962, 1).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C000"/>
          <w:lang w:eastAsia="en-AU"/>
        </w:rPr>
        <w:t>His reasons are explained further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0000"/>
          <w:lang w:eastAsia="en-AU"/>
        </w:rPr>
        <w:t>the following year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,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00B0F0"/>
          <w:lang w:eastAsia="en-AU"/>
        </w:rPr>
        <w:t>in a letter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which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0000"/>
          <w:lang w:eastAsia="en-AU"/>
        </w:rPr>
        <w:t>King wrote while in jail in Birmingham following his arrest for taking part in the protests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. In it,</w:t>
      </w:r>
      <w:r w:rsidRPr="00F22A31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the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92D050"/>
          <w:lang w:eastAsia="en-AU"/>
        </w:rPr>
        <w:t>civil rights leader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C000"/>
          <w:lang w:eastAsia="en-AU"/>
        </w:rPr>
        <w:t xml:space="preserve">argued that the protests were necessary since the city authorities left the </w:t>
      </w:r>
      <w:proofErr w:type="gramStart"/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C000"/>
          <w:lang w:eastAsia="en-AU"/>
        </w:rPr>
        <w:t>African-American</w:t>
      </w:r>
      <w:proofErr w:type="gramEnd"/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C000"/>
          <w:lang w:eastAsia="en-AU"/>
        </w:rPr>
        <w:t xml:space="preserve"> community with no alternative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 (King, 1963, 2). As this document was </w:t>
      </w:r>
      <w:r w:rsidRPr="00F22A31">
        <w:rPr>
          <w:rFonts w:ascii="Arial" w:eastAsia="Times New Roman" w:hAnsi="Arial" w:cs="Arial"/>
          <w:color w:val="000000"/>
          <w:sz w:val="30"/>
          <w:szCs w:val="30"/>
          <w:shd w:val="clear" w:color="auto" w:fill="FF66FF"/>
          <w:lang w:eastAsia="en-AU"/>
        </w:rPr>
        <w:t>written with the expressed purpose of explaining the causes of the Birmingham Campaign</w:t>
      </w:r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 xml:space="preserve">, it is a particularly reliable record of King’s justifications for the event. As is clearly seen in these two sources, both written by King himself, he saw Project C as a vital step in gaining full rights for the citizens of the city. Therefore, King was convinced that the 1963 Birmingham Campaign was a direct result of the unjust treatment suffered by the </w:t>
      </w:r>
      <w:proofErr w:type="gramStart"/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>African-Americans</w:t>
      </w:r>
      <w:proofErr w:type="gramEnd"/>
      <w:r w:rsidRPr="00F22A31">
        <w:rPr>
          <w:rFonts w:ascii="Arial" w:eastAsia="Times New Roman" w:hAnsi="Arial" w:cs="Arial"/>
          <w:color w:val="000000"/>
          <w:sz w:val="30"/>
          <w:szCs w:val="30"/>
          <w:lang w:eastAsia="en-AU"/>
        </w:rPr>
        <w:t xml:space="preserve"> in Birmingham.</w:t>
      </w:r>
    </w:p>
    <w:p w14:paraId="530CC3D8" w14:textId="2BC20E43" w:rsid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30"/>
          <w:szCs w:val="30"/>
          <w:lang w:eastAsia="en-AU"/>
        </w:rPr>
      </w:pP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466"/>
      </w:tblGrid>
      <w:tr w:rsidR="00F22A31" w:rsidRPr="00F22A31" w14:paraId="383607E5" w14:textId="77777777" w:rsidTr="00F22A31">
        <w:trPr>
          <w:tblCellSpacing w:w="0" w:type="dxa"/>
        </w:trPr>
        <w:tc>
          <w:tcPr>
            <w:tcW w:w="0" w:type="auto"/>
            <w:shd w:val="clear" w:color="auto" w:fill="CCCCCC"/>
            <w:vAlign w:val="center"/>
            <w:hideMark/>
          </w:tcPr>
          <w:p w14:paraId="27A9CD4F" w14:textId="77777777" w:rsidR="00F22A31" w:rsidRPr="00F22A31" w:rsidRDefault="00F22A31" w:rsidP="00F22A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F22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Colour key:</w:t>
            </w:r>
          </w:p>
        </w:tc>
      </w:tr>
    </w:tbl>
    <w:p w14:paraId="0BD9BEE0" w14:textId="77777777" w:rsidR="00F22A31" w:rsidRPr="00F22A31" w:rsidRDefault="00F22A31" w:rsidP="00F22A31">
      <w:pPr>
        <w:shd w:val="clear" w:color="auto" w:fill="FFC000"/>
        <w:spacing w:after="0" w:line="360" w:lineRule="atLeast"/>
        <w:ind w:left="58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Calibri" w:eastAsia="Times New Roman" w:hAnsi="Calibri" w:cs="Calibri"/>
          <w:color w:val="000000"/>
          <w:sz w:val="30"/>
          <w:szCs w:val="30"/>
          <w:lang w:eastAsia="en-AU"/>
        </w:rPr>
        <w:t>Information</w:t>
      </w:r>
    </w:p>
    <w:p w14:paraId="3B7C5351" w14:textId="77777777" w:rsidR="00F22A31" w:rsidRPr="00F22A31" w:rsidRDefault="00F22A31" w:rsidP="00F22A31">
      <w:pPr>
        <w:shd w:val="clear" w:color="auto" w:fill="00B0F0"/>
        <w:spacing w:after="0" w:line="360" w:lineRule="atLeast"/>
        <w:ind w:left="58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Calibri" w:eastAsia="Times New Roman" w:hAnsi="Calibri" w:cs="Calibri"/>
          <w:color w:val="000000"/>
          <w:sz w:val="30"/>
          <w:szCs w:val="30"/>
          <w:lang w:eastAsia="en-AU"/>
        </w:rPr>
        <w:t>Origin</w:t>
      </w:r>
    </w:p>
    <w:p w14:paraId="2B953041" w14:textId="77777777" w:rsidR="00F22A31" w:rsidRPr="00F22A31" w:rsidRDefault="00F22A31" w:rsidP="00F22A31">
      <w:pPr>
        <w:shd w:val="clear" w:color="auto" w:fill="92D050"/>
        <w:spacing w:after="0" w:line="360" w:lineRule="atLeast"/>
        <w:ind w:left="58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Calibri" w:eastAsia="Times New Roman" w:hAnsi="Calibri" w:cs="Calibri"/>
          <w:color w:val="000000"/>
          <w:sz w:val="30"/>
          <w:szCs w:val="30"/>
          <w:lang w:eastAsia="en-AU"/>
        </w:rPr>
        <w:t>Perspective</w:t>
      </w:r>
    </w:p>
    <w:p w14:paraId="156901B0" w14:textId="77777777" w:rsidR="00F22A31" w:rsidRPr="00F22A31" w:rsidRDefault="00F22A31" w:rsidP="00F22A31">
      <w:pPr>
        <w:shd w:val="clear" w:color="auto" w:fill="FF0000"/>
        <w:spacing w:after="0" w:line="360" w:lineRule="atLeast"/>
        <w:ind w:left="58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Calibri" w:eastAsia="Times New Roman" w:hAnsi="Calibri" w:cs="Calibri"/>
          <w:color w:val="000000"/>
          <w:sz w:val="30"/>
          <w:szCs w:val="30"/>
          <w:lang w:eastAsia="en-AU"/>
        </w:rPr>
        <w:t>Context</w:t>
      </w:r>
    </w:p>
    <w:p w14:paraId="787268C4" w14:textId="77777777" w:rsidR="00F22A31" w:rsidRPr="00F22A31" w:rsidRDefault="00F22A31" w:rsidP="00F22A31">
      <w:pPr>
        <w:shd w:val="clear" w:color="auto" w:fill="FFFF00"/>
        <w:spacing w:after="0" w:line="360" w:lineRule="atLeast"/>
        <w:ind w:left="58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Calibri" w:eastAsia="Times New Roman" w:hAnsi="Calibri" w:cs="Calibri"/>
          <w:color w:val="000000"/>
          <w:sz w:val="30"/>
          <w:szCs w:val="30"/>
          <w:lang w:eastAsia="en-AU"/>
        </w:rPr>
        <w:t>Audience</w:t>
      </w:r>
    </w:p>
    <w:p w14:paraId="582A315F" w14:textId="77777777" w:rsidR="00F22A31" w:rsidRPr="00F22A31" w:rsidRDefault="00F22A31" w:rsidP="00F22A31">
      <w:pPr>
        <w:shd w:val="clear" w:color="auto" w:fill="FF00FF"/>
        <w:spacing w:after="0" w:line="360" w:lineRule="atLeast"/>
        <w:ind w:left="58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22A31">
        <w:rPr>
          <w:rFonts w:ascii="Calibri" w:eastAsia="Times New Roman" w:hAnsi="Calibri" w:cs="Calibri"/>
          <w:color w:val="000000"/>
          <w:sz w:val="30"/>
          <w:szCs w:val="30"/>
          <w:lang w:eastAsia="en-AU"/>
        </w:rPr>
        <w:t>Motive</w:t>
      </w:r>
    </w:p>
    <w:p w14:paraId="4EA9DD2E" w14:textId="77777777" w:rsidR="00F22A31" w:rsidRPr="00F22A31" w:rsidRDefault="00F22A31" w:rsidP="00F22A31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bookmarkStart w:id="0" w:name="_GoBack"/>
      <w:bookmarkEnd w:id="0"/>
    </w:p>
    <w:p w14:paraId="52E9A4E1" w14:textId="77777777" w:rsidR="00C362D2" w:rsidRDefault="00C362D2"/>
    <w:sectPr w:rsidR="00C362D2" w:rsidSect="00F22A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31"/>
    <w:rsid w:val="00C362D2"/>
    <w:rsid w:val="00F2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3451"/>
  <w15:chartTrackingRefBased/>
  <w15:docId w15:val="{7E1F24A1-438B-404E-A7AA-9C0D4930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7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istoryskills.com/quot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istoryskills.com/source-criticism/analysi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historyskills.com/source-criticism/evaluation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Natasha Hawkes</cp:lastModifiedBy>
  <cp:revision>1</cp:revision>
  <dcterms:created xsi:type="dcterms:W3CDTF">2019-09-01T02:02:00Z</dcterms:created>
  <dcterms:modified xsi:type="dcterms:W3CDTF">2019-09-01T02:05:00Z</dcterms:modified>
</cp:coreProperties>
</file>