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BC9" w:rsidRDefault="00C63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704"/>
        <w:gridCol w:w="2564"/>
        <w:gridCol w:w="2565"/>
        <w:gridCol w:w="2565"/>
        <w:gridCol w:w="2565"/>
        <w:gridCol w:w="2565"/>
      </w:tblGrid>
      <w:tr w:rsidR="00430543" w:rsidTr="00430543">
        <w:tc>
          <w:tcPr>
            <w:tcW w:w="1860" w:type="dxa"/>
          </w:tcPr>
          <w:p w:rsidR="00430543" w:rsidRDefault="00430543" w:rsidP="00430543"/>
        </w:tc>
        <w:tc>
          <w:tcPr>
            <w:tcW w:w="704" w:type="dxa"/>
          </w:tcPr>
          <w:p w:rsidR="00430543" w:rsidRDefault="00430543" w:rsidP="00430543"/>
        </w:tc>
        <w:tc>
          <w:tcPr>
            <w:tcW w:w="2564" w:type="dxa"/>
            <w:shd w:val="clear" w:color="auto" w:fill="00B5D1"/>
            <w:vAlign w:val="center"/>
          </w:tcPr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proofErr w:type="gramStart"/>
            <w:r w:rsidRPr="009F038A">
              <w:rPr>
                <w:rFonts w:cs="Arial"/>
                <w:b/>
                <w:sz w:val="24"/>
                <w:szCs w:val="24"/>
              </w:rPr>
              <w:t>A</w:t>
            </w:r>
            <w:r>
              <w:rPr>
                <w:rFonts w:cs="Arial"/>
                <w:b/>
                <w:sz w:val="24"/>
                <w:szCs w:val="24"/>
              </w:rPr>
              <w:t xml:space="preserve">  85</w:t>
            </w:r>
            <w:proofErr w:type="gramEnd"/>
            <w:r>
              <w:rPr>
                <w:rFonts w:cs="Arial"/>
                <w:b/>
                <w:sz w:val="24"/>
                <w:szCs w:val="24"/>
              </w:rPr>
              <w:t>-100</w:t>
            </w:r>
          </w:p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</w:rPr>
              <w:t>Excellent achievement</w:t>
            </w:r>
          </w:p>
        </w:tc>
        <w:tc>
          <w:tcPr>
            <w:tcW w:w="2565" w:type="dxa"/>
            <w:shd w:val="clear" w:color="auto" w:fill="00B5D1"/>
            <w:vAlign w:val="center"/>
          </w:tcPr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  <w:b/>
                <w:sz w:val="24"/>
                <w:szCs w:val="24"/>
              </w:rPr>
              <w:t>B</w:t>
            </w:r>
            <w:r>
              <w:rPr>
                <w:rFonts w:cs="Arial"/>
                <w:b/>
                <w:sz w:val="24"/>
                <w:szCs w:val="24"/>
              </w:rPr>
              <w:t xml:space="preserve"> 65-84</w:t>
            </w:r>
          </w:p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</w:rPr>
              <w:t>High achievement</w:t>
            </w:r>
          </w:p>
        </w:tc>
        <w:tc>
          <w:tcPr>
            <w:tcW w:w="2565" w:type="dxa"/>
            <w:shd w:val="clear" w:color="auto" w:fill="00B5D1"/>
            <w:vAlign w:val="center"/>
          </w:tcPr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  <w:b/>
                <w:sz w:val="24"/>
                <w:szCs w:val="24"/>
              </w:rPr>
              <w:t>C</w:t>
            </w:r>
            <w:r>
              <w:rPr>
                <w:rFonts w:cs="Arial"/>
                <w:b/>
                <w:sz w:val="24"/>
                <w:szCs w:val="24"/>
              </w:rPr>
              <w:t xml:space="preserve"> 49-64</w:t>
            </w:r>
          </w:p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w w:val="90"/>
                <w:sz w:val="24"/>
                <w:szCs w:val="24"/>
              </w:rPr>
            </w:pPr>
            <w:r w:rsidRPr="007D7788">
              <w:rPr>
                <w:rFonts w:cs="Arial"/>
              </w:rPr>
              <w:t>Satisfactory achievement</w:t>
            </w:r>
          </w:p>
        </w:tc>
        <w:tc>
          <w:tcPr>
            <w:tcW w:w="2565" w:type="dxa"/>
            <w:shd w:val="clear" w:color="auto" w:fill="00B5D1"/>
            <w:vAlign w:val="center"/>
          </w:tcPr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  <w:b/>
                <w:sz w:val="24"/>
                <w:szCs w:val="24"/>
              </w:rPr>
              <w:t>D</w:t>
            </w:r>
            <w:r>
              <w:rPr>
                <w:rFonts w:cs="Arial"/>
                <w:b/>
                <w:sz w:val="24"/>
                <w:szCs w:val="24"/>
              </w:rPr>
              <w:t xml:space="preserve"> 30-48</w:t>
            </w:r>
          </w:p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</w:rPr>
              <w:t>Limited achievement</w:t>
            </w:r>
          </w:p>
        </w:tc>
        <w:tc>
          <w:tcPr>
            <w:tcW w:w="2565" w:type="dxa"/>
            <w:shd w:val="clear" w:color="auto" w:fill="00B5D1"/>
            <w:vAlign w:val="center"/>
          </w:tcPr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  <w:b/>
                <w:sz w:val="24"/>
                <w:szCs w:val="24"/>
              </w:rPr>
              <w:t>E</w:t>
            </w:r>
            <w:r>
              <w:rPr>
                <w:rFonts w:cs="Arial"/>
                <w:b/>
                <w:sz w:val="24"/>
                <w:szCs w:val="24"/>
              </w:rPr>
              <w:t xml:space="preserve"> 1-29</w:t>
            </w:r>
          </w:p>
          <w:p w:rsidR="00430543" w:rsidRPr="009F038A" w:rsidRDefault="00430543" w:rsidP="00430543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9F038A">
              <w:rPr>
                <w:rFonts w:cs="Arial"/>
              </w:rPr>
              <w:t>Very low achievement</w:t>
            </w:r>
          </w:p>
        </w:tc>
      </w:tr>
      <w:tr w:rsidR="00430543" w:rsidTr="00430543">
        <w:tc>
          <w:tcPr>
            <w:tcW w:w="1860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rFonts w:eastAsia="Times New Roman" w:cs="Arial"/>
                <w:sz w:val="20"/>
                <w:szCs w:val="20"/>
                <w:lang w:eastAsia="en-AU"/>
              </w:rPr>
              <w:t>Text structure</w:t>
            </w:r>
          </w:p>
        </w:tc>
        <w:tc>
          <w:tcPr>
            <w:tcW w:w="70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</w:p>
        </w:tc>
        <w:tc>
          <w:tcPr>
            <w:tcW w:w="256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Creates an engaging, entertaining or thought-provoking text by drawing on a wide selection of appropriate language features and experimenting with the use of more complex or innovative language features, where appropriate.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keepNext/>
              <w:keepLines/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Creates an effective text by drawing on a variety of appropriate language features to convey different levels of meaning.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keepNext/>
              <w:keepLines/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Creates a text with a variety of language features to make meaning in a text.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keepNext/>
              <w:keepLines/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Creates a text which includes a small selection of appropriate language features.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Does not meet the requirements of a D grade.</w:t>
            </w:r>
          </w:p>
        </w:tc>
      </w:tr>
      <w:tr w:rsidR="00430543" w:rsidTr="00430543">
        <w:tc>
          <w:tcPr>
            <w:tcW w:w="1860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</w:p>
        </w:tc>
        <w:tc>
          <w:tcPr>
            <w:tcW w:w="70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</w:p>
        </w:tc>
        <w:tc>
          <w:tcPr>
            <w:tcW w:w="256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Effectively employs a range of creative elements in a narrative to engage readers and influence their response; for example, internal monologue to develop character.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 xml:space="preserve">Employs a range of creative elements in a narrative to engage an audience; for example, through an </w:t>
            </w:r>
            <w:r w:rsidRPr="00430543">
              <w:rPr>
                <w:sz w:val="20"/>
                <w:szCs w:val="20"/>
              </w:rPr>
              <w:br/>
              <w:t>attention-grabbing introduction.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Employs creative elements in a narrative, with some inconsistency; for example, an abrupt resolution or partially developed characters.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Creates one-dimensional characters in a narrative. Relies on simple dialogue to advance the plot.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</w:p>
        </w:tc>
      </w:tr>
      <w:tr w:rsidR="00430543" w:rsidTr="00430543">
        <w:tc>
          <w:tcPr>
            <w:tcW w:w="1860" w:type="dxa"/>
            <w:shd w:val="clear" w:color="auto" w:fill="00B5D1"/>
          </w:tcPr>
          <w:p w:rsidR="00430543" w:rsidRPr="00430543" w:rsidRDefault="00430543" w:rsidP="00430543">
            <w:pPr>
              <w:spacing w:after="60"/>
              <w:rPr>
                <w:rFonts w:eastAsia="Times New Roman" w:cs="Arial"/>
                <w:sz w:val="20"/>
                <w:szCs w:val="20"/>
                <w:lang w:eastAsia="en-AU"/>
              </w:rPr>
            </w:pPr>
            <w:r w:rsidRPr="00430543">
              <w:rPr>
                <w:rFonts w:eastAsia="Times New Roman" w:cs="Arial"/>
                <w:sz w:val="20"/>
                <w:szCs w:val="20"/>
                <w:lang w:eastAsia="en-AU"/>
              </w:rPr>
              <w:t>Language features</w:t>
            </w:r>
          </w:p>
        </w:tc>
        <w:tc>
          <w:tcPr>
            <w:tcW w:w="704" w:type="dxa"/>
            <w:shd w:val="clear" w:color="auto" w:fill="00B5D1"/>
          </w:tcPr>
          <w:p w:rsidR="00430543" w:rsidRPr="00430543" w:rsidRDefault="00430543" w:rsidP="00430543">
            <w:pPr>
              <w:spacing w:after="60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</w:tc>
        <w:tc>
          <w:tcPr>
            <w:tcW w:w="256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Makes effective language choices and uses literary terminology appropriately.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Makes appropriate language choices and integrates literary terms correctly.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Makes conventional language choices and uses familiar literary terms.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Uses mostly simple language and some colloquial expressions that may be inappropriate for the task.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Does not meet the requirements of a D grade.</w:t>
            </w:r>
          </w:p>
        </w:tc>
      </w:tr>
      <w:tr w:rsidR="00430543" w:rsidTr="00430543">
        <w:tc>
          <w:tcPr>
            <w:tcW w:w="1860" w:type="dxa"/>
            <w:shd w:val="clear" w:color="auto" w:fill="00B5D1"/>
          </w:tcPr>
          <w:p w:rsidR="00430543" w:rsidRPr="00430543" w:rsidRDefault="00430543" w:rsidP="00430543">
            <w:pPr>
              <w:spacing w:after="60"/>
              <w:rPr>
                <w:rFonts w:eastAsia="Times New Roman" w:cs="Arial"/>
                <w:sz w:val="20"/>
                <w:szCs w:val="20"/>
                <w:lang w:eastAsia="en-AU"/>
              </w:rPr>
            </w:pPr>
            <w:r w:rsidRPr="00430543">
              <w:rPr>
                <w:rFonts w:eastAsia="Times New Roman" w:cs="Arial"/>
                <w:sz w:val="20"/>
                <w:szCs w:val="20"/>
                <w:lang w:eastAsia="en-AU"/>
              </w:rPr>
              <w:t>Spelling and punctuation</w:t>
            </w:r>
          </w:p>
        </w:tc>
        <w:tc>
          <w:tcPr>
            <w:tcW w:w="704" w:type="dxa"/>
            <w:shd w:val="clear" w:color="auto" w:fill="00B5D1"/>
          </w:tcPr>
          <w:p w:rsidR="00430543" w:rsidRPr="00430543" w:rsidRDefault="00430543" w:rsidP="00430543">
            <w:pPr>
              <w:spacing w:after="60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</w:tc>
        <w:tc>
          <w:tcPr>
            <w:tcW w:w="256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Spells familiar and most challenging words accurately, and makes some effective uses of creative spelling for particular effects where appropriate.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Uses accurate spelling for familiar and some challenging words, and experiments with creative spelling for particular effects where appropriate.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Spells common and familiar words accurately.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Misspells some familiar words.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Does not meet the requirements of a D grade.</w:t>
            </w:r>
          </w:p>
        </w:tc>
      </w:tr>
      <w:tr w:rsidR="00430543" w:rsidTr="00430543">
        <w:tc>
          <w:tcPr>
            <w:tcW w:w="1860" w:type="dxa"/>
            <w:shd w:val="clear" w:color="auto" w:fill="00B5D1"/>
          </w:tcPr>
          <w:p w:rsidR="00430543" w:rsidRPr="00430543" w:rsidRDefault="00430543" w:rsidP="00430543">
            <w:pPr>
              <w:spacing w:after="60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</w:tc>
        <w:tc>
          <w:tcPr>
            <w:tcW w:w="704" w:type="dxa"/>
            <w:shd w:val="clear" w:color="auto" w:fill="00B5D1"/>
          </w:tcPr>
          <w:p w:rsidR="00430543" w:rsidRPr="00430543" w:rsidRDefault="00430543" w:rsidP="00430543">
            <w:pPr>
              <w:spacing w:after="60"/>
              <w:rPr>
                <w:rFonts w:eastAsia="Times New Roman" w:cs="Arial"/>
                <w:sz w:val="20"/>
                <w:szCs w:val="20"/>
                <w:lang w:eastAsia="en-AU"/>
              </w:rPr>
            </w:pPr>
          </w:p>
        </w:tc>
        <w:tc>
          <w:tcPr>
            <w:tcW w:w="2564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Uses punctuation with a high degree of accuracy; for example, correctly punctuating a range of complex sentences to enhance clarity.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Uses most complex punctuation correctly and experiments with using punctuation for particular effect.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Uses most common, and some complex, punctuation accurately.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  <w:r w:rsidRPr="00430543">
              <w:rPr>
                <w:sz w:val="20"/>
                <w:szCs w:val="20"/>
              </w:rPr>
              <w:t>Uses correct punctuation inconsistently.</w:t>
            </w:r>
          </w:p>
        </w:tc>
        <w:tc>
          <w:tcPr>
            <w:tcW w:w="2565" w:type="dxa"/>
          </w:tcPr>
          <w:p w:rsidR="00430543" w:rsidRPr="00430543" w:rsidRDefault="00430543" w:rsidP="00430543">
            <w:pPr>
              <w:rPr>
                <w:sz w:val="20"/>
                <w:szCs w:val="20"/>
              </w:rPr>
            </w:pPr>
          </w:p>
        </w:tc>
      </w:tr>
      <w:tr w:rsidR="00430543" w:rsidTr="00430543">
        <w:tc>
          <w:tcPr>
            <w:tcW w:w="2564" w:type="dxa"/>
            <w:gridSpan w:val="2"/>
          </w:tcPr>
          <w:p w:rsidR="00430543" w:rsidRDefault="00430543">
            <w:bookmarkStart w:id="0" w:name="_GoBack"/>
            <w:bookmarkEnd w:id="0"/>
          </w:p>
        </w:tc>
        <w:tc>
          <w:tcPr>
            <w:tcW w:w="2564" w:type="dxa"/>
          </w:tcPr>
          <w:p w:rsidR="00430543" w:rsidRDefault="00430543"/>
          <w:p w:rsidR="00430543" w:rsidRDefault="00430543"/>
          <w:p w:rsidR="00430543" w:rsidRDefault="00430543"/>
          <w:p w:rsidR="00430543" w:rsidRDefault="00430543"/>
        </w:tc>
        <w:tc>
          <w:tcPr>
            <w:tcW w:w="2565" w:type="dxa"/>
          </w:tcPr>
          <w:p w:rsidR="00430543" w:rsidRDefault="00430543"/>
        </w:tc>
        <w:tc>
          <w:tcPr>
            <w:tcW w:w="2565" w:type="dxa"/>
          </w:tcPr>
          <w:p w:rsidR="00430543" w:rsidRDefault="00430543"/>
        </w:tc>
        <w:tc>
          <w:tcPr>
            <w:tcW w:w="2565" w:type="dxa"/>
          </w:tcPr>
          <w:p w:rsidR="00430543" w:rsidRDefault="00430543"/>
        </w:tc>
        <w:tc>
          <w:tcPr>
            <w:tcW w:w="2565" w:type="dxa"/>
          </w:tcPr>
          <w:p w:rsidR="00430543" w:rsidRDefault="00430543"/>
        </w:tc>
      </w:tr>
    </w:tbl>
    <w:p w:rsidR="00430543" w:rsidRDefault="00430543"/>
    <w:sectPr w:rsidR="00430543" w:rsidSect="0043054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543"/>
    <w:rsid w:val="00430543"/>
    <w:rsid w:val="00C6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DB92"/>
  <w15:chartTrackingRefBased/>
  <w15:docId w15:val="{95CCE0B4-8D32-43D8-91BF-3145D473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05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CDA01922</Template>
  <TotalTime>8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JASKIEWICZ Tania [Narrogin Senior High School]</dc:creator>
  <cp:keywords/>
  <dc:description/>
  <cp:lastModifiedBy>JASKIEWICZ Tania [Narrogin Senior High School]</cp:lastModifiedBy>
  <cp:revision>1</cp:revision>
  <cp:lastPrinted>2019-10-16T09:36:00Z</cp:lastPrinted>
  <dcterms:created xsi:type="dcterms:W3CDTF">2019-10-16T09:29:00Z</dcterms:created>
  <dcterms:modified xsi:type="dcterms:W3CDTF">2019-10-16T09:37:00Z</dcterms:modified>
</cp:coreProperties>
</file>