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B8C" w:rsidRPr="00E86B8C" w:rsidRDefault="00E86B8C" w:rsidP="00E86B8C">
      <w:pPr>
        <w:spacing w:before="100" w:beforeAutospacing="1" w:after="100" w:afterAutospacing="1"/>
        <w:jc w:val="center"/>
        <w:outlineLvl w:val="0"/>
        <w:rPr>
          <w:rFonts w:ascii="Arial" w:eastAsia="Times New Roman" w:hAnsi="Arial" w:cs="Arial"/>
          <w:b/>
          <w:bCs/>
          <w:kern w:val="36"/>
          <w:sz w:val="32"/>
          <w:szCs w:val="32"/>
          <w:lang w:val="en"/>
        </w:rPr>
      </w:pPr>
      <w:r>
        <w:rPr>
          <w:rFonts w:ascii="Arial" w:eastAsia="Times New Roman" w:hAnsi="Arial" w:cs="Arial"/>
          <w:b/>
          <w:bCs/>
          <w:kern w:val="36"/>
          <w:sz w:val="32"/>
          <w:szCs w:val="32"/>
          <w:lang w:val="en"/>
        </w:rPr>
        <w:t xml:space="preserve">The </w:t>
      </w:r>
      <w:r w:rsidRPr="00E86B8C">
        <w:rPr>
          <w:rFonts w:ascii="Arial" w:eastAsia="Times New Roman" w:hAnsi="Arial" w:cs="Arial"/>
          <w:b/>
          <w:bCs/>
          <w:kern w:val="36"/>
          <w:sz w:val="32"/>
          <w:szCs w:val="32"/>
          <w:lang w:val="en"/>
        </w:rPr>
        <w:t>Great Famine of 1876–78</w:t>
      </w:r>
    </w:p>
    <w:p w:rsidR="00E86B8C" w:rsidRDefault="00E86B8C" w:rsidP="00E86B8C">
      <w:pPr>
        <w:spacing w:before="100" w:beforeAutospacing="1" w:after="100" w:afterAutospacing="1"/>
        <w:rPr>
          <w:rFonts w:ascii="Arial" w:hAnsi="Arial" w:cs="Arial"/>
        </w:rPr>
      </w:pPr>
      <w:r w:rsidRPr="00E86B8C">
        <w:rPr>
          <w:rFonts w:ascii="Arial" w:hAnsi="Arial" w:cs="Arial"/>
        </w:rPr>
        <w:t xml:space="preserve">The </w:t>
      </w:r>
      <w:r w:rsidRPr="00E86B8C">
        <w:rPr>
          <w:rFonts w:ascii="Arial" w:hAnsi="Arial" w:cs="Arial"/>
          <w:b/>
          <w:bCs/>
        </w:rPr>
        <w:t>Great Famine of 1876–78</w:t>
      </w:r>
      <w:r w:rsidRPr="00E86B8C">
        <w:rPr>
          <w:rFonts w:ascii="Arial" w:hAnsi="Arial" w:cs="Arial"/>
        </w:rPr>
        <w:t xml:space="preserve"> (also </w:t>
      </w:r>
      <w:r>
        <w:rPr>
          <w:rFonts w:ascii="Arial" w:hAnsi="Arial" w:cs="Arial"/>
        </w:rPr>
        <w:t xml:space="preserve">called </w:t>
      </w:r>
      <w:r w:rsidRPr="00E86B8C">
        <w:rPr>
          <w:rFonts w:ascii="Arial" w:hAnsi="Arial" w:cs="Arial"/>
        </w:rPr>
        <w:t xml:space="preserve">the </w:t>
      </w:r>
      <w:r w:rsidRPr="00E86B8C">
        <w:rPr>
          <w:rFonts w:ascii="Arial" w:hAnsi="Arial" w:cs="Arial"/>
          <w:b/>
          <w:bCs/>
        </w:rPr>
        <w:t>Southern India famine of 1876–78</w:t>
      </w:r>
      <w:r w:rsidRPr="00E86B8C">
        <w:rPr>
          <w:rFonts w:ascii="Arial" w:hAnsi="Arial" w:cs="Arial"/>
        </w:rPr>
        <w:t xml:space="preserve"> or the </w:t>
      </w:r>
      <w:r w:rsidRPr="00E86B8C">
        <w:rPr>
          <w:rFonts w:ascii="Arial" w:hAnsi="Arial" w:cs="Arial"/>
          <w:b/>
          <w:bCs/>
        </w:rPr>
        <w:t>Madras famine of 1877</w:t>
      </w:r>
      <w:r w:rsidRPr="00E86B8C">
        <w:rPr>
          <w:rFonts w:ascii="Arial" w:hAnsi="Arial" w:cs="Arial"/>
        </w:rPr>
        <w:t xml:space="preserve">) was a </w:t>
      </w:r>
      <w:hyperlink r:id="rId6" w:tooltip="Famine" w:history="1">
        <w:r w:rsidRPr="00E86B8C">
          <w:rPr>
            <w:rFonts w:ascii="Arial" w:hAnsi="Arial" w:cs="Arial"/>
          </w:rPr>
          <w:t>famine</w:t>
        </w:r>
      </w:hyperlink>
      <w:r w:rsidRPr="00E86B8C">
        <w:rPr>
          <w:rFonts w:ascii="Arial" w:hAnsi="Arial" w:cs="Arial"/>
        </w:rPr>
        <w:t xml:space="preserve"> in India that began in 1876 and affected </w:t>
      </w:r>
      <w:hyperlink r:id="rId7" w:tooltip="South India" w:history="1">
        <w:r w:rsidRPr="00E86B8C">
          <w:rPr>
            <w:rFonts w:ascii="Arial" w:hAnsi="Arial" w:cs="Arial"/>
          </w:rPr>
          <w:t>south</w:t>
        </w:r>
      </w:hyperlink>
      <w:r w:rsidRPr="00E86B8C">
        <w:rPr>
          <w:rFonts w:ascii="Arial" w:hAnsi="Arial" w:cs="Arial"/>
        </w:rPr>
        <w:t xml:space="preserve"> and </w:t>
      </w:r>
      <w:hyperlink r:id="rId8" w:tooltip="West India" w:history="1">
        <w:r w:rsidRPr="00E86B8C">
          <w:rPr>
            <w:rFonts w:ascii="Arial" w:hAnsi="Arial" w:cs="Arial"/>
          </w:rPr>
          <w:t>south</w:t>
        </w:r>
        <w:r>
          <w:rPr>
            <w:rFonts w:ascii="Arial" w:hAnsi="Arial" w:cs="Arial"/>
          </w:rPr>
          <w:t>-</w:t>
        </w:r>
        <w:r w:rsidRPr="00E86B8C">
          <w:rPr>
            <w:rFonts w:ascii="Arial" w:hAnsi="Arial" w:cs="Arial"/>
          </w:rPr>
          <w:t>w</w:t>
        </w:r>
        <w:r w:rsidRPr="00E86B8C">
          <w:rPr>
            <w:rFonts w:ascii="Arial" w:hAnsi="Arial" w:cs="Arial"/>
          </w:rPr>
          <w:t>estern India</w:t>
        </w:r>
      </w:hyperlink>
      <w:r w:rsidRPr="00E86B8C">
        <w:rPr>
          <w:rFonts w:ascii="Arial" w:hAnsi="Arial" w:cs="Arial"/>
        </w:rPr>
        <w:t xml:space="preserve"> (</w:t>
      </w:r>
      <w:hyperlink r:id="rId9" w:tooltip="Madras Presidency" w:history="1">
        <w:r w:rsidRPr="00E86B8C">
          <w:rPr>
            <w:rFonts w:ascii="Arial" w:hAnsi="Arial" w:cs="Arial"/>
          </w:rPr>
          <w:t>Madras</w:t>
        </w:r>
      </w:hyperlink>
      <w:r w:rsidRPr="00E86B8C">
        <w:rPr>
          <w:rFonts w:ascii="Arial" w:hAnsi="Arial" w:cs="Arial"/>
        </w:rPr>
        <w:t xml:space="preserve">, </w:t>
      </w:r>
      <w:hyperlink r:id="rId10" w:tooltip="Kingdom of Mysore" w:history="1">
        <w:r w:rsidRPr="00E86B8C">
          <w:rPr>
            <w:rFonts w:ascii="Arial" w:hAnsi="Arial" w:cs="Arial"/>
          </w:rPr>
          <w:t>Mysore</w:t>
        </w:r>
      </w:hyperlink>
      <w:r w:rsidRPr="00E86B8C">
        <w:rPr>
          <w:rFonts w:ascii="Arial" w:hAnsi="Arial" w:cs="Arial"/>
        </w:rPr>
        <w:t xml:space="preserve">, </w:t>
      </w:r>
      <w:hyperlink r:id="rId11" w:tooltip="Hyderabad State" w:history="1">
        <w:r w:rsidRPr="00E86B8C">
          <w:rPr>
            <w:rFonts w:ascii="Arial" w:hAnsi="Arial" w:cs="Arial"/>
          </w:rPr>
          <w:t>Hyderabad</w:t>
        </w:r>
      </w:hyperlink>
      <w:r w:rsidRPr="00E86B8C">
        <w:rPr>
          <w:rFonts w:ascii="Arial" w:hAnsi="Arial" w:cs="Arial"/>
        </w:rPr>
        <w:t xml:space="preserve">, and </w:t>
      </w:r>
      <w:hyperlink r:id="rId12" w:tooltip="Bombay Presidency" w:history="1">
        <w:r w:rsidRPr="00E86B8C">
          <w:rPr>
            <w:rFonts w:ascii="Arial" w:hAnsi="Arial" w:cs="Arial"/>
          </w:rPr>
          <w:t>Bombay</w:t>
        </w:r>
      </w:hyperlink>
      <w:r w:rsidRPr="00E86B8C">
        <w:rPr>
          <w:rFonts w:ascii="Arial" w:hAnsi="Arial" w:cs="Arial"/>
        </w:rPr>
        <w:t xml:space="preserve">) for a period of two years.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In its second year famine also spread </w:t>
      </w:r>
      <w:hyperlink r:id="rId13" w:tooltip="North India" w:history="1">
        <w:r w:rsidRPr="00E86B8C">
          <w:rPr>
            <w:rFonts w:ascii="Arial" w:hAnsi="Arial" w:cs="Arial"/>
          </w:rPr>
          <w:t>north</w:t>
        </w:r>
      </w:hyperlink>
      <w:r w:rsidRPr="00E86B8C">
        <w:rPr>
          <w:rFonts w:ascii="Arial" w:hAnsi="Arial" w:cs="Arial"/>
        </w:rPr>
        <w:t xml:space="preserve"> to some regions of the </w:t>
      </w:r>
      <w:hyperlink r:id="rId14" w:tooltip="Central Provinces" w:history="1">
        <w:r w:rsidRPr="00E86B8C">
          <w:rPr>
            <w:rFonts w:ascii="Arial" w:hAnsi="Arial" w:cs="Arial"/>
          </w:rPr>
          <w:t>Central Provinces</w:t>
        </w:r>
      </w:hyperlink>
      <w:r w:rsidRPr="00E86B8C">
        <w:rPr>
          <w:rFonts w:ascii="Arial" w:hAnsi="Arial" w:cs="Arial"/>
        </w:rPr>
        <w:t xml:space="preserve"> and the </w:t>
      </w:r>
      <w:hyperlink r:id="rId15" w:tooltip="North-Western Provinces" w:history="1">
        <w:r w:rsidRPr="00E86B8C">
          <w:rPr>
            <w:rFonts w:ascii="Arial" w:hAnsi="Arial" w:cs="Arial"/>
          </w:rPr>
          <w:t>North-Western Provinces</w:t>
        </w:r>
      </w:hyperlink>
      <w:r w:rsidRPr="00E86B8C">
        <w:rPr>
          <w:rFonts w:ascii="Arial" w:hAnsi="Arial" w:cs="Arial"/>
        </w:rPr>
        <w:t xml:space="preserve">, and to a small area in the </w:t>
      </w:r>
      <w:hyperlink r:id="rId16" w:tooltip="Punjab region" w:history="1">
        <w:r w:rsidRPr="00E86B8C">
          <w:rPr>
            <w:rFonts w:ascii="Arial" w:hAnsi="Arial" w:cs="Arial"/>
          </w:rPr>
          <w:t>Punjab</w:t>
        </w:r>
      </w:hyperlink>
      <w:r w:rsidRPr="00E86B8C">
        <w:rPr>
          <w:rFonts w:ascii="Arial" w:hAnsi="Arial" w:cs="Arial"/>
        </w:rPr>
        <w:t>. The famine ultimately covered an area of 257,000 square miles (670,000 km</w:t>
      </w:r>
      <w:r w:rsidRPr="00E86B8C">
        <w:rPr>
          <w:rFonts w:ascii="Arial" w:hAnsi="Arial" w:cs="Arial"/>
          <w:vertAlign w:val="superscript"/>
        </w:rPr>
        <w:t>2</w:t>
      </w:r>
      <w:r w:rsidRPr="00E86B8C">
        <w:rPr>
          <w:rFonts w:ascii="Arial" w:hAnsi="Arial" w:cs="Arial"/>
        </w:rPr>
        <w:t>) and caused distress to a population total</w:t>
      </w:r>
      <w:r>
        <w:rPr>
          <w:rFonts w:ascii="Arial" w:hAnsi="Arial" w:cs="Arial"/>
        </w:rPr>
        <w:t>l</w:t>
      </w:r>
      <w:r w:rsidRPr="00E86B8C">
        <w:rPr>
          <w:rFonts w:ascii="Arial" w:hAnsi="Arial" w:cs="Arial"/>
        </w:rPr>
        <w:t>ing 58,500,000. The death toll from this famine is estimated to be in the range of 5.5 million people.</w:t>
      </w:r>
    </w:p>
    <w:p w:rsidR="00E86B8C" w:rsidRPr="00E86B8C" w:rsidRDefault="00E86B8C" w:rsidP="00E86B8C">
      <w:pPr>
        <w:spacing w:before="100" w:beforeAutospacing="1" w:after="100" w:afterAutospacing="1"/>
        <w:outlineLvl w:val="1"/>
        <w:rPr>
          <w:rFonts w:ascii="Arial" w:eastAsia="Times New Roman" w:hAnsi="Arial" w:cs="Arial"/>
          <w:b/>
          <w:bCs/>
        </w:rPr>
      </w:pPr>
      <w:r w:rsidRPr="00E86B8C">
        <w:rPr>
          <w:rFonts w:ascii="Arial" w:eastAsia="Times New Roman" w:hAnsi="Arial" w:cs="Arial"/>
          <w:b/>
          <w:bCs/>
        </w:rPr>
        <w:t>Preceding events</w:t>
      </w:r>
    </w:p>
    <w:p w:rsidR="00E86B8C" w:rsidRPr="00E86B8C" w:rsidRDefault="00E86B8C" w:rsidP="00E86B8C">
      <w:pPr>
        <w:jc w:val="center"/>
        <w:rPr>
          <w:rFonts w:ascii="Arial" w:eastAsia="Times New Roman" w:hAnsi="Arial" w:cs="Arial"/>
        </w:rPr>
      </w:pPr>
      <w:r w:rsidRPr="00E86B8C">
        <w:rPr>
          <w:rFonts w:ascii="Arial" w:eastAsia="Times New Roman" w:hAnsi="Arial" w:cs="Arial"/>
          <w:noProof/>
          <w:lang w:val="en-US"/>
        </w:rPr>
        <w:drawing>
          <wp:inline distT="0" distB="0" distL="0" distR="0" wp14:anchorId="4798755D" wp14:editId="3EDB4E72">
            <wp:extent cx="3178810" cy="1915795"/>
            <wp:effectExtent l="0" t="0" r="0" b="0"/>
            <wp:docPr id="2" name="Picture 2" descr="http://upload.wikimedia.org/wikipedia/commons/thumb/2/25/GrainFamineMadras.jpg/250px-GrainFamineMadras.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upload.wikimedia.org/wikipedia/commons/thumb/2/25/GrainFamineMadras.jpg/250px-GrainFamineMadras.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78810" cy="1915795"/>
                    </a:xfrm>
                    <a:prstGeom prst="rect">
                      <a:avLst/>
                    </a:prstGeom>
                    <a:noFill/>
                    <a:ln>
                      <a:noFill/>
                    </a:ln>
                  </pic:spPr>
                </pic:pic>
              </a:graphicData>
            </a:graphic>
          </wp:inline>
        </w:drawing>
      </w:r>
    </w:p>
    <w:p w:rsidR="00E86B8C" w:rsidRPr="00E86B8C" w:rsidRDefault="00E86B8C" w:rsidP="00E86B8C">
      <w:pPr>
        <w:jc w:val="center"/>
        <w:rPr>
          <w:rFonts w:ascii="Arial" w:eastAsia="Times New Roman" w:hAnsi="Arial" w:cs="Arial"/>
        </w:rPr>
      </w:pPr>
      <w:r w:rsidRPr="00E86B8C">
        <w:rPr>
          <w:rFonts w:ascii="Arial" w:eastAsia="Times New Roman" w:hAnsi="Arial" w:cs="Arial"/>
        </w:rPr>
        <w:t>Grain destined for export stacked in Madras beaches (February 1877)</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In part, the </w:t>
      </w:r>
      <w:r w:rsidRPr="00E86B8C">
        <w:rPr>
          <w:rFonts w:ascii="Arial" w:hAnsi="Arial" w:cs="Arial"/>
          <w:i/>
          <w:iCs/>
        </w:rPr>
        <w:t>Great Famine</w:t>
      </w:r>
      <w:r w:rsidRPr="00E86B8C">
        <w:rPr>
          <w:rFonts w:ascii="Arial" w:hAnsi="Arial" w:cs="Arial"/>
        </w:rPr>
        <w:t xml:space="preserve"> may have been caused by an intense drought resulting in crop failure in the </w:t>
      </w:r>
      <w:hyperlink r:id="rId19" w:tooltip="Deccan Plateau" w:history="1">
        <w:r w:rsidRPr="00E86B8C">
          <w:rPr>
            <w:rFonts w:ascii="Arial" w:hAnsi="Arial" w:cs="Arial"/>
          </w:rPr>
          <w:t>Deccan Plateau</w:t>
        </w:r>
      </w:hyperlink>
      <w:r w:rsidRPr="00E86B8C">
        <w:rPr>
          <w:rFonts w:ascii="Arial" w:hAnsi="Arial" w:cs="Arial"/>
        </w:rPr>
        <w:t xml:space="preserve">. However, the commodification of grain, and the cultivation of alternate cash crops also may have played a role, as could have the export of grain by the colonial government; during the famine the viceroy, </w:t>
      </w:r>
      <w:hyperlink r:id="rId20" w:tooltip="Robert Bulwer-Lytton, 1st Earl of Lytton" w:history="1">
        <w:r w:rsidRPr="00E86B8C">
          <w:rPr>
            <w:rFonts w:ascii="Arial" w:hAnsi="Arial" w:cs="Arial"/>
          </w:rPr>
          <w:t>Lord Lytton</w:t>
        </w:r>
      </w:hyperlink>
      <w:r w:rsidRPr="00E86B8C">
        <w:rPr>
          <w:rFonts w:ascii="Arial" w:hAnsi="Arial" w:cs="Arial"/>
        </w:rPr>
        <w:t xml:space="preserve">, oversaw the export to England of a record 6.4 million hundredweight of wheat.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The famine occurred at a time when the colonial government was attempting to reduce expenses on welfare. Earlier, in the </w:t>
      </w:r>
      <w:hyperlink r:id="rId21" w:tooltip="Bihar famine of 1873–74" w:history="1">
        <w:r w:rsidRPr="00E86B8C">
          <w:rPr>
            <w:rFonts w:ascii="Arial" w:hAnsi="Arial" w:cs="Arial"/>
          </w:rPr>
          <w:t>Bihar famine of 1873–74</w:t>
        </w:r>
      </w:hyperlink>
      <w:r w:rsidRPr="00E86B8C">
        <w:rPr>
          <w:rFonts w:ascii="Arial" w:hAnsi="Arial" w:cs="Arial"/>
        </w:rPr>
        <w:t xml:space="preserve">, severe mortality had been avoided by importing rice from Burma. However, the Government of </w:t>
      </w:r>
      <w:hyperlink r:id="rId22" w:tooltip="Bengal Presidency" w:history="1">
        <w:r w:rsidRPr="00E86B8C">
          <w:rPr>
            <w:rFonts w:ascii="Arial" w:hAnsi="Arial" w:cs="Arial"/>
          </w:rPr>
          <w:t>Bengal</w:t>
        </w:r>
      </w:hyperlink>
      <w:r w:rsidRPr="00E86B8C">
        <w:rPr>
          <w:rFonts w:ascii="Arial" w:hAnsi="Arial" w:cs="Arial"/>
        </w:rPr>
        <w:t xml:space="preserve"> and its </w:t>
      </w:r>
      <w:proofErr w:type="gramStart"/>
      <w:r w:rsidRPr="00E86B8C">
        <w:rPr>
          <w:rFonts w:ascii="Arial" w:hAnsi="Arial" w:cs="Arial"/>
        </w:rPr>
        <w:t>Lieutenant-Governor</w:t>
      </w:r>
      <w:proofErr w:type="gramEnd"/>
      <w:r w:rsidRPr="00E86B8C">
        <w:rPr>
          <w:rFonts w:ascii="Arial" w:hAnsi="Arial" w:cs="Arial"/>
        </w:rPr>
        <w:t xml:space="preserve">, </w:t>
      </w:r>
      <w:hyperlink r:id="rId23" w:tooltip="Sir Richard Temple, 1st Baronet" w:history="1">
        <w:r w:rsidRPr="00E86B8C">
          <w:rPr>
            <w:rFonts w:ascii="Arial" w:hAnsi="Arial" w:cs="Arial"/>
          </w:rPr>
          <w:t>Sir Richard Temple</w:t>
        </w:r>
      </w:hyperlink>
      <w:r>
        <w:rPr>
          <w:rFonts w:ascii="Arial" w:hAnsi="Arial" w:cs="Arial"/>
        </w:rPr>
        <w:t>, were criticis</w:t>
      </w:r>
      <w:r w:rsidRPr="00E86B8C">
        <w:rPr>
          <w:rFonts w:ascii="Arial" w:hAnsi="Arial" w:cs="Arial"/>
        </w:rPr>
        <w:t xml:space="preserve">ed for excessive expenditure on charitable relief. Sensitive to any renewed accusations of excess in 1876, Temple, who was now Famine Commissioner for the Government of India, insisted not only on a policy of </w:t>
      </w:r>
      <w:hyperlink r:id="rId24" w:tooltip="Laissez faire" w:history="1">
        <w:r w:rsidRPr="00E86B8C">
          <w:rPr>
            <w:rFonts w:ascii="Arial" w:hAnsi="Arial" w:cs="Arial"/>
            <w:i/>
            <w:iCs/>
          </w:rPr>
          <w:t>laissez faire</w:t>
        </w:r>
      </w:hyperlink>
      <w:r w:rsidRPr="00E86B8C">
        <w:rPr>
          <w:rFonts w:ascii="Arial" w:hAnsi="Arial" w:cs="Arial"/>
        </w:rPr>
        <w:t xml:space="preserve"> with respect to the trade in grain, but also on stricter standards of qualificati</w:t>
      </w:r>
      <w:r>
        <w:rPr>
          <w:rFonts w:ascii="Arial" w:hAnsi="Arial" w:cs="Arial"/>
        </w:rPr>
        <w:t>on for relief and on more meagre</w:t>
      </w:r>
      <w:r w:rsidRPr="00E86B8C">
        <w:rPr>
          <w:rFonts w:ascii="Arial" w:hAnsi="Arial" w:cs="Arial"/>
        </w:rPr>
        <w:t xml:space="preserve"> relief rations. Two kinds of relief were offered: "relief works" for able-bodied men, women, and working children, and gratuitous (or charitable) relief for small children, the </w:t>
      </w:r>
      <w:hyperlink r:id="rId25" w:tooltip="Elderly" w:history="1">
        <w:r w:rsidRPr="00E86B8C">
          <w:rPr>
            <w:rFonts w:ascii="Arial" w:hAnsi="Arial" w:cs="Arial"/>
          </w:rPr>
          <w:t>elderly</w:t>
        </w:r>
      </w:hyperlink>
      <w:r w:rsidRPr="00E86B8C">
        <w:rPr>
          <w:rFonts w:ascii="Arial" w:hAnsi="Arial" w:cs="Arial"/>
        </w:rPr>
        <w:t xml:space="preserve">, and the </w:t>
      </w:r>
      <w:hyperlink r:id="rId26" w:tooltip="Indigent" w:history="1">
        <w:r w:rsidRPr="00E86B8C">
          <w:rPr>
            <w:rFonts w:ascii="Arial" w:hAnsi="Arial" w:cs="Arial"/>
          </w:rPr>
          <w:t>indigent</w:t>
        </w:r>
      </w:hyperlink>
      <w:r w:rsidRPr="00E86B8C">
        <w:rPr>
          <w:rFonts w:ascii="Arial" w:hAnsi="Arial" w:cs="Arial"/>
        </w:rPr>
        <w:t xml:space="preserve">. </w:t>
      </w:r>
    </w:p>
    <w:p w:rsidR="00E86B8C" w:rsidRPr="00E86B8C" w:rsidRDefault="00E86B8C" w:rsidP="00E86B8C">
      <w:pPr>
        <w:spacing w:before="100" w:beforeAutospacing="1" w:after="100" w:afterAutospacing="1"/>
        <w:outlineLvl w:val="1"/>
        <w:rPr>
          <w:rFonts w:ascii="Arial" w:eastAsia="Times New Roman" w:hAnsi="Arial" w:cs="Arial"/>
          <w:b/>
          <w:bCs/>
        </w:rPr>
      </w:pPr>
      <w:r w:rsidRPr="00E86B8C">
        <w:rPr>
          <w:rFonts w:ascii="Arial" w:eastAsia="Times New Roman" w:hAnsi="Arial" w:cs="Arial"/>
          <w:b/>
          <w:bCs/>
        </w:rPr>
        <w:t>Famine and relief</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The insistence on more rigorous tests for qualification, however, led to strikes by "relief workers" in the </w:t>
      </w:r>
      <w:hyperlink r:id="rId27" w:tooltip="Bombay Presidency" w:history="1">
        <w:r w:rsidRPr="00E86B8C">
          <w:rPr>
            <w:rFonts w:ascii="Arial" w:hAnsi="Arial" w:cs="Arial"/>
          </w:rPr>
          <w:t>Bombay presidency</w:t>
        </w:r>
      </w:hyperlink>
      <w:r w:rsidRPr="00E86B8C">
        <w:rPr>
          <w:rFonts w:ascii="Arial" w:hAnsi="Arial" w:cs="Arial"/>
        </w:rPr>
        <w:t xml:space="preserve">. Furthermore, in January 1877, Temple reduced the wage for a day's hard work in the relief camps in </w:t>
      </w:r>
      <w:hyperlink r:id="rId28" w:tooltip="Madras Presidency" w:history="1">
        <w:r w:rsidRPr="00E86B8C">
          <w:rPr>
            <w:rFonts w:ascii="Arial" w:hAnsi="Arial" w:cs="Arial"/>
          </w:rPr>
          <w:t>Madras</w:t>
        </w:r>
      </w:hyperlink>
      <w:r w:rsidRPr="00E86B8C">
        <w:rPr>
          <w:rFonts w:ascii="Arial" w:hAnsi="Arial" w:cs="Arial"/>
        </w:rPr>
        <w:t xml:space="preserve"> and Bombay—this </w:t>
      </w:r>
      <w:r w:rsidRPr="00E86B8C">
        <w:rPr>
          <w:rFonts w:ascii="Arial" w:hAnsi="Arial" w:cs="Arial"/>
          <w:i/>
          <w:iCs/>
        </w:rPr>
        <w:t>Temple wage</w:t>
      </w:r>
      <w:r w:rsidRPr="00E86B8C">
        <w:rPr>
          <w:rFonts w:ascii="Arial" w:hAnsi="Arial" w:cs="Arial"/>
        </w:rPr>
        <w:t xml:space="preserve"> consisted of 1 pound (0.45 kg) of grain plus one </w:t>
      </w:r>
      <w:hyperlink r:id="rId29" w:tooltip="Indian anna" w:history="1">
        <w:proofErr w:type="spellStart"/>
        <w:r w:rsidRPr="00E86B8C">
          <w:rPr>
            <w:rFonts w:ascii="Arial" w:hAnsi="Arial" w:cs="Arial"/>
          </w:rPr>
          <w:t>anna</w:t>
        </w:r>
        <w:proofErr w:type="spellEnd"/>
      </w:hyperlink>
      <w:r w:rsidRPr="00E86B8C">
        <w:rPr>
          <w:rFonts w:ascii="Arial" w:hAnsi="Arial" w:cs="Arial"/>
        </w:rPr>
        <w:t xml:space="preserve"> for a man, and a slightly reduced amount for a woman or working child, for a "long day of hard labour without shade or rest." The rationale behind the reduced wage, which was in keeping with a prevailing belief of the time, was that any excessive payment might create </w:t>
      </w:r>
      <w:hyperlink r:id="rId30" w:tooltip="Dependent personality disorder" w:history="1">
        <w:r w:rsidRPr="00E86B8C">
          <w:rPr>
            <w:rFonts w:ascii="Arial" w:hAnsi="Arial" w:cs="Arial"/>
            <w:i/>
            <w:iCs/>
          </w:rPr>
          <w:t>dependency</w:t>
        </w:r>
      </w:hyperlink>
      <w:r>
        <w:rPr>
          <w:rFonts w:ascii="Arial" w:hAnsi="Arial" w:cs="Arial"/>
        </w:rPr>
        <w:t xml:space="preserve"> (or "demoralis</w:t>
      </w:r>
      <w:r w:rsidRPr="00E86B8C">
        <w:rPr>
          <w:rFonts w:ascii="Arial" w:hAnsi="Arial" w:cs="Arial"/>
        </w:rPr>
        <w:t xml:space="preserve">ation" in contemporaneous usage) among the famine-afflicted population.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Temple's recommendations were opposed by a number of officials, including William Digby and the physician </w:t>
      </w:r>
      <w:hyperlink r:id="rId31" w:tooltip="W. R. Cornish" w:history="1">
        <w:r w:rsidRPr="00E86B8C">
          <w:rPr>
            <w:rFonts w:ascii="Arial" w:hAnsi="Arial" w:cs="Arial"/>
          </w:rPr>
          <w:t>W. R. Cornish</w:t>
        </w:r>
      </w:hyperlink>
      <w:r w:rsidRPr="00E86B8C">
        <w:rPr>
          <w:rFonts w:ascii="Arial" w:hAnsi="Arial" w:cs="Arial"/>
        </w:rPr>
        <w:t xml:space="preserve">, Sanitary Commissioner for the </w:t>
      </w:r>
      <w:hyperlink r:id="rId32" w:tooltip="Madras Presidency" w:history="1">
        <w:r w:rsidRPr="00E86B8C">
          <w:rPr>
            <w:rFonts w:ascii="Arial" w:hAnsi="Arial" w:cs="Arial"/>
          </w:rPr>
          <w:t>Madras Presidency</w:t>
        </w:r>
      </w:hyperlink>
      <w:r w:rsidRPr="00E86B8C">
        <w:rPr>
          <w:rFonts w:ascii="Arial" w:hAnsi="Arial" w:cs="Arial"/>
        </w:rPr>
        <w:t xml:space="preserve">. Cornish argued </w:t>
      </w:r>
      <w:r w:rsidRPr="00E86B8C">
        <w:rPr>
          <w:rFonts w:ascii="Arial" w:hAnsi="Arial" w:cs="Arial"/>
        </w:rPr>
        <w:lastRenderedPageBreak/>
        <w:t>for a minimum of 1.5 pounds (0.68 kg) of grain and, in addition, supplements in the form of vegetables and protein, especially if, the individuals were performing strenuous labo</w:t>
      </w:r>
      <w:r>
        <w:rPr>
          <w:rFonts w:ascii="Arial" w:hAnsi="Arial" w:cs="Arial"/>
        </w:rPr>
        <w:t>u</w:t>
      </w:r>
      <w:r w:rsidRPr="00E86B8C">
        <w:rPr>
          <w:rFonts w:ascii="Arial" w:hAnsi="Arial" w:cs="Arial"/>
        </w:rPr>
        <w:t xml:space="preserve">r in the relief works. However, Lytton supported Temple, who </w:t>
      </w:r>
      <w:proofErr w:type="gramStart"/>
      <w:r w:rsidRPr="00E86B8C">
        <w:rPr>
          <w:rFonts w:ascii="Arial" w:hAnsi="Arial" w:cs="Arial"/>
        </w:rPr>
        <w:t>argued that</w:t>
      </w:r>
      <w:proofErr w:type="gramEnd"/>
      <w:r w:rsidRPr="00E86B8C">
        <w:rPr>
          <w:rFonts w:ascii="Arial" w:hAnsi="Arial" w:cs="Arial"/>
        </w:rPr>
        <w:t xml:space="preserve"> "everything must be subordinated to the financial consideration of disbursing the smallest sum of money...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Eventually, in March 1877, the provincial government of Madras, increased the ration halfway towards Cornish's recommendations, to 1.25 pounds (0.57 kg) of grain and 1.5 </w:t>
      </w:r>
      <w:hyperlink r:id="rId33" w:tooltip="Ounce" w:history="1">
        <w:r w:rsidRPr="00E86B8C">
          <w:rPr>
            <w:rFonts w:ascii="Arial" w:hAnsi="Arial" w:cs="Arial"/>
          </w:rPr>
          <w:t>ounces</w:t>
        </w:r>
      </w:hyperlink>
      <w:r w:rsidRPr="00E86B8C">
        <w:rPr>
          <w:rFonts w:ascii="Arial" w:hAnsi="Arial" w:cs="Arial"/>
        </w:rPr>
        <w:t xml:space="preserve"> (43 </w:t>
      </w:r>
      <w:hyperlink r:id="rId34" w:tooltip="Gram" w:history="1">
        <w:r w:rsidRPr="00E86B8C">
          <w:rPr>
            <w:rFonts w:ascii="Arial" w:hAnsi="Arial" w:cs="Arial"/>
          </w:rPr>
          <w:t>g</w:t>
        </w:r>
      </w:hyperlink>
      <w:r w:rsidRPr="00E86B8C">
        <w:rPr>
          <w:rFonts w:ascii="Arial" w:hAnsi="Arial" w:cs="Arial"/>
        </w:rPr>
        <w:t xml:space="preserve">) of protein in the form of </w:t>
      </w:r>
      <w:hyperlink r:id="rId35" w:tooltip="Daal" w:history="1">
        <w:proofErr w:type="spellStart"/>
        <w:r w:rsidRPr="00E86B8C">
          <w:rPr>
            <w:rFonts w:ascii="Arial" w:hAnsi="Arial" w:cs="Arial"/>
            <w:i/>
            <w:iCs/>
          </w:rPr>
          <w:t>daal</w:t>
        </w:r>
        <w:proofErr w:type="spellEnd"/>
      </w:hyperlink>
      <w:r w:rsidRPr="00E86B8C">
        <w:rPr>
          <w:rFonts w:ascii="Arial" w:hAnsi="Arial" w:cs="Arial"/>
        </w:rPr>
        <w:t xml:space="preserve"> (</w:t>
      </w:r>
      <w:hyperlink r:id="rId36" w:tooltip="Pulse (legume)" w:history="1">
        <w:r w:rsidRPr="00E86B8C">
          <w:rPr>
            <w:rFonts w:ascii="Arial" w:hAnsi="Arial" w:cs="Arial"/>
          </w:rPr>
          <w:t>pulses</w:t>
        </w:r>
      </w:hyperlink>
      <w:r w:rsidRPr="00E86B8C">
        <w:rPr>
          <w:rFonts w:ascii="Arial" w:hAnsi="Arial" w:cs="Arial"/>
        </w:rPr>
        <w:t xml:space="preserve">). Meanwhile, many more people had succumbed to the famine. In other parts of India, such as the </w:t>
      </w:r>
      <w:hyperlink r:id="rId37" w:tooltip="United Provinces of Agra and Oudh" w:history="1">
        <w:r w:rsidRPr="00E86B8C">
          <w:rPr>
            <w:rFonts w:ascii="Arial" w:hAnsi="Arial" w:cs="Arial"/>
          </w:rPr>
          <w:t>United Provinces</w:t>
        </w:r>
      </w:hyperlink>
      <w:r>
        <w:rPr>
          <w:rFonts w:ascii="Arial" w:hAnsi="Arial" w:cs="Arial"/>
        </w:rPr>
        <w:t>, where relief was meagre</w:t>
      </w:r>
      <w:r w:rsidRPr="00E86B8C">
        <w:rPr>
          <w:rFonts w:ascii="Arial" w:hAnsi="Arial" w:cs="Arial"/>
        </w:rPr>
        <w:t xml:space="preserve">, the resulting mortality was high. In the autumn and winter of 1878, an epidemic of </w:t>
      </w:r>
      <w:hyperlink r:id="rId38" w:tooltip="Malaria" w:history="1">
        <w:r w:rsidRPr="00E86B8C">
          <w:rPr>
            <w:rFonts w:ascii="Arial" w:hAnsi="Arial" w:cs="Arial"/>
          </w:rPr>
          <w:t>malaria</w:t>
        </w:r>
      </w:hyperlink>
      <w:r w:rsidRPr="00E86B8C">
        <w:rPr>
          <w:rFonts w:ascii="Arial" w:hAnsi="Arial" w:cs="Arial"/>
        </w:rPr>
        <w:t xml:space="preserve"> killed many more who were already weakened by malnutrition.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By early 1877, Temple proclaimed that he had put "the famine under control". Digby noted that "a famine can scarcely be said to be adequately controlled which leaves one-fourth of the people dead.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It has been argued that British policy destroyed the ancient systems of agriculture favo</w:t>
      </w:r>
      <w:r>
        <w:rPr>
          <w:rFonts w:ascii="Arial" w:hAnsi="Arial" w:cs="Arial"/>
        </w:rPr>
        <w:t>u</w:t>
      </w:r>
      <w:r w:rsidRPr="00E86B8C">
        <w:rPr>
          <w:rFonts w:ascii="Arial" w:hAnsi="Arial" w:cs="Arial"/>
        </w:rPr>
        <w:t>ring the cultivation of cash crops for the world markets to the expense of the needs of the local population. In desperation many sold their children for food and resort</w:t>
      </w:r>
      <w:r>
        <w:rPr>
          <w:rFonts w:ascii="Arial" w:hAnsi="Arial" w:cs="Arial"/>
        </w:rPr>
        <w:t>ed</w:t>
      </w:r>
      <w:r w:rsidRPr="00E86B8C">
        <w:rPr>
          <w:rFonts w:ascii="Arial" w:hAnsi="Arial" w:cs="Arial"/>
        </w:rPr>
        <w:t xml:space="preserve"> to cannibalism.</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The Great Drought of the 1870s was the first out of three famines that occurred in India during Queen Victoria’s rule.</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As the famine was taking place, Lord Lytton, the Vice Roy of India was engaged in a fabulous celebration with over 60 000 guests to be wined and fed for the coronation of Queen Victoria as the Empress of India. Of course, the participants of this banquet were not the common Indians but the Princes and Satraps who collaborated with the British Empire. Lytton set a relief plan in which no one could be fed within ten miles of </w:t>
      </w:r>
      <w:proofErr w:type="gramStart"/>
      <w:r w:rsidRPr="00E86B8C">
        <w:rPr>
          <w:rFonts w:ascii="Arial" w:hAnsi="Arial" w:cs="Arial"/>
        </w:rPr>
        <w:t>their</w:t>
      </w:r>
      <w:proofErr w:type="gramEnd"/>
      <w:r w:rsidRPr="00E86B8C">
        <w:rPr>
          <w:rFonts w:ascii="Arial" w:hAnsi="Arial" w:cs="Arial"/>
        </w:rPr>
        <w:t xml:space="preserve"> residence. Then Lytton implemented camps of hard labo</w:t>
      </w:r>
      <w:r>
        <w:rPr>
          <w:rFonts w:ascii="Arial" w:hAnsi="Arial" w:cs="Arial"/>
        </w:rPr>
        <w:t>ur for those who go</w:t>
      </w:r>
      <w:r w:rsidRPr="00E86B8C">
        <w:rPr>
          <w:rFonts w:ascii="Arial" w:hAnsi="Arial" w:cs="Arial"/>
        </w:rPr>
        <w:t>t a jar of food.</w:t>
      </w:r>
    </w:p>
    <w:p w:rsidR="00E86B8C" w:rsidRPr="00E86B8C" w:rsidRDefault="00E86B8C" w:rsidP="00E86B8C">
      <w:pPr>
        <w:spacing w:before="100" w:beforeAutospacing="1" w:after="100" w:afterAutospacing="1"/>
        <w:outlineLvl w:val="2"/>
        <w:rPr>
          <w:rFonts w:ascii="Arial" w:eastAsia="Times New Roman" w:hAnsi="Arial" w:cs="Arial"/>
          <w:b/>
          <w:bCs/>
        </w:rPr>
      </w:pPr>
      <w:r w:rsidRPr="00E86B8C">
        <w:rPr>
          <w:rFonts w:ascii="Arial" w:eastAsia="Times New Roman" w:hAnsi="Arial" w:cs="Arial"/>
          <w:b/>
          <w:bCs/>
        </w:rPr>
        <w:t>Famine in Mysore State</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Two years before the famine of 1876, heavy rain destroyed </w:t>
      </w:r>
      <w:proofErr w:type="spellStart"/>
      <w:r w:rsidRPr="00E86B8C">
        <w:rPr>
          <w:rFonts w:ascii="Arial" w:hAnsi="Arial" w:cs="Arial"/>
        </w:rPr>
        <w:t>ragi</w:t>
      </w:r>
      <w:proofErr w:type="spellEnd"/>
      <w:r w:rsidRPr="00E86B8C">
        <w:rPr>
          <w:rFonts w:ascii="Arial" w:hAnsi="Arial" w:cs="Arial"/>
        </w:rPr>
        <w:t xml:space="preserve"> crops in </w:t>
      </w:r>
      <w:hyperlink r:id="rId39" w:tooltip="Kolar" w:history="1">
        <w:proofErr w:type="spellStart"/>
        <w:r w:rsidRPr="00E86B8C">
          <w:rPr>
            <w:rFonts w:ascii="Arial" w:hAnsi="Arial" w:cs="Arial"/>
          </w:rPr>
          <w:t>Kolar</w:t>
        </w:r>
        <w:proofErr w:type="spellEnd"/>
      </w:hyperlink>
      <w:r w:rsidRPr="00E86B8C">
        <w:rPr>
          <w:rFonts w:ascii="Arial" w:hAnsi="Arial" w:cs="Arial"/>
        </w:rPr>
        <w:t xml:space="preserve"> and </w:t>
      </w:r>
      <w:hyperlink r:id="rId40" w:tooltip="Bangalore" w:history="1">
        <w:r w:rsidRPr="00E86B8C">
          <w:rPr>
            <w:rFonts w:ascii="Arial" w:hAnsi="Arial" w:cs="Arial"/>
          </w:rPr>
          <w:t>Bangalore</w:t>
        </w:r>
      </w:hyperlink>
      <w:r w:rsidRPr="00E86B8C">
        <w:rPr>
          <w:rFonts w:ascii="Arial" w:hAnsi="Arial" w:cs="Arial"/>
        </w:rPr>
        <w:t>, and scant rainfall the following year resulted in drying up of lakes, affecting food stock. As a result of the famine, the population of the state decreased by 874,000 (in comparison with the 1871 census).</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Sir Richard Temple was sent by the </w:t>
      </w:r>
      <w:hyperlink r:id="rId41" w:tooltip="British Raj" w:history="1">
        <w:r w:rsidRPr="00E86B8C">
          <w:rPr>
            <w:rFonts w:ascii="Arial" w:hAnsi="Arial" w:cs="Arial"/>
          </w:rPr>
          <w:t>British India Government</w:t>
        </w:r>
      </w:hyperlink>
      <w:r w:rsidRPr="00E86B8C">
        <w:rPr>
          <w:rFonts w:ascii="Arial" w:hAnsi="Arial" w:cs="Arial"/>
        </w:rPr>
        <w:t xml:space="preserve"> as Special Famine Commissioner to oversee the relief works of the Mysore government. In order to deal with the famine, the </w:t>
      </w:r>
      <w:hyperlink r:id="rId42" w:tooltip="Kingdom of Mysore" w:history="1">
        <w:r w:rsidRPr="00E86B8C">
          <w:rPr>
            <w:rFonts w:ascii="Arial" w:hAnsi="Arial" w:cs="Arial"/>
          </w:rPr>
          <w:t>government of Mysore</w:t>
        </w:r>
      </w:hyperlink>
      <w:r w:rsidRPr="00E86B8C">
        <w:rPr>
          <w:rFonts w:ascii="Arial" w:hAnsi="Arial" w:cs="Arial"/>
        </w:rPr>
        <w:t xml:space="preserve">, started relief kitchens. A large number of people came into Bangalore, when relief was available. These people had to work on the Bangalore-Mysore railway line in exchange for food and grains. The Mysore government imported large quantities of grain from the neighbouring British ruled </w:t>
      </w:r>
      <w:hyperlink r:id="rId43" w:tooltip="Madras Presidency" w:history="1">
        <w:r w:rsidRPr="00E86B8C">
          <w:rPr>
            <w:rFonts w:ascii="Arial" w:hAnsi="Arial" w:cs="Arial"/>
          </w:rPr>
          <w:t>Madras Presidency</w:t>
        </w:r>
      </w:hyperlink>
      <w:r w:rsidRPr="00E86B8C">
        <w:rPr>
          <w:rFonts w:ascii="Arial" w:hAnsi="Arial" w:cs="Arial"/>
        </w:rPr>
        <w:t xml:space="preserve">. Grazing in forests was allowed temporarily, and new tanks were constructed and old tanks repaired. The </w:t>
      </w:r>
      <w:proofErr w:type="spellStart"/>
      <w:r w:rsidRPr="00E86B8C">
        <w:rPr>
          <w:rFonts w:ascii="Arial" w:hAnsi="Arial" w:cs="Arial"/>
        </w:rPr>
        <w:t>Dewan</w:t>
      </w:r>
      <w:proofErr w:type="spellEnd"/>
      <w:r w:rsidRPr="00E86B8C">
        <w:rPr>
          <w:rFonts w:ascii="Arial" w:hAnsi="Arial" w:cs="Arial"/>
        </w:rPr>
        <w:t xml:space="preserve"> of Mysore State </w:t>
      </w:r>
      <w:hyperlink r:id="rId44" w:tooltip="C. V. Rungacharlu" w:history="1">
        <w:r w:rsidRPr="00E86B8C">
          <w:rPr>
            <w:rFonts w:ascii="Arial" w:hAnsi="Arial" w:cs="Arial"/>
          </w:rPr>
          <w:t xml:space="preserve">C </w:t>
        </w:r>
        <w:proofErr w:type="spellStart"/>
        <w:r w:rsidRPr="00E86B8C">
          <w:rPr>
            <w:rFonts w:ascii="Arial" w:hAnsi="Arial" w:cs="Arial"/>
          </w:rPr>
          <w:t>Rangacharlu</w:t>
        </w:r>
        <w:proofErr w:type="spellEnd"/>
      </w:hyperlink>
      <w:r w:rsidRPr="00E86B8C">
        <w:rPr>
          <w:rFonts w:ascii="Arial" w:hAnsi="Arial" w:cs="Arial"/>
        </w:rPr>
        <w:t xml:space="preserve">, in his </w:t>
      </w:r>
      <w:proofErr w:type="spellStart"/>
      <w:r w:rsidRPr="00E86B8C">
        <w:rPr>
          <w:rFonts w:ascii="Arial" w:hAnsi="Arial" w:cs="Arial"/>
        </w:rPr>
        <w:t>Dasara</w:t>
      </w:r>
      <w:proofErr w:type="spellEnd"/>
      <w:r w:rsidRPr="00E86B8C">
        <w:rPr>
          <w:rFonts w:ascii="Arial" w:hAnsi="Arial" w:cs="Arial"/>
        </w:rPr>
        <w:t xml:space="preserve"> speech estimated the cost to the state at 160 lakhs, with the state incurring a debt of 80 lakhs. </w:t>
      </w:r>
    </w:p>
    <w:p w:rsidR="00E86B8C" w:rsidRPr="00E86B8C" w:rsidRDefault="00E86B8C" w:rsidP="00E86B8C">
      <w:pPr>
        <w:spacing w:before="100" w:beforeAutospacing="1" w:after="100" w:afterAutospacing="1"/>
        <w:outlineLvl w:val="1"/>
        <w:rPr>
          <w:rFonts w:ascii="Arial" w:eastAsia="Times New Roman" w:hAnsi="Arial" w:cs="Arial"/>
          <w:b/>
          <w:bCs/>
        </w:rPr>
      </w:pPr>
      <w:r w:rsidRPr="00E86B8C">
        <w:rPr>
          <w:rFonts w:ascii="Arial" w:eastAsia="Times New Roman" w:hAnsi="Arial" w:cs="Arial"/>
          <w:b/>
          <w:bCs/>
        </w:rPr>
        <w:t>Aftermath</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The mortality in the famine was in the range of 5.5 million people. The excessive mortality and the renewed questions of "relief and protection" that were asked in its wake, led directly to the constituting of the Famine Commission of 1880 and to the eventual adoption of the Provisional Famine Code in British India. After the famine, a large number of agricultural labo</w:t>
      </w:r>
      <w:r>
        <w:rPr>
          <w:rFonts w:ascii="Arial" w:hAnsi="Arial" w:cs="Arial"/>
        </w:rPr>
        <w:t>u</w:t>
      </w:r>
      <w:r w:rsidRPr="00E86B8C">
        <w:rPr>
          <w:rFonts w:ascii="Arial" w:hAnsi="Arial" w:cs="Arial"/>
        </w:rPr>
        <w:t xml:space="preserve">rers and </w:t>
      </w:r>
      <w:hyperlink r:id="rId45" w:tooltip="Handloom weaver" w:history="1">
        <w:r w:rsidRPr="00E86B8C">
          <w:rPr>
            <w:rFonts w:ascii="Arial" w:hAnsi="Arial" w:cs="Arial"/>
          </w:rPr>
          <w:t>handloom weavers</w:t>
        </w:r>
      </w:hyperlink>
      <w:r w:rsidRPr="00E86B8C">
        <w:rPr>
          <w:rFonts w:ascii="Arial" w:hAnsi="Arial" w:cs="Arial"/>
        </w:rPr>
        <w:t xml:space="preserve"> in </w:t>
      </w:r>
      <w:hyperlink r:id="rId46" w:tooltip="South India" w:history="1">
        <w:r w:rsidRPr="00E86B8C">
          <w:rPr>
            <w:rFonts w:ascii="Arial" w:hAnsi="Arial" w:cs="Arial"/>
          </w:rPr>
          <w:t>South India</w:t>
        </w:r>
      </w:hyperlink>
      <w:r w:rsidRPr="00E86B8C">
        <w:rPr>
          <w:rFonts w:ascii="Arial" w:hAnsi="Arial" w:cs="Arial"/>
        </w:rPr>
        <w:t xml:space="preserve"> </w:t>
      </w:r>
      <w:proofErr w:type="gramStart"/>
      <w:r w:rsidRPr="00E86B8C">
        <w:rPr>
          <w:rFonts w:ascii="Arial" w:hAnsi="Arial" w:cs="Arial"/>
        </w:rPr>
        <w:t>emigrated</w:t>
      </w:r>
      <w:proofErr w:type="gramEnd"/>
      <w:r w:rsidRPr="00E86B8C">
        <w:rPr>
          <w:rFonts w:ascii="Arial" w:hAnsi="Arial" w:cs="Arial"/>
        </w:rPr>
        <w:t xml:space="preserve"> to British tropical colonies to work as </w:t>
      </w:r>
      <w:hyperlink r:id="rId47" w:tooltip="Indentured servant" w:history="1">
        <w:r w:rsidRPr="00E86B8C">
          <w:rPr>
            <w:rFonts w:ascii="Arial" w:hAnsi="Arial" w:cs="Arial"/>
          </w:rPr>
          <w:t>indentured labo</w:t>
        </w:r>
        <w:r>
          <w:rPr>
            <w:rFonts w:ascii="Arial" w:hAnsi="Arial" w:cs="Arial"/>
          </w:rPr>
          <w:t>u</w:t>
        </w:r>
        <w:r w:rsidRPr="00E86B8C">
          <w:rPr>
            <w:rFonts w:ascii="Arial" w:hAnsi="Arial" w:cs="Arial"/>
          </w:rPr>
          <w:t>rers</w:t>
        </w:r>
      </w:hyperlink>
      <w:r w:rsidRPr="00E86B8C">
        <w:rPr>
          <w:rFonts w:ascii="Arial" w:hAnsi="Arial" w:cs="Arial"/>
        </w:rPr>
        <w:t xml:space="preserve"> in plantations. The excessive mortal</w:t>
      </w:r>
      <w:r>
        <w:rPr>
          <w:rFonts w:ascii="Arial" w:hAnsi="Arial" w:cs="Arial"/>
        </w:rPr>
        <w:t>ity in the famine also neutralis</w:t>
      </w:r>
      <w:r w:rsidRPr="00E86B8C">
        <w:rPr>
          <w:rFonts w:ascii="Arial" w:hAnsi="Arial" w:cs="Arial"/>
        </w:rPr>
        <w:t>ed the natural population growth in the Bombay and Madras presidencies during the decade between the first and second censuses of British India in 1871 and 1881 respectively. The famine lives on in the Tamil and other literary traditions.</w:t>
      </w:r>
      <w:r>
        <w:rPr>
          <w:rFonts w:ascii="Arial" w:hAnsi="Arial" w:cs="Arial"/>
          <w:vertAlign w:val="superscript"/>
        </w:rPr>
        <w:t xml:space="preserve"> </w:t>
      </w:r>
      <w:r w:rsidRPr="00E86B8C">
        <w:rPr>
          <w:rFonts w:ascii="Arial" w:hAnsi="Arial" w:cs="Arial"/>
        </w:rPr>
        <w:t xml:space="preserve"> A large number of </w:t>
      </w:r>
      <w:hyperlink r:id="rId48" w:tooltip="Kummi" w:history="1">
        <w:proofErr w:type="spellStart"/>
        <w:r w:rsidRPr="00E86B8C">
          <w:rPr>
            <w:rFonts w:ascii="Arial" w:hAnsi="Arial" w:cs="Arial"/>
            <w:i/>
            <w:iCs/>
          </w:rPr>
          <w:t>Kummi</w:t>
        </w:r>
        <w:proofErr w:type="spellEnd"/>
      </w:hyperlink>
      <w:r w:rsidRPr="00E86B8C">
        <w:rPr>
          <w:rFonts w:ascii="Arial" w:hAnsi="Arial" w:cs="Arial"/>
        </w:rPr>
        <w:t xml:space="preserve"> folk songs describing this famine have been documented. </w:t>
      </w:r>
    </w:p>
    <w:p w:rsidR="00E86B8C" w:rsidRPr="00E86B8C" w:rsidRDefault="00E86B8C" w:rsidP="00E86B8C">
      <w:pPr>
        <w:spacing w:before="100" w:beforeAutospacing="1" w:after="100" w:afterAutospacing="1"/>
        <w:rPr>
          <w:rFonts w:ascii="Arial" w:hAnsi="Arial" w:cs="Arial"/>
        </w:rPr>
      </w:pPr>
      <w:r w:rsidRPr="00E86B8C">
        <w:rPr>
          <w:rFonts w:ascii="Arial" w:hAnsi="Arial" w:cs="Arial"/>
        </w:rPr>
        <w:t xml:space="preserve">The </w:t>
      </w:r>
      <w:r w:rsidRPr="00E86B8C">
        <w:rPr>
          <w:rFonts w:ascii="Arial" w:hAnsi="Arial" w:cs="Arial"/>
          <w:i/>
          <w:iCs/>
        </w:rPr>
        <w:t>Great Famine</w:t>
      </w:r>
      <w:r w:rsidRPr="00E86B8C">
        <w:rPr>
          <w:rFonts w:ascii="Arial" w:hAnsi="Arial" w:cs="Arial"/>
        </w:rPr>
        <w:t xml:space="preserve"> was to have a lasting political impact on events in India. Among the British administrators in India who were unsettled by the official reactions to the famine and, in particular by the stifling of the official debate about the best form of famine relief, were </w:t>
      </w:r>
      <w:hyperlink r:id="rId49" w:tooltip="William Wedderburn" w:history="1">
        <w:r w:rsidRPr="00E86B8C">
          <w:rPr>
            <w:rFonts w:ascii="Arial" w:hAnsi="Arial" w:cs="Arial"/>
          </w:rPr>
          <w:t>William Wedderburn</w:t>
        </w:r>
      </w:hyperlink>
      <w:r w:rsidRPr="00E86B8C">
        <w:rPr>
          <w:rFonts w:ascii="Arial" w:hAnsi="Arial" w:cs="Arial"/>
        </w:rPr>
        <w:t xml:space="preserve"> and </w:t>
      </w:r>
      <w:hyperlink r:id="rId50" w:tooltip="A. O. Hume" w:history="1">
        <w:r w:rsidRPr="00E86B8C">
          <w:rPr>
            <w:rFonts w:ascii="Arial" w:hAnsi="Arial" w:cs="Arial"/>
          </w:rPr>
          <w:t>A. O. Hume</w:t>
        </w:r>
      </w:hyperlink>
      <w:r w:rsidRPr="00E86B8C">
        <w:rPr>
          <w:rFonts w:ascii="Arial" w:hAnsi="Arial" w:cs="Arial"/>
        </w:rPr>
        <w:t xml:space="preserve">. Less than a decade later, they would found the </w:t>
      </w:r>
      <w:hyperlink r:id="rId51" w:tooltip="Indian National Congress" w:history="1">
        <w:r w:rsidRPr="00E86B8C">
          <w:rPr>
            <w:rFonts w:ascii="Arial" w:hAnsi="Arial" w:cs="Arial"/>
          </w:rPr>
          <w:t>Indian National Congress</w:t>
        </w:r>
      </w:hyperlink>
      <w:r w:rsidRPr="00E86B8C">
        <w:rPr>
          <w:rFonts w:ascii="Arial" w:hAnsi="Arial" w:cs="Arial"/>
        </w:rPr>
        <w:t xml:space="preserve"> and, in turn, influence a generation of </w:t>
      </w:r>
      <w:hyperlink r:id="rId52" w:tooltip="Indian nationalist" w:history="1">
        <w:r w:rsidRPr="00E86B8C">
          <w:rPr>
            <w:rFonts w:ascii="Arial" w:hAnsi="Arial" w:cs="Arial"/>
          </w:rPr>
          <w:t>Indian nationalists</w:t>
        </w:r>
      </w:hyperlink>
      <w:r w:rsidRPr="00E86B8C">
        <w:rPr>
          <w:rFonts w:ascii="Arial" w:hAnsi="Arial" w:cs="Arial"/>
        </w:rPr>
        <w:t xml:space="preserve">. Among them were </w:t>
      </w:r>
      <w:hyperlink r:id="rId53" w:tooltip="Dadabhai Naoroji" w:history="1">
        <w:proofErr w:type="spellStart"/>
        <w:r w:rsidRPr="00E86B8C">
          <w:rPr>
            <w:rFonts w:ascii="Arial" w:hAnsi="Arial" w:cs="Arial"/>
          </w:rPr>
          <w:t>Dadabhai</w:t>
        </w:r>
        <w:proofErr w:type="spellEnd"/>
        <w:r w:rsidRPr="00E86B8C">
          <w:rPr>
            <w:rFonts w:ascii="Arial" w:hAnsi="Arial" w:cs="Arial"/>
          </w:rPr>
          <w:t xml:space="preserve"> </w:t>
        </w:r>
        <w:proofErr w:type="spellStart"/>
        <w:r w:rsidRPr="00E86B8C">
          <w:rPr>
            <w:rFonts w:ascii="Arial" w:hAnsi="Arial" w:cs="Arial"/>
          </w:rPr>
          <w:t>Naoroji</w:t>
        </w:r>
        <w:proofErr w:type="spellEnd"/>
      </w:hyperlink>
      <w:r w:rsidRPr="00E86B8C">
        <w:rPr>
          <w:rFonts w:ascii="Arial" w:hAnsi="Arial" w:cs="Arial"/>
        </w:rPr>
        <w:t xml:space="preserve"> and </w:t>
      </w:r>
      <w:hyperlink r:id="rId54" w:tooltip="Romesh Chunder Dutt" w:history="1">
        <w:proofErr w:type="spellStart"/>
        <w:r w:rsidRPr="00E86B8C">
          <w:rPr>
            <w:rFonts w:ascii="Arial" w:hAnsi="Arial" w:cs="Arial"/>
          </w:rPr>
          <w:t>Romesh</w:t>
        </w:r>
        <w:proofErr w:type="spellEnd"/>
        <w:r w:rsidRPr="00E86B8C">
          <w:rPr>
            <w:rFonts w:ascii="Arial" w:hAnsi="Arial" w:cs="Arial"/>
          </w:rPr>
          <w:t xml:space="preserve"> </w:t>
        </w:r>
        <w:proofErr w:type="spellStart"/>
        <w:r w:rsidRPr="00E86B8C">
          <w:rPr>
            <w:rFonts w:ascii="Arial" w:hAnsi="Arial" w:cs="Arial"/>
          </w:rPr>
          <w:t>Chunder</w:t>
        </w:r>
        <w:proofErr w:type="spellEnd"/>
        <w:r w:rsidRPr="00E86B8C">
          <w:rPr>
            <w:rFonts w:ascii="Arial" w:hAnsi="Arial" w:cs="Arial"/>
          </w:rPr>
          <w:t xml:space="preserve"> </w:t>
        </w:r>
        <w:proofErr w:type="spellStart"/>
        <w:r w:rsidRPr="00E86B8C">
          <w:rPr>
            <w:rFonts w:ascii="Arial" w:hAnsi="Arial" w:cs="Arial"/>
          </w:rPr>
          <w:t>Dutt</w:t>
        </w:r>
        <w:proofErr w:type="spellEnd"/>
      </w:hyperlink>
      <w:r w:rsidRPr="00E86B8C">
        <w:rPr>
          <w:rFonts w:ascii="Arial" w:hAnsi="Arial" w:cs="Arial"/>
        </w:rPr>
        <w:t xml:space="preserve"> for whom the </w:t>
      </w:r>
      <w:r w:rsidRPr="00E86B8C">
        <w:rPr>
          <w:rFonts w:ascii="Arial" w:hAnsi="Arial" w:cs="Arial"/>
          <w:i/>
          <w:iCs/>
        </w:rPr>
        <w:t>Great Famine</w:t>
      </w:r>
      <w:r w:rsidRPr="00E86B8C">
        <w:rPr>
          <w:rFonts w:ascii="Arial" w:hAnsi="Arial" w:cs="Arial"/>
        </w:rPr>
        <w:t xml:space="preserve"> would become a cornerstone of the economic critique of the </w:t>
      </w:r>
      <w:hyperlink r:id="rId55" w:tooltip="British Raj" w:history="1">
        <w:r w:rsidRPr="00E86B8C">
          <w:rPr>
            <w:rFonts w:ascii="Arial" w:hAnsi="Arial" w:cs="Arial"/>
          </w:rPr>
          <w:t>British Raj</w:t>
        </w:r>
      </w:hyperlink>
      <w:r w:rsidRPr="00E86B8C">
        <w:rPr>
          <w:rFonts w:ascii="Arial" w:hAnsi="Arial" w:cs="Arial"/>
        </w:rPr>
        <w:t>.</w:t>
      </w:r>
      <w:bookmarkStart w:id="0" w:name="_GoBack"/>
      <w:bookmarkEnd w:id="0"/>
      <w:r w:rsidRPr="00E86B8C">
        <w:rPr>
          <w:rFonts w:ascii="Arial" w:hAnsi="Arial" w:cs="Arial"/>
        </w:rPr>
        <w:t xml:space="preserve"> </w:t>
      </w:r>
    </w:p>
    <w:p w:rsidR="00EE2617" w:rsidRPr="00E86B8C" w:rsidRDefault="00EE2617">
      <w:pPr>
        <w:rPr>
          <w:rFonts w:ascii="Arial" w:hAnsi="Arial" w:cs="Arial"/>
        </w:rPr>
      </w:pPr>
    </w:p>
    <w:sectPr w:rsidR="00EE2617" w:rsidRPr="00E86B8C" w:rsidSect="00E86B8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7126AB"/>
    <w:multiLevelType w:val="multilevel"/>
    <w:tmpl w:val="2EF83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B8C"/>
    <w:rsid w:val="00744AE4"/>
    <w:rsid w:val="00E86B8C"/>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E86B8C"/>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E86B8C"/>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E86B8C"/>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B8C"/>
    <w:rPr>
      <w:rFonts w:ascii="Times" w:hAnsi="Times"/>
      <w:b/>
      <w:bCs/>
      <w:kern w:val="36"/>
      <w:sz w:val="48"/>
      <w:szCs w:val="48"/>
      <w:lang w:val="en-AU"/>
    </w:rPr>
  </w:style>
  <w:style w:type="character" w:customStyle="1" w:styleId="Heading2Char">
    <w:name w:val="Heading 2 Char"/>
    <w:basedOn w:val="DefaultParagraphFont"/>
    <w:link w:val="Heading2"/>
    <w:uiPriority w:val="9"/>
    <w:rsid w:val="00E86B8C"/>
    <w:rPr>
      <w:rFonts w:ascii="Times" w:hAnsi="Times"/>
      <w:b/>
      <w:bCs/>
      <w:sz w:val="36"/>
      <w:szCs w:val="36"/>
      <w:lang w:val="en-AU"/>
    </w:rPr>
  </w:style>
  <w:style w:type="character" w:customStyle="1" w:styleId="Heading3Char">
    <w:name w:val="Heading 3 Char"/>
    <w:basedOn w:val="DefaultParagraphFont"/>
    <w:link w:val="Heading3"/>
    <w:uiPriority w:val="9"/>
    <w:rsid w:val="00E86B8C"/>
    <w:rPr>
      <w:rFonts w:ascii="Times" w:hAnsi="Times"/>
      <w:b/>
      <w:bCs/>
      <w:sz w:val="27"/>
      <w:szCs w:val="27"/>
      <w:lang w:val="en-AU"/>
    </w:rPr>
  </w:style>
  <w:style w:type="character" w:styleId="Hyperlink">
    <w:name w:val="Hyperlink"/>
    <w:basedOn w:val="DefaultParagraphFont"/>
    <w:uiPriority w:val="99"/>
    <w:semiHidden/>
    <w:unhideWhenUsed/>
    <w:rsid w:val="00E86B8C"/>
    <w:rPr>
      <w:color w:val="0000FF"/>
      <w:u w:val="single"/>
    </w:rPr>
  </w:style>
  <w:style w:type="paragraph" w:styleId="NormalWeb">
    <w:name w:val="Normal (Web)"/>
    <w:basedOn w:val="Normal"/>
    <w:uiPriority w:val="99"/>
    <w:semiHidden/>
    <w:unhideWhenUsed/>
    <w:rsid w:val="00E86B8C"/>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E86B8C"/>
  </w:style>
  <w:style w:type="character" w:customStyle="1" w:styleId="toctext">
    <w:name w:val="toctext"/>
    <w:basedOn w:val="DefaultParagraphFont"/>
    <w:rsid w:val="00E86B8C"/>
  </w:style>
  <w:style w:type="character" w:customStyle="1" w:styleId="mw-headline">
    <w:name w:val="mw-headline"/>
    <w:basedOn w:val="DefaultParagraphFont"/>
    <w:rsid w:val="00E86B8C"/>
  </w:style>
  <w:style w:type="paragraph" w:styleId="BalloonText">
    <w:name w:val="Balloon Text"/>
    <w:basedOn w:val="Normal"/>
    <w:link w:val="BalloonTextChar"/>
    <w:uiPriority w:val="99"/>
    <w:semiHidden/>
    <w:unhideWhenUsed/>
    <w:rsid w:val="00E86B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6B8C"/>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E86B8C"/>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E86B8C"/>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E86B8C"/>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B8C"/>
    <w:rPr>
      <w:rFonts w:ascii="Times" w:hAnsi="Times"/>
      <w:b/>
      <w:bCs/>
      <w:kern w:val="36"/>
      <w:sz w:val="48"/>
      <w:szCs w:val="48"/>
      <w:lang w:val="en-AU"/>
    </w:rPr>
  </w:style>
  <w:style w:type="character" w:customStyle="1" w:styleId="Heading2Char">
    <w:name w:val="Heading 2 Char"/>
    <w:basedOn w:val="DefaultParagraphFont"/>
    <w:link w:val="Heading2"/>
    <w:uiPriority w:val="9"/>
    <w:rsid w:val="00E86B8C"/>
    <w:rPr>
      <w:rFonts w:ascii="Times" w:hAnsi="Times"/>
      <w:b/>
      <w:bCs/>
      <w:sz w:val="36"/>
      <w:szCs w:val="36"/>
      <w:lang w:val="en-AU"/>
    </w:rPr>
  </w:style>
  <w:style w:type="character" w:customStyle="1" w:styleId="Heading3Char">
    <w:name w:val="Heading 3 Char"/>
    <w:basedOn w:val="DefaultParagraphFont"/>
    <w:link w:val="Heading3"/>
    <w:uiPriority w:val="9"/>
    <w:rsid w:val="00E86B8C"/>
    <w:rPr>
      <w:rFonts w:ascii="Times" w:hAnsi="Times"/>
      <w:b/>
      <w:bCs/>
      <w:sz w:val="27"/>
      <w:szCs w:val="27"/>
      <w:lang w:val="en-AU"/>
    </w:rPr>
  </w:style>
  <w:style w:type="character" w:styleId="Hyperlink">
    <w:name w:val="Hyperlink"/>
    <w:basedOn w:val="DefaultParagraphFont"/>
    <w:uiPriority w:val="99"/>
    <w:semiHidden/>
    <w:unhideWhenUsed/>
    <w:rsid w:val="00E86B8C"/>
    <w:rPr>
      <w:color w:val="0000FF"/>
      <w:u w:val="single"/>
    </w:rPr>
  </w:style>
  <w:style w:type="paragraph" w:styleId="NormalWeb">
    <w:name w:val="Normal (Web)"/>
    <w:basedOn w:val="Normal"/>
    <w:uiPriority w:val="99"/>
    <w:semiHidden/>
    <w:unhideWhenUsed/>
    <w:rsid w:val="00E86B8C"/>
    <w:pPr>
      <w:spacing w:before="100" w:beforeAutospacing="1" w:after="100" w:afterAutospacing="1"/>
    </w:pPr>
    <w:rPr>
      <w:rFonts w:ascii="Times" w:hAnsi="Times" w:cs="Times New Roman"/>
      <w:sz w:val="20"/>
      <w:szCs w:val="20"/>
    </w:rPr>
  </w:style>
  <w:style w:type="character" w:customStyle="1" w:styleId="tocnumber">
    <w:name w:val="tocnumber"/>
    <w:basedOn w:val="DefaultParagraphFont"/>
    <w:rsid w:val="00E86B8C"/>
  </w:style>
  <w:style w:type="character" w:customStyle="1" w:styleId="toctext">
    <w:name w:val="toctext"/>
    <w:basedOn w:val="DefaultParagraphFont"/>
    <w:rsid w:val="00E86B8C"/>
  </w:style>
  <w:style w:type="character" w:customStyle="1" w:styleId="mw-headline">
    <w:name w:val="mw-headline"/>
    <w:basedOn w:val="DefaultParagraphFont"/>
    <w:rsid w:val="00E86B8C"/>
  </w:style>
  <w:style w:type="paragraph" w:styleId="BalloonText">
    <w:name w:val="Balloon Text"/>
    <w:basedOn w:val="Normal"/>
    <w:link w:val="BalloonTextChar"/>
    <w:uiPriority w:val="99"/>
    <w:semiHidden/>
    <w:unhideWhenUsed/>
    <w:rsid w:val="00E86B8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86B8C"/>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570710">
      <w:bodyDiv w:val="1"/>
      <w:marLeft w:val="0"/>
      <w:marRight w:val="0"/>
      <w:marTop w:val="0"/>
      <w:marBottom w:val="0"/>
      <w:divBdr>
        <w:top w:val="none" w:sz="0" w:space="0" w:color="auto"/>
        <w:left w:val="none" w:sz="0" w:space="0" w:color="auto"/>
        <w:bottom w:val="none" w:sz="0" w:space="0" w:color="auto"/>
        <w:right w:val="none" w:sz="0" w:space="0" w:color="auto"/>
      </w:divBdr>
      <w:divsChild>
        <w:div w:id="448282182">
          <w:marLeft w:val="0"/>
          <w:marRight w:val="0"/>
          <w:marTop w:val="0"/>
          <w:marBottom w:val="0"/>
          <w:divBdr>
            <w:top w:val="none" w:sz="0" w:space="0" w:color="auto"/>
            <w:left w:val="none" w:sz="0" w:space="0" w:color="auto"/>
            <w:bottom w:val="none" w:sz="0" w:space="0" w:color="auto"/>
            <w:right w:val="none" w:sz="0" w:space="0" w:color="auto"/>
          </w:divBdr>
          <w:divsChild>
            <w:div w:id="1883442811">
              <w:marLeft w:val="0"/>
              <w:marRight w:val="0"/>
              <w:marTop w:val="0"/>
              <w:marBottom w:val="0"/>
              <w:divBdr>
                <w:top w:val="none" w:sz="0" w:space="0" w:color="auto"/>
                <w:left w:val="none" w:sz="0" w:space="0" w:color="auto"/>
                <w:bottom w:val="none" w:sz="0" w:space="0" w:color="auto"/>
                <w:right w:val="none" w:sz="0" w:space="0" w:color="auto"/>
              </w:divBdr>
            </w:div>
          </w:divsChild>
        </w:div>
        <w:div w:id="152642261">
          <w:marLeft w:val="0"/>
          <w:marRight w:val="0"/>
          <w:marTop w:val="0"/>
          <w:marBottom w:val="0"/>
          <w:divBdr>
            <w:top w:val="none" w:sz="0" w:space="0" w:color="auto"/>
            <w:left w:val="none" w:sz="0" w:space="0" w:color="auto"/>
            <w:bottom w:val="none" w:sz="0" w:space="0" w:color="auto"/>
            <w:right w:val="none" w:sz="0" w:space="0" w:color="auto"/>
          </w:divBdr>
          <w:divsChild>
            <w:div w:id="1227913098">
              <w:marLeft w:val="0"/>
              <w:marRight w:val="0"/>
              <w:marTop w:val="0"/>
              <w:marBottom w:val="0"/>
              <w:divBdr>
                <w:top w:val="none" w:sz="0" w:space="0" w:color="auto"/>
                <w:left w:val="none" w:sz="0" w:space="0" w:color="auto"/>
                <w:bottom w:val="none" w:sz="0" w:space="0" w:color="auto"/>
                <w:right w:val="none" w:sz="0" w:space="0" w:color="auto"/>
              </w:divBdr>
              <w:divsChild>
                <w:div w:id="4625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9688">
          <w:marLeft w:val="0"/>
          <w:marRight w:val="0"/>
          <w:marTop w:val="0"/>
          <w:marBottom w:val="0"/>
          <w:divBdr>
            <w:top w:val="none" w:sz="0" w:space="0" w:color="auto"/>
            <w:left w:val="none" w:sz="0" w:space="0" w:color="auto"/>
            <w:bottom w:val="none" w:sz="0" w:space="0" w:color="auto"/>
            <w:right w:val="none" w:sz="0" w:space="0" w:color="auto"/>
          </w:divBdr>
          <w:divsChild>
            <w:div w:id="1267735302">
              <w:marLeft w:val="0"/>
              <w:marRight w:val="0"/>
              <w:marTop w:val="0"/>
              <w:marBottom w:val="0"/>
              <w:divBdr>
                <w:top w:val="none" w:sz="0" w:space="0" w:color="auto"/>
                <w:left w:val="none" w:sz="0" w:space="0" w:color="auto"/>
                <w:bottom w:val="none" w:sz="0" w:space="0" w:color="auto"/>
                <w:right w:val="none" w:sz="0" w:space="0" w:color="auto"/>
              </w:divBdr>
              <w:divsChild>
                <w:div w:id="154995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5795">
          <w:marLeft w:val="0"/>
          <w:marRight w:val="0"/>
          <w:marTop w:val="0"/>
          <w:marBottom w:val="0"/>
          <w:divBdr>
            <w:top w:val="none" w:sz="0" w:space="0" w:color="auto"/>
            <w:left w:val="none" w:sz="0" w:space="0" w:color="auto"/>
            <w:bottom w:val="none" w:sz="0" w:space="0" w:color="auto"/>
            <w:right w:val="none" w:sz="0" w:space="0" w:color="auto"/>
          </w:divBdr>
          <w:divsChild>
            <w:div w:id="1555237047">
              <w:marLeft w:val="0"/>
              <w:marRight w:val="0"/>
              <w:marTop w:val="0"/>
              <w:marBottom w:val="0"/>
              <w:divBdr>
                <w:top w:val="none" w:sz="0" w:space="0" w:color="auto"/>
                <w:left w:val="none" w:sz="0" w:space="0" w:color="auto"/>
                <w:bottom w:val="none" w:sz="0" w:space="0" w:color="auto"/>
                <w:right w:val="none" w:sz="0" w:space="0" w:color="auto"/>
              </w:divBdr>
            </w:div>
          </w:divsChild>
        </w:div>
        <w:div w:id="1675957485">
          <w:marLeft w:val="0"/>
          <w:marRight w:val="0"/>
          <w:marTop w:val="0"/>
          <w:marBottom w:val="0"/>
          <w:divBdr>
            <w:top w:val="none" w:sz="0" w:space="0" w:color="auto"/>
            <w:left w:val="none" w:sz="0" w:space="0" w:color="auto"/>
            <w:bottom w:val="none" w:sz="0" w:space="0" w:color="auto"/>
            <w:right w:val="none" w:sz="0" w:space="0" w:color="auto"/>
          </w:divBdr>
        </w:div>
        <w:div w:id="565184304">
          <w:marLeft w:val="0"/>
          <w:marRight w:val="0"/>
          <w:marTop w:val="0"/>
          <w:marBottom w:val="0"/>
          <w:divBdr>
            <w:top w:val="none" w:sz="0" w:space="0" w:color="auto"/>
            <w:left w:val="none" w:sz="0" w:space="0" w:color="auto"/>
            <w:bottom w:val="none" w:sz="0" w:space="0" w:color="auto"/>
            <w:right w:val="none" w:sz="0" w:space="0" w:color="auto"/>
          </w:divBdr>
          <w:divsChild>
            <w:div w:id="1340624272">
              <w:marLeft w:val="0"/>
              <w:marRight w:val="0"/>
              <w:marTop w:val="0"/>
              <w:marBottom w:val="0"/>
              <w:divBdr>
                <w:top w:val="none" w:sz="0" w:space="0" w:color="auto"/>
                <w:left w:val="none" w:sz="0" w:space="0" w:color="auto"/>
                <w:bottom w:val="none" w:sz="0" w:space="0" w:color="auto"/>
                <w:right w:val="none" w:sz="0" w:space="0" w:color="auto"/>
              </w:divBdr>
            </w:div>
          </w:divsChild>
        </w:div>
        <w:div w:id="1525747333">
          <w:marLeft w:val="0"/>
          <w:marRight w:val="0"/>
          <w:marTop w:val="0"/>
          <w:marBottom w:val="0"/>
          <w:divBdr>
            <w:top w:val="none" w:sz="0" w:space="0" w:color="auto"/>
            <w:left w:val="none" w:sz="0" w:space="0" w:color="auto"/>
            <w:bottom w:val="none" w:sz="0" w:space="0" w:color="auto"/>
            <w:right w:val="none" w:sz="0" w:space="0" w:color="auto"/>
          </w:divBdr>
          <w:divsChild>
            <w:div w:id="1576474865">
              <w:marLeft w:val="0"/>
              <w:marRight w:val="0"/>
              <w:marTop w:val="0"/>
              <w:marBottom w:val="0"/>
              <w:divBdr>
                <w:top w:val="none" w:sz="0" w:space="0" w:color="auto"/>
                <w:left w:val="none" w:sz="0" w:space="0" w:color="auto"/>
                <w:bottom w:val="none" w:sz="0" w:space="0" w:color="auto"/>
                <w:right w:val="none" w:sz="0" w:space="0" w:color="auto"/>
              </w:divBdr>
              <w:divsChild>
                <w:div w:id="14870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758827">
          <w:marLeft w:val="0"/>
          <w:marRight w:val="0"/>
          <w:marTop w:val="0"/>
          <w:marBottom w:val="0"/>
          <w:divBdr>
            <w:top w:val="none" w:sz="0" w:space="0" w:color="auto"/>
            <w:left w:val="none" w:sz="0" w:space="0" w:color="auto"/>
            <w:bottom w:val="none" w:sz="0" w:space="0" w:color="auto"/>
            <w:right w:val="none" w:sz="0" w:space="0" w:color="auto"/>
          </w:divBdr>
          <w:divsChild>
            <w:div w:id="53890460">
              <w:marLeft w:val="0"/>
              <w:marRight w:val="0"/>
              <w:marTop w:val="0"/>
              <w:marBottom w:val="0"/>
              <w:divBdr>
                <w:top w:val="none" w:sz="0" w:space="0" w:color="auto"/>
                <w:left w:val="none" w:sz="0" w:space="0" w:color="auto"/>
                <w:bottom w:val="none" w:sz="0" w:space="0" w:color="auto"/>
                <w:right w:val="none" w:sz="0" w:space="0" w:color="auto"/>
              </w:divBdr>
            </w:div>
          </w:divsChild>
        </w:div>
        <w:div w:id="1791851067">
          <w:marLeft w:val="0"/>
          <w:marRight w:val="0"/>
          <w:marTop w:val="0"/>
          <w:marBottom w:val="0"/>
          <w:divBdr>
            <w:top w:val="none" w:sz="0" w:space="0" w:color="auto"/>
            <w:left w:val="none" w:sz="0" w:space="0" w:color="auto"/>
            <w:bottom w:val="none" w:sz="0" w:space="0" w:color="auto"/>
            <w:right w:val="none" w:sz="0" w:space="0" w:color="auto"/>
          </w:divBdr>
          <w:divsChild>
            <w:div w:id="450130885">
              <w:marLeft w:val="0"/>
              <w:marRight w:val="0"/>
              <w:marTop w:val="0"/>
              <w:marBottom w:val="0"/>
              <w:divBdr>
                <w:top w:val="none" w:sz="0" w:space="0" w:color="auto"/>
                <w:left w:val="none" w:sz="0" w:space="0" w:color="auto"/>
                <w:bottom w:val="none" w:sz="0" w:space="0" w:color="auto"/>
                <w:right w:val="none" w:sz="0" w:space="0" w:color="auto"/>
              </w:divBdr>
              <w:divsChild>
                <w:div w:id="16083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4547">
          <w:marLeft w:val="0"/>
          <w:marRight w:val="0"/>
          <w:marTop w:val="0"/>
          <w:marBottom w:val="0"/>
          <w:divBdr>
            <w:top w:val="none" w:sz="0" w:space="0" w:color="auto"/>
            <w:left w:val="none" w:sz="0" w:space="0" w:color="auto"/>
            <w:bottom w:val="none" w:sz="0" w:space="0" w:color="auto"/>
            <w:right w:val="none" w:sz="0" w:space="0" w:color="auto"/>
          </w:divBdr>
          <w:divsChild>
            <w:div w:id="1647972404">
              <w:marLeft w:val="0"/>
              <w:marRight w:val="0"/>
              <w:marTop w:val="0"/>
              <w:marBottom w:val="0"/>
              <w:divBdr>
                <w:top w:val="none" w:sz="0" w:space="0" w:color="auto"/>
                <w:left w:val="none" w:sz="0" w:space="0" w:color="auto"/>
                <w:bottom w:val="none" w:sz="0" w:space="0" w:color="auto"/>
                <w:right w:val="none" w:sz="0" w:space="0" w:color="auto"/>
              </w:divBdr>
            </w:div>
          </w:divsChild>
        </w:div>
        <w:div w:id="875848828">
          <w:marLeft w:val="0"/>
          <w:marRight w:val="0"/>
          <w:marTop w:val="0"/>
          <w:marBottom w:val="0"/>
          <w:divBdr>
            <w:top w:val="none" w:sz="0" w:space="0" w:color="auto"/>
            <w:left w:val="none" w:sz="0" w:space="0" w:color="auto"/>
            <w:bottom w:val="none" w:sz="0" w:space="0" w:color="auto"/>
            <w:right w:val="none" w:sz="0" w:space="0" w:color="auto"/>
          </w:divBdr>
          <w:divsChild>
            <w:div w:id="1822232715">
              <w:marLeft w:val="0"/>
              <w:marRight w:val="0"/>
              <w:marTop w:val="0"/>
              <w:marBottom w:val="0"/>
              <w:divBdr>
                <w:top w:val="none" w:sz="0" w:space="0" w:color="auto"/>
                <w:left w:val="none" w:sz="0" w:space="0" w:color="auto"/>
                <w:bottom w:val="none" w:sz="0" w:space="0" w:color="auto"/>
                <w:right w:val="none" w:sz="0" w:space="0" w:color="auto"/>
              </w:divBdr>
              <w:divsChild>
                <w:div w:id="37350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4995">
          <w:marLeft w:val="0"/>
          <w:marRight w:val="0"/>
          <w:marTop w:val="0"/>
          <w:marBottom w:val="0"/>
          <w:divBdr>
            <w:top w:val="none" w:sz="0" w:space="0" w:color="auto"/>
            <w:left w:val="none" w:sz="0" w:space="0" w:color="auto"/>
            <w:bottom w:val="none" w:sz="0" w:space="0" w:color="auto"/>
            <w:right w:val="none" w:sz="0" w:space="0" w:color="auto"/>
          </w:divBdr>
          <w:divsChild>
            <w:div w:id="364142082">
              <w:marLeft w:val="0"/>
              <w:marRight w:val="0"/>
              <w:marTop w:val="0"/>
              <w:marBottom w:val="0"/>
              <w:divBdr>
                <w:top w:val="none" w:sz="0" w:space="0" w:color="auto"/>
                <w:left w:val="none" w:sz="0" w:space="0" w:color="auto"/>
                <w:bottom w:val="none" w:sz="0" w:space="0" w:color="auto"/>
                <w:right w:val="none" w:sz="0" w:space="0" w:color="auto"/>
              </w:divBdr>
            </w:div>
          </w:divsChild>
        </w:div>
        <w:div w:id="1427310751">
          <w:marLeft w:val="0"/>
          <w:marRight w:val="0"/>
          <w:marTop w:val="0"/>
          <w:marBottom w:val="0"/>
          <w:divBdr>
            <w:top w:val="none" w:sz="0" w:space="0" w:color="auto"/>
            <w:left w:val="none" w:sz="0" w:space="0" w:color="auto"/>
            <w:bottom w:val="none" w:sz="0" w:space="0" w:color="auto"/>
            <w:right w:val="none" w:sz="0" w:space="0" w:color="auto"/>
          </w:divBdr>
          <w:divsChild>
            <w:div w:id="1954897682">
              <w:marLeft w:val="0"/>
              <w:marRight w:val="0"/>
              <w:marTop w:val="0"/>
              <w:marBottom w:val="0"/>
              <w:divBdr>
                <w:top w:val="none" w:sz="0" w:space="0" w:color="auto"/>
                <w:left w:val="none" w:sz="0" w:space="0" w:color="auto"/>
                <w:bottom w:val="none" w:sz="0" w:space="0" w:color="auto"/>
                <w:right w:val="none" w:sz="0" w:space="0" w:color="auto"/>
              </w:divBdr>
              <w:divsChild>
                <w:div w:id="2801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3086">
          <w:marLeft w:val="0"/>
          <w:marRight w:val="0"/>
          <w:marTop w:val="0"/>
          <w:marBottom w:val="0"/>
          <w:divBdr>
            <w:top w:val="none" w:sz="0" w:space="0" w:color="auto"/>
            <w:left w:val="none" w:sz="0" w:space="0" w:color="auto"/>
            <w:bottom w:val="none" w:sz="0" w:space="0" w:color="auto"/>
            <w:right w:val="none" w:sz="0" w:space="0" w:color="auto"/>
          </w:divBdr>
          <w:divsChild>
            <w:div w:id="1357148977">
              <w:marLeft w:val="0"/>
              <w:marRight w:val="0"/>
              <w:marTop w:val="0"/>
              <w:marBottom w:val="0"/>
              <w:divBdr>
                <w:top w:val="none" w:sz="0" w:space="0" w:color="auto"/>
                <w:left w:val="none" w:sz="0" w:space="0" w:color="auto"/>
                <w:bottom w:val="none" w:sz="0" w:space="0" w:color="auto"/>
                <w:right w:val="none" w:sz="0" w:space="0" w:color="auto"/>
              </w:divBdr>
            </w:div>
          </w:divsChild>
        </w:div>
        <w:div w:id="2139832829">
          <w:marLeft w:val="0"/>
          <w:marRight w:val="0"/>
          <w:marTop w:val="0"/>
          <w:marBottom w:val="0"/>
          <w:divBdr>
            <w:top w:val="none" w:sz="0" w:space="0" w:color="auto"/>
            <w:left w:val="none" w:sz="0" w:space="0" w:color="auto"/>
            <w:bottom w:val="none" w:sz="0" w:space="0" w:color="auto"/>
            <w:right w:val="none" w:sz="0" w:space="0" w:color="auto"/>
          </w:divBdr>
          <w:divsChild>
            <w:div w:id="2108845671">
              <w:marLeft w:val="0"/>
              <w:marRight w:val="0"/>
              <w:marTop w:val="0"/>
              <w:marBottom w:val="0"/>
              <w:divBdr>
                <w:top w:val="none" w:sz="0" w:space="0" w:color="auto"/>
                <w:left w:val="none" w:sz="0" w:space="0" w:color="auto"/>
                <w:bottom w:val="none" w:sz="0" w:space="0" w:color="auto"/>
                <w:right w:val="none" w:sz="0" w:space="0" w:color="auto"/>
              </w:divBdr>
              <w:divsChild>
                <w:div w:id="9579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4420">
          <w:marLeft w:val="0"/>
          <w:marRight w:val="0"/>
          <w:marTop w:val="0"/>
          <w:marBottom w:val="0"/>
          <w:divBdr>
            <w:top w:val="none" w:sz="0" w:space="0" w:color="auto"/>
            <w:left w:val="none" w:sz="0" w:space="0" w:color="auto"/>
            <w:bottom w:val="none" w:sz="0" w:space="0" w:color="auto"/>
            <w:right w:val="none" w:sz="0" w:space="0" w:color="auto"/>
          </w:divBdr>
          <w:divsChild>
            <w:div w:id="273485739">
              <w:marLeft w:val="0"/>
              <w:marRight w:val="0"/>
              <w:marTop w:val="0"/>
              <w:marBottom w:val="0"/>
              <w:divBdr>
                <w:top w:val="none" w:sz="0" w:space="0" w:color="auto"/>
                <w:left w:val="none" w:sz="0" w:space="0" w:color="auto"/>
                <w:bottom w:val="none" w:sz="0" w:space="0" w:color="auto"/>
                <w:right w:val="none" w:sz="0" w:space="0" w:color="auto"/>
              </w:divBdr>
            </w:div>
          </w:divsChild>
        </w:div>
        <w:div w:id="638611077">
          <w:marLeft w:val="0"/>
          <w:marRight w:val="0"/>
          <w:marTop w:val="0"/>
          <w:marBottom w:val="0"/>
          <w:divBdr>
            <w:top w:val="none" w:sz="0" w:space="0" w:color="auto"/>
            <w:left w:val="none" w:sz="0" w:space="0" w:color="auto"/>
            <w:bottom w:val="none" w:sz="0" w:space="0" w:color="auto"/>
            <w:right w:val="none" w:sz="0" w:space="0" w:color="auto"/>
          </w:divBdr>
          <w:divsChild>
            <w:div w:id="210574826">
              <w:marLeft w:val="0"/>
              <w:marRight w:val="0"/>
              <w:marTop w:val="0"/>
              <w:marBottom w:val="0"/>
              <w:divBdr>
                <w:top w:val="none" w:sz="0" w:space="0" w:color="auto"/>
                <w:left w:val="none" w:sz="0" w:space="0" w:color="auto"/>
                <w:bottom w:val="none" w:sz="0" w:space="0" w:color="auto"/>
                <w:right w:val="none" w:sz="0" w:space="0" w:color="auto"/>
              </w:divBdr>
              <w:divsChild>
                <w:div w:id="7604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North_India" TargetMode="External"/><Relationship Id="rId14" Type="http://schemas.openxmlformats.org/officeDocument/2006/relationships/hyperlink" Target="http://en.wikipedia.org/wiki/Central_Provinces" TargetMode="External"/><Relationship Id="rId15" Type="http://schemas.openxmlformats.org/officeDocument/2006/relationships/hyperlink" Target="http://en.wikipedia.org/wiki/North-Western_Provinces" TargetMode="External"/><Relationship Id="rId16" Type="http://schemas.openxmlformats.org/officeDocument/2006/relationships/hyperlink" Target="http://en.wikipedia.org/wiki/Punjab_region" TargetMode="External"/><Relationship Id="rId17" Type="http://schemas.openxmlformats.org/officeDocument/2006/relationships/hyperlink" Target="http://en.wikipedia.org/wiki/File:GrainFamineMadras.jpg" TargetMode="External"/><Relationship Id="rId18" Type="http://schemas.openxmlformats.org/officeDocument/2006/relationships/image" Target="media/image1.jpeg"/><Relationship Id="rId19" Type="http://schemas.openxmlformats.org/officeDocument/2006/relationships/hyperlink" Target="http://en.wikipedia.org/wiki/Deccan_Plateau" TargetMode="External"/><Relationship Id="rId50" Type="http://schemas.openxmlformats.org/officeDocument/2006/relationships/hyperlink" Target="http://en.wikipedia.org/wiki/A._O._Hume" TargetMode="External"/><Relationship Id="rId51" Type="http://schemas.openxmlformats.org/officeDocument/2006/relationships/hyperlink" Target="http://en.wikipedia.org/wiki/Indian_National_Congress" TargetMode="External"/><Relationship Id="rId52" Type="http://schemas.openxmlformats.org/officeDocument/2006/relationships/hyperlink" Target="http://en.wikipedia.org/wiki/Indian_nationalist" TargetMode="External"/><Relationship Id="rId53" Type="http://schemas.openxmlformats.org/officeDocument/2006/relationships/hyperlink" Target="http://en.wikipedia.org/wiki/Dadabhai_Naoroji" TargetMode="External"/><Relationship Id="rId54" Type="http://schemas.openxmlformats.org/officeDocument/2006/relationships/hyperlink" Target="http://en.wikipedia.org/wiki/Romesh_Chunder_Dutt" TargetMode="External"/><Relationship Id="rId55" Type="http://schemas.openxmlformats.org/officeDocument/2006/relationships/hyperlink" Target="http://en.wikipedia.org/wiki/British_Raj"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en.wikipedia.org/wiki/Bangalore" TargetMode="External"/><Relationship Id="rId41" Type="http://schemas.openxmlformats.org/officeDocument/2006/relationships/hyperlink" Target="http://en.wikipedia.org/wiki/British_Raj" TargetMode="External"/><Relationship Id="rId42" Type="http://schemas.openxmlformats.org/officeDocument/2006/relationships/hyperlink" Target="http://en.wikipedia.org/wiki/Kingdom_of_Mysore" TargetMode="External"/><Relationship Id="rId43" Type="http://schemas.openxmlformats.org/officeDocument/2006/relationships/hyperlink" Target="http://en.wikipedia.org/wiki/Madras_Presidency" TargetMode="External"/><Relationship Id="rId44" Type="http://schemas.openxmlformats.org/officeDocument/2006/relationships/hyperlink" Target="http://en.wikipedia.org/wiki/C._V._Rungacharlu" TargetMode="External"/><Relationship Id="rId45" Type="http://schemas.openxmlformats.org/officeDocument/2006/relationships/hyperlink" Target="http://en.wikipedia.org/wiki/Handloom_weaver" TargetMode="External"/><Relationship Id="rId46" Type="http://schemas.openxmlformats.org/officeDocument/2006/relationships/hyperlink" Target="http://en.wikipedia.org/wiki/South_India" TargetMode="External"/><Relationship Id="rId47" Type="http://schemas.openxmlformats.org/officeDocument/2006/relationships/hyperlink" Target="http://en.wikipedia.org/wiki/Indentured_servant" TargetMode="External"/><Relationship Id="rId48" Type="http://schemas.openxmlformats.org/officeDocument/2006/relationships/hyperlink" Target="http://en.wikipedia.org/wiki/Kummi" TargetMode="External"/><Relationship Id="rId49" Type="http://schemas.openxmlformats.org/officeDocument/2006/relationships/hyperlink" Target="http://en.wikipedia.org/wiki/William_Wedderbur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en.wikipedia.org/wiki/Famine" TargetMode="External"/><Relationship Id="rId7" Type="http://schemas.openxmlformats.org/officeDocument/2006/relationships/hyperlink" Target="http://en.wikipedia.org/wiki/South_India" TargetMode="External"/><Relationship Id="rId8" Type="http://schemas.openxmlformats.org/officeDocument/2006/relationships/hyperlink" Target="http://en.wikipedia.org/wiki/West_India" TargetMode="External"/><Relationship Id="rId9" Type="http://schemas.openxmlformats.org/officeDocument/2006/relationships/hyperlink" Target="http://en.wikipedia.org/wiki/Madras_Presidency" TargetMode="External"/><Relationship Id="rId30" Type="http://schemas.openxmlformats.org/officeDocument/2006/relationships/hyperlink" Target="http://en.wikipedia.org/wiki/Dependent_personality_disorder" TargetMode="External"/><Relationship Id="rId31" Type="http://schemas.openxmlformats.org/officeDocument/2006/relationships/hyperlink" Target="http://en.wikipedia.org/wiki/W._R._Cornish" TargetMode="External"/><Relationship Id="rId32" Type="http://schemas.openxmlformats.org/officeDocument/2006/relationships/hyperlink" Target="http://en.wikipedia.org/wiki/Madras_Presidency" TargetMode="External"/><Relationship Id="rId33" Type="http://schemas.openxmlformats.org/officeDocument/2006/relationships/hyperlink" Target="http://en.wikipedia.org/wiki/Ounce" TargetMode="External"/><Relationship Id="rId34" Type="http://schemas.openxmlformats.org/officeDocument/2006/relationships/hyperlink" Target="http://en.wikipedia.org/wiki/Gram" TargetMode="External"/><Relationship Id="rId35" Type="http://schemas.openxmlformats.org/officeDocument/2006/relationships/hyperlink" Target="http://en.wikipedia.org/wiki/Daal" TargetMode="External"/><Relationship Id="rId36" Type="http://schemas.openxmlformats.org/officeDocument/2006/relationships/hyperlink" Target="http://en.wikipedia.org/wiki/Pulse_%28legume%29" TargetMode="External"/><Relationship Id="rId37" Type="http://schemas.openxmlformats.org/officeDocument/2006/relationships/hyperlink" Target="http://en.wikipedia.org/wiki/United_Provinces_of_Agra_and_Oudh" TargetMode="External"/><Relationship Id="rId38" Type="http://schemas.openxmlformats.org/officeDocument/2006/relationships/hyperlink" Target="http://en.wikipedia.org/wiki/Malaria" TargetMode="External"/><Relationship Id="rId39" Type="http://schemas.openxmlformats.org/officeDocument/2006/relationships/hyperlink" Target="http://en.wikipedia.org/wiki/Kolar" TargetMode="External"/><Relationship Id="rId20" Type="http://schemas.openxmlformats.org/officeDocument/2006/relationships/hyperlink" Target="http://en.wikipedia.org/wiki/Robert_Bulwer-Lytton,_1st_Earl_of_Lytton" TargetMode="External"/><Relationship Id="rId21" Type="http://schemas.openxmlformats.org/officeDocument/2006/relationships/hyperlink" Target="http://en.wikipedia.org/wiki/Bihar_famine_of_1873%E2%80%9374" TargetMode="External"/><Relationship Id="rId22" Type="http://schemas.openxmlformats.org/officeDocument/2006/relationships/hyperlink" Target="http://en.wikipedia.org/wiki/Bengal_Presidency" TargetMode="External"/><Relationship Id="rId23" Type="http://schemas.openxmlformats.org/officeDocument/2006/relationships/hyperlink" Target="http://en.wikipedia.org/wiki/Sir_Richard_Temple,_1st_Baronet" TargetMode="External"/><Relationship Id="rId24" Type="http://schemas.openxmlformats.org/officeDocument/2006/relationships/hyperlink" Target="http://en.wikipedia.org/wiki/Laissez_faire" TargetMode="External"/><Relationship Id="rId25" Type="http://schemas.openxmlformats.org/officeDocument/2006/relationships/hyperlink" Target="http://en.wikipedia.org/wiki/Elderly" TargetMode="External"/><Relationship Id="rId26" Type="http://schemas.openxmlformats.org/officeDocument/2006/relationships/hyperlink" Target="http://en.wikipedia.org/wiki/Indigent" TargetMode="External"/><Relationship Id="rId27" Type="http://schemas.openxmlformats.org/officeDocument/2006/relationships/hyperlink" Target="http://en.wikipedia.org/wiki/Bombay_Presidency" TargetMode="External"/><Relationship Id="rId28" Type="http://schemas.openxmlformats.org/officeDocument/2006/relationships/hyperlink" Target="http://en.wikipedia.org/wiki/Madras_Presidency" TargetMode="External"/><Relationship Id="rId29" Type="http://schemas.openxmlformats.org/officeDocument/2006/relationships/hyperlink" Target="http://en.wikipedia.org/wiki/Indian_anna" TargetMode="External"/><Relationship Id="rId10" Type="http://schemas.openxmlformats.org/officeDocument/2006/relationships/hyperlink" Target="http://en.wikipedia.org/wiki/Kingdom_of_Mysore" TargetMode="External"/><Relationship Id="rId11" Type="http://schemas.openxmlformats.org/officeDocument/2006/relationships/hyperlink" Target="http://en.wikipedia.org/wiki/Hyderabad_State" TargetMode="External"/><Relationship Id="rId12" Type="http://schemas.openxmlformats.org/officeDocument/2006/relationships/hyperlink" Target="http://en.wikipedia.org/wiki/Bombay_Presid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1894</Words>
  <Characters>9565</Characters>
  <Application>Microsoft Macintosh Word</Application>
  <DocSecurity>0</DocSecurity>
  <Lines>142</Lines>
  <Paragraphs>38</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The Great Famine of 1876–78</vt:lpstr>
      <vt:lpstr>    Preceding events</vt:lpstr>
      <vt:lpstr>    Famine and relief</vt:lpstr>
      <vt:lpstr>        Famine in Mysore State</vt:lpstr>
      <vt:lpstr>    Aftermath</vt:lpstr>
    </vt:vector>
  </TitlesOfParts>
  <Manager/>
  <Company/>
  <LinksUpToDate>false</LinksUpToDate>
  <CharactersWithSpaces>11421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2015-01-26T03:43:00Z</dcterms:created>
  <dcterms:modified xsi:type="dcterms:W3CDTF">2015-01-26T03:52:00Z</dcterms:modified>
  <cp:category/>
</cp:coreProperties>
</file>