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62E" w:rsidRPr="008228E3" w:rsidRDefault="00A2762E" w:rsidP="00A2762E">
      <w:pPr>
        <w:shd w:val="clear" w:color="auto" w:fill="F3F3ED"/>
        <w:spacing w:line="408" w:lineRule="atLeast"/>
        <w:rPr>
          <w:rFonts w:ascii="Verdana" w:eastAsia="Times New Roman" w:hAnsi="Verdana"/>
          <w:b/>
          <w:bCs/>
          <w:color w:val="444444"/>
          <w:lang w:eastAsia="en-AU"/>
        </w:rPr>
      </w:pPr>
      <w:r w:rsidRPr="008228E3">
        <w:rPr>
          <w:rFonts w:ascii="Verdana" w:eastAsia="Times New Roman" w:hAnsi="Verdana"/>
          <w:b/>
          <w:bCs/>
          <w:color w:val="444444"/>
          <w:lang w:eastAsia="en-AU"/>
        </w:rPr>
        <w:t>THE BALFOUR REPORT 1926</w:t>
      </w:r>
    </w:p>
    <w:p w:rsidR="00A2762E" w:rsidRDefault="00A2762E" w:rsidP="00A2762E">
      <w:pPr>
        <w:shd w:val="clear" w:color="auto" w:fill="F3F3ED"/>
        <w:spacing w:line="408" w:lineRule="atLeast"/>
        <w:rPr>
          <w:rFonts w:ascii="Verdana" w:eastAsia="Times New Roman" w:hAnsi="Verdana"/>
          <w:b/>
          <w:bCs/>
          <w:color w:val="444444"/>
          <w:sz w:val="18"/>
          <w:szCs w:val="18"/>
          <w:lang w:eastAsia="en-AU"/>
        </w:rPr>
      </w:pPr>
    </w:p>
    <w:p w:rsidR="00A2762E" w:rsidRPr="008228E3" w:rsidRDefault="00A2762E" w:rsidP="00A2762E">
      <w:pPr>
        <w:shd w:val="clear" w:color="auto" w:fill="F3F3ED"/>
        <w:spacing w:line="408" w:lineRule="atLeast"/>
        <w:rPr>
          <w:rFonts w:ascii="Verdana" w:eastAsia="Times New Roman" w:hAnsi="Verdana"/>
          <w:b/>
          <w:bCs/>
          <w:color w:val="444444"/>
          <w:lang w:eastAsia="en-AU"/>
        </w:rPr>
      </w:pPr>
      <w:r w:rsidRPr="008228E3">
        <w:rPr>
          <w:rFonts w:ascii="Verdana" w:eastAsia="Times New Roman" w:hAnsi="Verdana"/>
          <w:b/>
          <w:bCs/>
          <w:color w:val="444444"/>
          <w:lang w:eastAsia="en-AU"/>
        </w:rPr>
        <w:t>Significance</w:t>
      </w:r>
    </w:p>
    <w:p w:rsidR="00A2762E" w:rsidRPr="008228E3" w:rsidRDefault="00A2762E" w:rsidP="008228E3">
      <w:pPr>
        <w:shd w:val="clear" w:color="auto" w:fill="F3F3ED"/>
        <w:spacing w:after="240" w:line="360" w:lineRule="atLeast"/>
        <w:jc w:val="both"/>
        <w:rPr>
          <w:rFonts w:ascii="Verdana" w:eastAsia="Times New Roman" w:hAnsi="Verdana"/>
          <w:color w:val="333333"/>
          <w:lang w:eastAsia="en-AU"/>
        </w:rPr>
      </w:pPr>
      <w:r w:rsidRPr="008228E3">
        <w:rPr>
          <w:rFonts w:ascii="Verdana" w:eastAsia="Times New Roman" w:hAnsi="Verdana"/>
          <w:color w:val="333333"/>
          <w:lang w:eastAsia="en-AU"/>
        </w:rPr>
        <w:t>This document from the 1926 Imperial Conference declares the United Kingdom and its Dominions equal in status in all matters of internal and external affairs. This replaced the principle of a hierarchical relationship with one of 'autonomous communities within the British empire, equal in status ... and freely associated as members of the British Commonwealth of Nations'.</w:t>
      </w:r>
      <w:r w:rsidRPr="008228E3">
        <w:rPr>
          <w:rFonts w:ascii="Verdana" w:eastAsia="Times New Roman" w:hAnsi="Verdana"/>
          <w:color w:val="333333"/>
          <w:lang w:eastAsia="en-AU"/>
        </w:rPr>
        <w:br/>
      </w:r>
      <w:r w:rsidRPr="008228E3">
        <w:rPr>
          <w:rFonts w:ascii="Verdana" w:eastAsia="Times New Roman" w:hAnsi="Verdana"/>
          <w:color w:val="333333"/>
          <w:lang w:eastAsia="en-AU"/>
        </w:rPr>
        <w:br/>
        <w:t xml:space="preserve">One of many printed copies, this document represents an important step in Australia's path to independent nationhood. This step was based on agreement to this report at the 1926 Imperial Conference, by which the British Commonwealth accepted the principles underpinning the autonomy of the self-governing Dominions. The international recognition of the free and equal status of the Dominion members of the League of Nations was thus affirmed within the British Commonwealth. The law enacting these principles was the </w:t>
      </w:r>
      <w:hyperlink r:id="rId5" w:history="1">
        <w:r w:rsidRPr="008228E3">
          <w:rPr>
            <w:rFonts w:ascii="Verdana" w:eastAsia="Times New Roman" w:hAnsi="Verdana"/>
            <w:lang w:eastAsia="en-AU"/>
          </w:rPr>
          <w:t>Statute of Westminster</w:t>
        </w:r>
      </w:hyperlink>
      <w:r w:rsidRPr="008228E3">
        <w:rPr>
          <w:rFonts w:ascii="Verdana" w:eastAsia="Times New Roman" w:hAnsi="Verdana"/>
          <w:lang w:eastAsia="en-AU"/>
        </w:rPr>
        <w:t xml:space="preserve"> </w:t>
      </w:r>
      <w:r w:rsidRPr="008228E3">
        <w:rPr>
          <w:rFonts w:ascii="Verdana" w:eastAsia="Times New Roman" w:hAnsi="Verdana"/>
          <w:color w:val="333333"/>
          <w:lang w:eastAsia="en-AU"/>
        </w:rPr>
        <w:t>in 1931, adopted by Australia in 1942. The Imperial Conference was arranged to follow the 1926 General Assembly of the League of Nations in Geneva in September, and met in London immediately after. The Balfour Committee held 'long and intricate' discussions over 15 meetings from Wednesday 27 October to Friday 19 November. The Committee rejected the idea of a written Constitution for the British Empire, preferring the British model of implicit rather than explicit constitutional guidelines and guarantees. Balfour opened the first meeting of the Committee by stating that the 1914–18 war had left the Empire 'unexplained and undefined' a situation complicated by the role of the Dominions 'in framing and signing the Treaty'.</w:t>
      </w:r>
      <w:r w:rsidRPr="008228E3">
        <w:rPr>
          <w:rFonts w:ascii="Verdana" w:eastAsia="Times New Roman" w:hAnsi="Verdana"/>
          <w:color w:val="333333"/>
          <w:lang w:eastAsia="en-AU"/>
        </w:rPr>
        <w:br/>
      </w:r>
      <w:r w:rsidRPr="008228E3">
        <w:rPr>
          <w:rFonts w:ascii="Verdana" w:eastAsia="Times New Roman" w:hAnsi="Verdana"/>
          <w:color w:val="333333"/>
          <w:lang w:eastAsia="en-AU"/>
        </w:rPr>
        <w:br/>
        <w:t>In the report Balfour wrote that the Dominions' 'tendency towards equality of status was both right and inevitable' and that geographic and historic differences meant that this could not be achieved by a federation of nations within the Empire, but had to be sought 'by the way of autonomy'. Balfour declared that the British Empire</w:t>
      </w:r>
    </w:p>
    <w:p w:rsidR="00A2762E" w:rsidRPr="008228E3" w:rsidRDefault="00A2762E" w:rsidP="008228E3">
      <w:pPr>
        <w:shd w:val="clear" w:color="auto" w:fill="F3F3ED"/>
        <w:spacing w:line="360" w:lineRule="atLeast"/>
        <w:jc w:val="both"/>
        <w:rPr>
          <w:rFonts w:ascii="Verdana" w:eastAsia="Times New Roman" w:hAnsi="Verdana"/>
          <w:color w:val="333333"/>
          <w:lang w:eastAsia="en-AU"/>
        </w:rPr>
      </w:pPr>
      <w:r w:rsidRPr="008228E3">
        <w:rPr>
          <w:rFonts w:ascii="Verdana" w:eastAsia="Times New Roman" w:hAnsi="Verdana"/>
          <w:color w:val="333333"/>
          <w:lang w:eastAsia="en-AU"/>
        </w:rPr>
        <w:lastRenderedPageBreak/>
        <w:t>Depends essentially, if not formally, on positive ideals. Free institutions are its lifeblood. Free co-operation is its instrument. Peace, security and progress are among its objects ... And though every Dominion is now, and must always remain, the sole judge of the nature and extent of its co-operation, no common cause will, in our opinion, be thereby imperilled. Equality of status, so far as Britain and the Dominions are concerned, is thus the root principle governing our Inter-Imperial Relations.</w:t>
      </w:r>
    </w:p>
    <w:p w:rsidR="00A2762E" w:rsidRPr="008228E3" w:rsidRDefault="00A2762E" w:rsidP="008228E3">
      <w:pPr>
        <w:shd w:val="clear" w:color="auto" w:fill="F3F3ED"/>
        <w:spacing w:after="240" w:line="360" w:lineRule="atLeast"/>
        <w:jc w:val="both"/>
        <w:rPr>
          <w:rFonts w:ascii="Verdana" w:eastAsia="Times New Roman" w:hAnsi="Verdana"/>
          <w:color w:val="333333"/>
          <w:lang w:eastAsia="en-AU"/>
        </w:rPr>
      </w:pPr>
      <w:r w:rsidRPr="008228E3">
        <w:rPr>
          <w:rFonts w:ascii="Verdana" w:eastAsia="Times New Roman" w:hAnsi="Verdana"/>
          <w:color w:val="333333"/>
          <w:lang w:eastAsia="en-AU"/>
        </w:rPr>
        <w:t>Equality of status, so far as Britain and the Dominions are concerned, is thus the root principle governing our Inter-Imperial Relations.</w:t>
      </w:r>
      <w:r w:rsidRPr="008228E3">
        <w:rPr>
          <w:rFonts w:ascii="Verdana" w:eastAsia="Times New Roman" w:hAnsi="Verdana"/>
          <w:color w:val="333333"/>
          <w:lang w:eastAsia="en-AU"/>
        </w:rPr>
        <w:br/>
      </w:r>
      <w:r w:rsidRPr="008228E3">
        <w:rPr>
          <w:rFonts w:ascii="Verdana" w:eastAsia="Times New Roman" w:hAnsi="Verdana"/>
          <w:color w:val="333333"/>
          <w:lang w:eastAsia="en-AU"/>
        </w:rPr>
        <w:br/>
        <w:t>The effects of the report included the recognition of the equal status of legislation passed by Dominion parliaments with British legislation and that the British Parliament would only enact laws applying to a Dominion with the consent of that Dominion's government. Another important statement in the Balfour report was that:</w:t>
      </w:r>
    </w:p>
    <w:p w:rsidR="00A2762E" w:rsidRPr="008228E3" w:rsidRDefault="00A2762E" w:rsidP="008228E3">
      <w:pPr>
        <w:shd w:val="clear" w:color="auto" w:fill="F3F3ED"/>
        <w:spacing w:line="360" w:lineRule="atLeast"/>
        <w:jc w:val="both"/>
        <w:rPr>
          <w:rFonts w:ascii="Verdana" w:eastAsia="Times New Roman" w:hAnsi="Verdana"/>
          <w:color w:val="333333"/>
          <w:lang w:eastAsia="en-AU"/>
        </w:rPr>
      </w:pPr>
      <w:r w:rsidRPr="008228E3">
        <w:rPr>
          <w:rFonts w:ascii="Verdana" w:eastAsia="Times New Roman" w:hAnsi="Verdana"/>
          <w:color w:val="333333"/>
          <w:lang w:eastAsia="en-AU"/>
        </w:rPr>
        <w:t>It is the right of the Government of each Dominion to advise the Crown on all matters relating to its own affairs. Consequently, it would not be in accordance with constitutional practice for advice to be tendered to His Majesty by His Majesty's Government ... [on a Dominion matter] against the views of the Government of that Dominion.</w:t>
      </w:r>
    </w:p>
    <w:p w:rsidR="008F5134" w:rsidRPr="008228E3" w:rsidRDefault="008F5134" w:rsidP="008228E3">
      <w:pPr>
        <w:shd w:val="clear" w:color="auto" w:fill="F3F3ED"/>
        <w:spacing w:line="360" w:lineRule="atLeast"/>
        <w:jc w:val="both"/>
        <w:rPr>
          <w:rFonts w:ascii="Verdana" w:eastAsia="Times New Roman" w:hAnsi="Verdana"/>
          <w:color w:val="333333"/>
          <w:lang w:eastAsia="en-AU"/>
        </w:rPr>
      </w:pPr>
    </w:p>
    <w:p w:rsidR="008228E3" w:rsidRDefault="008228E3" w:rsidP="008228E3">
      <w:pPr>
        <w:spacing w:line="240" w:lineRule="atLeast"/>
        <w:rPr>
          <w:rFonts w:ascii="Verdana" w:eastAsia="Times New Roman" w:hAnsi="Verdana"/>
          <w:color w:val="333333"/>
          <w:lang w:eastAsia="en-AU"/>
        </w:rPr>
      </w:pPr>
    </w:p>
    <w:p w:rsidR="008228E3" w:rsidRDefault="008228E3" w:rsidP="008228E3">
      <w:pPr>
        <w:spacing w:line="240" w:lineRule="atLeast"/>
        <w:rPr>
          <w:rFonts w:ascii="Verdana" w:eastAsia="Times New Roman" w:hAnsi="Verdana"/>
          <w:color w:val="333333"/>
          <w:lang w:eastAsia="en-AU"/>
        </w:rPr>
      </w:pPr>
    </w:p>
    <w:p w:rsidR="002B1A5D" w:rsidRPr="001D5715" w:rsidRDefault="00A2762E" w:rsidP="008228E3">
      <w:pPr>
        <w:spacing w:line="240" w:lineRule="atLeast"/>
        <w:rPr>
          <w:rFonts w:ascii="Verdana" w:hAnsi="Verdana"/>
        </w:rPr>
      </w:pPr>
      <w:r w:rsidRPr="001D5715">
        <w:rPr>
          <w:rFonts w:ascii="Verdana" w:eastAsia="Times New Roman" w:hAnsi="Verdana"/>
          <w:color w:val="333333"/>
          <w:lang w:eastAsia="en-AU"/>
        </w:rPr>
        <w:t xml:space="preserve">This soon had a direct effect in Australia. </w:t>
      </w:r>
      <w:proofErr w:type="spellStart"/>
      <w:r w:rsidRPr="001D5715">
        <w:rPr>
          <w:rFonts w:ascii="Verdana" w:eastAsia="Times New Roman" w:hAnsi="Verdana"/>
          <w:color w:val="333333"/>
          <w:lang w:eastAsia="en-AU"/>
        </w:rPr>
        <w:t>Labor</w:t>
      </w:r>
      <w:proofErr w:type="spellEnd"/>
      <w:r w:rsidRPr="001D5715">
        <w:rPr>
          <w:rFonts w:ascii="Verdana" w:eastAsia="Times New Roman" w:hAnsi="Verdana"/>
          <w:color w:val="333333"/>
          <w:lang w:eastAsia="en-AU"/>
        </w:rPr>
        <w:t xml:space="preserve"> Prime Minister, James Scullin, while in London for the 1930 Imperial Conference, recommended the appointment of </w:t>
      </w:r>
      <w:hyperlink r:id="rId6" w:anchor="pID23" w:history="1">
        <w:r w:rsidRPr="001D5715">
          <w:rPr>
            <w:rFonts w:ascii="Verdana" w:eastAsia="Times New Roman" w:hAnsi="Verdana"/>
            <w:color w:val="CC6633"/>
            <w:lang w:eastAsia="en-AU"/>
          </w:rPr>
          <w:t>Sir Isaac Isaacs</w:t>
        </w:r>
      </w:hyperlink>
      <w:r w:rsidRPr="001D5715">
        <w:rPr>
          <w:rFonts w:ascii="Verdana" w:eastAsia="Times New Roman" w:hAnsi="Verdana"/>
          <w:color w:val="333333"/>
          <w:lang w:eastAsia="en-AU"/>
        </w:rPr>
        <w:t xml:space="preserve"> as the next Governor-General to King George V, rather than following the convention of this choice being made by the King, advised by the British government.</w:t>
      </w:r>
      <w:r w:rsidRPr="001D5715">
        <w:rPr>
          <w:rFonts w:ascii="Verdana" w:eastAsia="Times New Roman" w:hAnsi="Verdana"/>
          <w:color w:val="333333"/>
          <w:lang w:eastAsia="en-AU"/>
        </w:rPr>
        <w:br/>
      </w:r>
      <w:bookmarkStart w:id="0" w:name="_GoBack"/>
      <w:bookmarkEnd w:id="0"/>
      <w:r w:rsidRPr="001D5715">
        <w:rPr>
          <w:rFonts w:ascii="Verdana" w:eastAsia="Times New Roman" w:hAnsi="Verdana"/>
          <w:color w:val="333333"/>
          <w:lang w:eastAsia="en-AU"/>
        </w:rPr>
        <w:br/>
        <w:t>The Balfour report was accepted in full by the 1926 Imperial Conference and thus filled its purpose of laying down the fundamental principles guiding the relations between the countries of the British Commonwealth, and of each to foreign countries.</w:t>
      </w:r>
    </w:p>
    <w:sectPr w:rsidR="002B1A5D" w:rsidRPr="001D571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62E"/>
    <w:rsid w:val="001D5715"/>
    <w:rsid w:val="002B1A5D"/>
    <w:rsid w:val="008228E3"/>
    <w:rsid w:val="008F5134"/>
    <w:rsid w:val="00A2762E"/>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800574">
      <w:bodyDiv w:val="1"/>
      <w:marLeft w:val="0"/>
      <w:marRight w:val="0"/>
      <w:marTop w:val="0"/>
      <w:marBottom w:val="0"/>
      <w:divBdr>
        <w:top w:val="none" w:sz="0" w:space="0" w:color="auto"/>
        <w:left w:val="none" w:sz="0" w:space="0" w:color="auto"/>
        <w:bottom w:val="none" w:sz="0" w:space="0" w:color="auto"/>
        <w:right w:val="none" w:sz="0" w:space="0" w:color="auto"/>
      </w:divBdr>
      <w:divsChild>
        <w:div w:id="2059208989">
          <w:marLeft w:val="0"/>
          <w:marRight w:val="0"/>
          <w:marTop w:val="0"/>
          <w:marBottom w:val="0"/>
          <w:divBdr>
            <w:top w:val="none" w:sz="0" w:space="0" w:color="auto"/>
            <w:left w:val="none" w:sz="0" w:space="0" w:color="auto"/>
            <w:bottom w:val="none" w:sz="0" w:space="0" w:color="auto"/>
            <w:right w:val="none" w:sz="0" w:space="0" w:color="auto"/>
          </w:divBdr>
          <w:divsChild>
            <w:div w:id="884104418">
              <w:marLeft w:val="0"/>
              <w:marRight w:val="0"/>
              <w:marTop w:val="0"/>
              <w:marBottom w:val="0"/>
              <w:divBdr>
                <w:top w:val="none" w:sz="0" w:space="0" w:color="auto"/>
                <w:left w:val="none" w:sz="0" w:space="0" w:color="auto"/>
                <w:bottom w:val="none" w:sz="0" w:space="0" w:color="auto"/>
                <w:right w:val="none" w:sz="0" w:space="0" w:color="auto"/>
              </w:divBdr>
              <w:divsChild>
                <w:div w:id="774786131">
                  <w:marLeft w:val="0"/>
                  <w:marRight w:val="0"/>
                  <w:marTop w:val="0"/>
                  <w:marBottom w:val="0"/>
                  <w:divBdr>
                    <w:top w:val="none" w:sz="0" w:space="0" w:color="auto"/>
                    <w:left w:val="single" w:sz="6" w:space="14" w:color="E9E7D5"/>
                    <w:bottom w:val="single" w:sz="12" w:space="8" w:color="FFFFFF"/>
                    <w:right w:val="none" w:sz="0" w:space="0" w:color="auto"/>
                  </w:divBdr>
                  <w:divsChild>
                    <w:div w:id="3710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46511">
      <w:bodyDiv w:val="1"/>
      <w:marLeft w:val="0"/>
      <w:marRight w:val="0"/>
      <w:marTop w:val="0"/>
      <w:marBottom w:val="0"/>
      <w:divBdr>
        <w:top w:val="none" w:sz="0" w:space="0" w:color="auto"/>
        <w:left w:val="none" w:sz="0" w:space="0" w:color="auto"/>
        <w:bottom w:val="none" w:sz="0" w:space="0" w:color="auto"/>
        <w:right w:val="none" w:sz="0" w:space="0" w:color="auto"/>
      </w:divBdr>
      <w:divsChild>
        <w:div w:id="768086127">
          <w:marLeft w:val="0"/>
          <w:marRight w:val="0"/>
          <w:marTop w:val="0"/>
          <w:marBottom w:val="0"/>
          <w:divBdr>
            <w:top w:val="none" w:sz="0" w:space="0" w:color="auto"/>
            <w:left w:val="none" w:sz="0" w:space="0" w:color="auto"/>
            <w:bottom w:val="none" w:sz="0" w:space="0" w:color="auto"/>
            <w:right w:val="none" w:sz="0" w:space="0" w:color="auto"/>
          </w:divBdr>
          <w:divsChild>
            <w:div w:id="82384408">
              <w:marLeft w:val="0"/>
              <w:marRight w:val="0"/>
              <w:marTop w:val="0"/>
              <w:marBottom w:val="0"/>
              <w:divBdr>
                <w:top w:val="none" w:sz="0" w:space="0" w:color="auto"/>
                <w:left w:val="none" w:sz="0" w:space="0" w:color="auto"/>
                <w:bottom w:val="none" w:sz="0" w:space="0" w:color="auto"/>
                <w:right w:val="none" w:sz="0" w:space="0" w:color="auto"/>
              </w:divBdr>
              <w:divsChild>
                <w:div w:id="19091231">
                  <w:marLeft w:val="0"/>
                  <w:marRight w:val="0"/>
                  <w:marTop w:val="0"/>
                  <w:marBottom w:val="0"/>
                  <w:divBdr>
                    <w:top w:val="none" w:sz="0" w:space="0" w:color="auto"/>
                    <w:left w:val="single" w:sz="6" w:space="14" w:color="E9E7D5"/>
                    <w:bottom w:val="single" w:sz="12" w:space="8" w:color="FFFFFF"/>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foundingdocs.gov.au/picturealbum-aid-2.html" TargetMode="External"/><Relationship Id="rId5" Type="http://schemas.openxmlformats.org/officeDocument/2006/relationships/hyperlink" Target="http://www.foundingdocs.gov.au/item-did-25.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C4CA0B9F</Template>
  <TotalTime>5</TotalTime>
  <Pages>2</Pages>
  <Words>614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3</cp:revision>
  <cp:lastPrinted>2017-06-12T23:49:00Z</cp:lastPrinted>
  <dcterms:created xsi:type="dcterms:W3CDTF">2017-06-12T23:48:00Z</dcterms:created>
  <dcterms:modified xsi:type="dcterms:W3CDTF">2017-06-12T23:52:00Z</dcterms:modified>
</cp:coreProperties>
</file>