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880"/>
        <w:gridCol w:w="1894"/>
        <w:gridCol w:w="1867"/>
        <w:gridCol w:w="1886"/>
      </w:tblGrid>
      <w:tr w:rsidR="00366C95" w:rsidRPr="00366C95" w14:paraId="5ABF7782" w14:textId="77777777" w:rsidTr="00366C95">
        <w:tc>
          <w:tcPr>
            <w:tcW w:w="1489" w:type="dxa"/>
          </w:tcPr>
          <w:p w14:paraId="70F15BB6" w14:textId="77777777" w:rsidR="00366C95" w:rsidRPr="00366C95" w:rsidRDefault="00366C95" w:rsidP="00453F9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527" w:type="dxa"/>
            <w:gridSpan w:val="4"/>
          </w:tcPr>
          <w:p w14:paraId="0E83361C" w14:textId="489A35AF" w:rsidR="00366C95" w:rsidRPr="00366C95" w:rsidRDefault="00366C95" w:rsidP="00453F94">
            <w:pPr>
              <w:jc w:val="center"/>
              <w:rPr>
                <w:b/>
                <w:sz w:val="20"/>
                <w:szCs w:val="20"/>
              </w:rPr>
            </w:pPr>
            <w:proofErr w:type="gramStart"/>
            <w:r w:rsidRPr="00366C95">
              <w:rPr>
                <w:b/>
                <w:sz w:val="20"/>
                <w:szCs w:val="20"/>
              </w:rPr>
              <w:t>Goal-setting</w:t>
            </w:r>
            <w:proofErr w:type="gramEnd"/>
            <w:r w:rsidRPr="00366C95">
              <w:rPr>
                <w:b/>
                <w:sz w:val="20"/>
                <w:szCs w:val="20"/>
              </w:rPr>
              <w:t xml:space="preserve"> for Year 10 </w:t>
            </w:r>
            <w:r w:rsidRPr="00366C95">
              <w:rPr>
                <w:b/>
                <w:sz w:val="20"/>
                <w:szCs w:val="20"/>
              </w:rPr>
              <w:t>Statistics</w:t>
            </w:r>
            <w:bookmarkStart w:id="0" w:name="_GoBack"/>
            <w:bookmarkEnd w:id="0"/>
          </w:p>
        </w:tc>
      </w:tr>
      <w:tr w:rsidR="00366C95" w:rsidRPr="00366C95" w14:paraId="43BAD0E2" w14:textId="77777777" w:rsidTr="00366C95">
        <w:tc>
          <w:tcPr>
            <w:tcW w:w="1489" w:type="dxa"/>
          </w:tcPr>
          <w:p w14:paraId="36329816" w14:textId="4FBA3902" w:rsidR="00366C95" w:rsidRPr="00366C95" w:rsidRDefault="00366C95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Week/s</w:t>
            </w:r>
          </w:p>
        </w:tc>
        <w:tc>
          <w:tcPr>
            <w:tcW w:w="1880" w:type="dxa"/>
          </w:tcPr>
          <w:p w14:paraId="7E589DED" w14:textId="765857F0" w:rsidR="00366C95" w:rsidRPr="00366C95" w:rsidRDefault="00366C95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1894" w:type="dxa"/>
          </w:tcPr>
          <w:p w14:paraId="28AF75ED" w14:textId="77777777" w:rsidR="00366C95" w:rsidRPr="00366C95" w:rsidRDefault="00366C95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1867" w:type="dxa"/>
          </w:tcPr>
          <w:p w14:paraId="6E4BBD11" w14:textId="77777777" w:rsidR="00366C95" w:rsidRPr="00366C95" w:rsidRDefault="00366C95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1886" w:type="dxa"/>
          </w:tcPr>
          <w:p w14:paraId="6AA12950" w14:textId="77777777" w:rsidR="00366C95" w:rsidRPr="00366C95" w:rsidRDefault="00366C95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D</w:t>
            </w:r>
          </w:p>
        </w:tc>
      </w:tr>
      <w:tr w:rsidR="00366C95" w:rsidRPr="00366C95" w14:paraId="4286A1BD" w14:textId="77777777" w:rsidTr="00366C95">
        <w:tc>
          <w:tcPr>
            <w:tcW w:w="1489" w:type="dxa"/>
          </w:tcPr>
          <w:p w14:paraId="2323A0F4" w14:textId="75E0CB88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1-3</w:t>
            </w:r>
          </w:p>
        </w:tc>
        <w:tc>
          <w:tcPr>
            <w:tcW w:w="1880" w:type="dxa"/>
          </w:tcPr>
          <w:p w14:paraId="70EC3A60" w14:textId="4E014E3F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Matches box plots to corresponding histograms and dot plots, and</w:t>
            </w:r>
            <w:r w:rsidRPr="00366C95">
              <w:rPr>
                <w:sz w:val="20"/>
                <w:szCs w:val="20"/>
              </w:rPr>
              <w:t xml:space="preserve"> </w:t>
            </w:r>
            <w:r w:rsidRPr="00366C95">
              <w:rPr>
                <w:sz w:val="20"/>
                <w:szCs w:val="20"/>
              </w:rPr>
              <w:t>provides an explanation using statistical reasonin</w:t>
            </w:r>
            <w:r w:rsidRPr="00366C95">
              <w:rPr>
                <w:sz w:val="20"/>
                <w:szCs w:val="20"/>
              </w:rPr>
              <w:t>g</w:t>
            </w:r>
          </w:p>
        </w:tc>
        <w:tc>
          <w:tcPr>
            <w:tcW w:w="1894" w:type="dxa"/>
          </w:tcPr>
          <w:p w14:paraId="4C2FC533" w14:textId="072C437F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 xml:space="preserve">Uses </w:t>
            </w:r>
            <w:r w:rsidRPr="00366C95">
              <w:rPr>
                <w:sz w:val="20"/>
                <w:szCs w:val="20"/>
              </w:rPr>
              <w:t>5 number summary</w:t>
            </w:r>
            <w:r w:rsidRPr="00366C95">
              <w:rPr>
                <w:sz w:val="20"/>
                <w:szCs w:val="20"/>
              </w:rPr>
              <w:t xml:space="preserve"> to draw box plots of data from primary and secondary sources</w:t>
            </w:r>
            <w:r w:rsidRPr="00366C95">
              <w:rPr>
                <w:sz w:val="20"/>
                <w:szCs w:val="20"/>
              </w:rPr>
              <w:t>.</w:t>
            </w:r>
          </w:p>
          <w:p w14:paraId="0F63E19B" w14:textId="77777777" w:rsidR="00366C95" w:rsidRPr="00366C95" w:rsidRDefault="00366C95" w:rsidP="00453F94">
            <w:pPr>
              <w:rPr>
                <w:sz w:val="20"/>
                <w:szCs w:val="20"/>
              </w:rPr>
            </w:pPr>
          </w:p>
          <w:p w14:paraId="0D70262F" w14:textId="1AEB98D4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Identifies</w:t>
            </w:r>
            <w:r w:rsidRPr="00366C95">
              <w:rPr>
                <w:sz w:val="20"/>
                <w:szCs w:val="20"/>
              </w:rPr>
              <w:t xml:space="preserve"> possible outliers</w:t>
            </w:r>
          </w:p>
          <w:p w14:paraId="12DFEBEC" w14:textId="77777777" w:rsidR="00366C95" w:rsidRPr="00366C95" w:rsidRDefault="00366C95" w:rsidP="00453F94">
            <w:pPr>
              <w:rPr>
                <w:sz w:val="20"/>
                <w:szCs w:val="20"/>
              </w:rPr>
            </w:pPr>
          </w:p>
          <w:p w14:paraId="1C3A4375" w14:textId="77777777" w:rsid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Draws</w:t>
            </w:r>
            <w:r w:rsidRPr="00366C95">
              <w:rPr>
                <w:sz w:val="20"/>
                <w:szCs w:val="20"/>
              </w:rPr>
              <w:t xml:space="preserve"> parallel box plots</w:t>
            </w:r>
          </w:p>
          <w:p w14:paraId="318871A2" w14:textId="65662F87" w:rsidR="00366C95" w:rsidRPr="00366C95" w:rsidRDefault="00366C95" w:rsidP="00453F94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65B0167A" w14:textId="54B477AD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 xml:space="preserve">Calculates </w:t>
            </w:r>
            <w:r w:rsidRPr="00366C95">
              <w:rPr>
                <w:sz w:val="20"/>
                <w:szCs w:val="20"/>
              </w:rPr>
              <w:t xml:space="preserve">5 number summary for </w:t>
            </w:r>
            <w:r w:rsidRPr="00366C95">
              <w:rPr>
                <w:sz w:val="20"/>
                <w:szCs w:val="20"/>
              </w:rPr>
              <w:t>collected or given data.</w:t>
            </w:r>
          </w:p>
          <w:p w14:paraId="2F5B258E" w14:textId="77777777" w:rsidR="00366C95" w:rsidRPr="00366C95" w:rsidRDefault="00366C95" w:rsidP="00453F94">
            <w:pPr>
              <w:rPr>
                <w:sz w:val="20"/>
                <w:szCs w:val="20"/>
              </w:rPr>
            </w:pPr>
          </w:p>
        </w:tc>
        <w:tc>
          <w:tcPr>
            <w:tcW w:w="1886" w:type="dxa"/>
          </w:tcPr>
          <w:p w14:paraId="4F567300" w14:textId="1354EC54" w:rsidR="00366C95" w:rsidRPr="00366C95" w:rsidRDefault="00366C95" w:rsidP="00A338D3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Calculates quartiles and interquartile range for a small sample of ordered data.</w:t>
            </w:r>
          </w:p>
        </w:tc>
      </w:tr>
      <w:tr w:rsidR="00366C95" w:rsidRPr="00366C95" w14:paraId="39D9D31F" w14:textId="77777777" w:rsidTr="00366C95">
        <w:tc>
          <w:tcPr>
            <w:tcW w:w="1489" w:type="dxa"/>
          </w:tcPr>
          <w:p w14:paraId="12104E97" w14:textId="4497ECE4" w:rsidR="00366C95" w:rsidRPr="00366C95" w:rsidRDefault="00366C95" w:rsidP="00366C95">
            <w:pPr>
              <w:rPr>
                <w:iCs/>
                <w:sz w:val="20"/>
                <w:szCs w:val="20"/>
              </w:rPr>
            </w:pPr>
            <w:r w:rsidRPr="00366C95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880" w:type="dxa"/>
          </w:tcPr>
          <w:p w14:paraId="54FD875F" w14:textId="28E270DB" w:rsidR="00366C95" w:rsidRPr="00366C95" w:rsidRDefault="00366C95" w:rsidP="00366C95">
            <w:pPr>
              <w:rPr>
                <w:i/>
                <w:sz w:val="20"/>
                <w:szCs w:val="20"/>
              </w:rPr>
            </w:pPr>
          </w:p>
        </w:tc>
        <w:tc>
          <w:tcPr>
            <w:tcW w:w="1894" w:type="dxa"/>
          </w:tcPr>
          <w:p w14:paraId="1FC5EF16" w14:textId="77777777" w:rsidR="00366C95" w:rsidRDefault="00366C95" w:rsidP="00366C95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Compares data presented on parallel box plots, using correct statistical language.</w:t>
            </w:r>
          </w:p>
          <w:p w14:paraId="18DE37A8" w14:textId="023AAB30" w:rsidR="00366C95" w:rsidRPr="00366C95" w:rsidRDefault="00366C95" w:rsidP="00366C95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2009E2ED" w14:textId="593AECB6" w:rsidR="00366C95" w:rsidRPr="00366C95" w:rsidRDefault="00366C95" w:rsidP="00366C95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Compares data sets by referring to the shape of the display.</w:t>
            </w:r>
          </w:p>
        </w:tc>
        <w:tc>
          <w:tcPr>
            <w:tcW w:w="1886" w:type="dxa"/>
          </w:tcPr>
          <w:p w14:paraId="36536F19" w14:textId="00E2FDC6" w:rsidR="00366C95" w:rsidRPr="00366C95" w:rsidRDefault="00366C95" w:rsidP="00366C95">
            <w:pPr>
              <w:rPr>
                <w:sz w:val="20"/>
                <w:szCs w:val="20"/>
              </w:rPr>
            </w:pPr>
          </w:p>
        </w:tc>
      </w:tr>
      <w:tr w:rsidR="00366C95" w:rsidRPr="00366C95" w14:paraId="2C7973AF" w14:textId="77777777" w:rsidTr="00366C95">
        <w:trPr>
          <w:trHeight w:val="2166"/>
        </w:trPr>
        <w:tc>
          <w:tcPr>
            <w:tcW w:w="1489" w:type="dxa"/>
          </w:tcPr>
          <w:p w14:paraId="6BF94193" w14:textId="70AD707B" w:rsidR="00366C95" w:rsidRPr="00366C95" w:rsidRDefault="00366C95" w:rsidP="00366C95">
            <w:pPr>
              <w:rPr>
                <w:iCs/>
                <w:sz w:val="20"/>
                <w:szCs w:val="20"/>
              </w:rPr>
            </w:pPr>
            <w:r w:rsidRPr="00366C95">
              <w:rPr>
                <w:iCs/>
                <w:sz w:val="20"/>
                <w:szCs w:val="20"/>
              </w:rPr>
              <w:t>4-5</w:t>
            </w:r>
          </w:p>
        </w:tc>
        <w:tc>
          <w:tcPr>
            <w:tcW w:w="1880" w:type="dxa"/>
          </w:tcPr>
          <w:p w14:paraId="1D16A1F4" w14:textId="77777777" w:rsidR="00366C95" w:rsidRPr="00366C95" w:rsidRDefault="00366C95" w:rsidP="00366C95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 xml:space="preserve">Applies algebraic techniques to calculate the equation of the trend line for bivariate and time-series data. </w:t>
            </w:r>
          </w:p>
          <w:p w14:paraId="54558A48" w14:textId="77777777" w:rsidR="00366C95" w:rsidRPr="00366C95" w:rsidRDefault="00366C95" w:rsidP="00366C95">
            <w:pPr>
              <w:rPr>
                <w:i/>
                <w:sz w:val="20"/>
                <w:szCs w:val="20"/>
              </w:rPr>
            </w:pPr>
          </w:p>
        </w:tc>
        <w:tc>
          <w:tcPr>
            <w:tcW w:w="1894" w:type="dxa"/>
          </w:tcPr>
          <w:p w14:paraId="76C1ACCB" w14:textId="77777777" w:rsidR="00366C95" w:rsidRPr="00366C95" w:rsidRDefault="00366C95" w:rsidP="00366C95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Draws trend lines.</w:t>
            </w:r>
          </w:p>
          <w:p w14:paraId="7F0ECEC5" w14:textId="77777777" w:rsidR="00366C95" w:rsidRPr="00366C95" w:rsidRDefault="00366C95" w:rsidP="00366C95">
            <w:pPr>
              <w:rPr>
                <w:sz w:val="20"/>
                <w:szCs w:val="20"/>
              </w:rPr>
            </w:pPr>
          </w:p>
          <w:p w14:paraId="761F527A" w14:textId="77777777" w:rsidR="00366C95" w:rsidRPr="00366C95" w:rsidRDefault="00366C95" w:rsidP="00366C95">
            <w:pPr>
              <w:rPr>
                <w:sz w:val="20"/>
                <w:szCs w:val="20"/>
              </w:rPr>
            </w:pPr>
          </w:p>
          <w:p w14:paraId="2AABF65A" w14:textId="77777777" w:rsidR="00366C95" w:rsidRPr="00366C95" w:rsidRDefault="00366C95" w:rsidP="00366C95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 xml:space="preserve"> </w:t>
            </w:r>
          </w:p>
          <w:p w14:paraId="70A6DE6B" w14:textId="77777777" w:rsidR="00366C95" w:rsidRPr="00366C95" w:rsidRDefault="00366C95" w:rsidP="00366C95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2216A10E" w14:textId="77777777" w:rsidR="00366C95" w:rsidRPr="00366C95" w:rsidRDefault="00366C95" w:rsidP="00366C95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Describes the trend and patterns for bivariate data.</w:t>
            </w:r>
          </w:p>
          <w:p w14:paraId="592D5F11" w14:textId="77777777" w:rsidR="00366C95" w:rsidRPr="00366C95" w:rsidRDefault="00366C95" w:rsidP="00366C95">
            <w:pPr>
              <w:rPr>
                <w:sz w:val="20"/>
                <w:szCs w:val="20"/>
              </w:rPr>
            </w:pPr>
          </w:p>
          <w:p w14:paraId="4CAFAF26" w14:textId="77777777" w:rsidR="00366C95" w:rsidRPr="00366C95" w:rsidRDefault="00366C95" w:rsidP="00366C95">
            <w:pPr>
              <w:rPr>
                <w:sz w:val="20"/>
                <w:szCs w:val="20"/>
              </w:rPr>
            </w:pPr>
          </w:p>
        </w:tc>
        <w:tc>
          <w:tcPr>
            <w:tcW w:w="1886" w:type="dxa"/>
          </w:tcPr>
          <w:p w14:paraId="0ADF1D73" w14:textId="3CA4E5DE" w:rsidR="00366C95" w:rsidRPr="00366C95" w:rsidRDefault="00366C95" w:rsidP="00366C95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Completes or draws a scatter plot for bivariate or time-series data</w:t>
            </w:r>
          </w:p>
        </w:tc>
      </w:tr>
      <w:tr w:rsidR="00366C95" w:rsidRPr="00366C95" w14:paraId="0EA452EC" w14:textId="77777777" w:rsidTr="00366C95">
        <w:tc>
          <w:tcPr>
            <w:tcW w:w="1489" w:type="dxa"/>
          </w:tcPr>
          <w:p w14:paraId="1E37E2A9" w14:textId="3A2FB6DA" w:rsidR="00366C95" w:rsidRPr="00366C95" w:rsidRDefault="00366C95" w:rsidP="0027633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5-6</w:t>
            </w:r>
          </w:p>
        </w:tc>
        <w:tc>
          <w:tcPr>
            <w:tcW w:w="1880" w:type="dxa"/>
          </w:tcPr>
          <w:p w14:paraId="27CF8D7A" w14:textId="16A39FD8" w:rsidR="00366C95" w:rsidRPr="00366C95" w:rsidRDefault="00366C95" w:rsidP="0027633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Uses algebraic equation to make predictions, identifying factors that influence the reliability of predictions</w:t>
            </w:r>
          </w:p>
          <w:p w14:paraId="607341AF" w14:textId="77777777" w:rsidR="00366C95" w:rsidRPr="00366C95" w:rsidRDefault="00366C95" w:rsidP="00276334">
            <w:pPr>
              <w:rPr>
                <w:sz w:val="20"/>
                <w:szCs w:val="20"/>
              </w:rPr>
            </w:pPr>
          </w:p>
          <w:p w14:paraId="36507B00" w14:textId="77777777" w:rsidR="00366C95" w:rsidRDefault="00366C95" w:rsidP="0027633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Gives reasons why predictions and actual values may vary</w:t>
            </w:r>
          </w:p>
          <w:p w14:paraId="16F693F3" w14:textId="0771DDA3" w:rsidR="00366C95" w:rsidRPr="00366C95" w:rsidRDefault="00366C95" w:rsidP="00276334">
            <w:pPr>
              <w:rPr>
                <w:sz w:val="20"/>
                <w:szCs w:val="20"/>
              </w:rPr>
            </w:pPr>
          </w:p>
        </w:tc>
        <w:tc>
          <w:tcPr>
            <w:tcW w:w="1894" w:type="dxa"/>
          </w:tcPr>
          <w:p w14:paraId="6AE85750" w14:textId="77777777" w:rsidR="00366C95" w:rsidRPr="00366C95" w:rsidRDefault="00366C95" w:rsidP="0027633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Investigates and describes relationships between variables for bivariate and time-series data.</w:t>
            </w:r>
          </w:p>
          <w:p w14:paraId="0C967D0B" w14:textId="77777777" w:rsidR="00366C95" w:rsidRPr="00366C95" w:rsidRDefault="00366C95" w:rsidP="00A338D3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0447B61D" w14:textId="05547C95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Describes the statistical relationship between two continuous variables.</w:t>
            </w:r>
          </w:p>
        </w:tc>
        <w:tc>
          <w:tcPr>
            <w:tcW w:w="1886" w:type="dxa"/>
          </w:tcPr>
          <w:p w14:paraId="4E2222F8" w14:textId="77777777" w:rsidR="00366C95" w:rsidRPr="00366C95" w:rsidRDefault="00366C95" w:rsidP="00453F94">
            <w:pPr>
              <w:rPr>
                <w:sz w:val="20"/>
                <w:szCs w:val="20"/>
              </w:rPr>
            </w:pPr>
          </w:p>
        </w:tc>
      </w:tr>
      <w:tr w:rsidR="00366C95" w:rsidRPr="00366C95" w14:paraId="6630BF50" w14:textId="77777777" w:rsidTr="00366C95">
        <w:tc>
          <w:tcPr>
            <w:tcW w:w="1489" w:type="dxa"/>
          </w:tcPr>
          <w:p w14:paraId="39499ADC" w14:textId="77777777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7</w:t>
            </w:r>
          </w:p>
          <w:p w14:paraId="36C51AE0" w14:textId="75FE47AB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(Investigation2)</w:t>
            </w:r>
          </w:p>
        </w:tc>
        <w:tc>
          <w:tcPr>
            <w:tcW w:w="1880" w:type="dxa"/>
          </w:tcPr>
          <w:p w14:paraId="42D482A8" w14:textId="60FF21EB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Uses explicit statistical language when writing statistical reports</w:t>
            </w:r>
            <w:r w:rsidRPr="00366C95">
              <w:rPr>
                <w:sz w:val="20"/>
                <w:szCs w:val="20"/>
              </w:rPr>
              <w:t>.</w:t>
            </w:r>
          </w:p>
          <w:p w14:paraId="76019057" w14:textId="77777777" w:rsidR="00366C95" w:rsidRPr="00366C95" w:rsidRDefault="00366C95" w:rsidP="00453F94">
            <w:pPr>
              <w:rPr>
                <w:sz w:val="20"/>
                <w:szCs w:val="20"/>
              </w:rPr>
            </w:pPr>
          </w:p>
          <w:p w14:paraId="74851936" w14:textId="04221893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Makes</w:t>
            </w:r>
            <w:r w:rsidRPr="00366C95">
              <w:rPr>
                <w:sz w:val="20"/>
                <w:szCs w:val="20"/>
              </w:rPr>
              <w:t xml:space="preserve"> links/references to resources relevant to the report.</w:t>
            </w:r>
          </w:p>
        </w:tc>
        <w:tc>
          <w:tcPr>
            <w:tcW w:w="1894" w:type="dxa"/>
          </w:tcPr>
          <w:p w14:paraId="432DBCB4" w14:textId="7E30FD16" w:rsidR="00366C95" w:rsidRPr="00366C95" w:rsidRDefault="00366C95" w:rsidP="00A338D3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Uses</w:t>
            </w:r>
            <w:r w:rsidRPr="00366C95">
              <w:rPr>
                <w:sz w:val="20"/>
                <w:szCs w:val="20"/>
              </w:rPr>
              <w:t xml:space="preserve"> correct statistical language</w:t>
            </w:r>
            <w:r w:rsidRPr="00366C95">
              <w:rPr>
                <w:sz w:val="20"/>
                <w:szCs w:val="20"/>
              </w:rPr>
              <w:t xml:space="preserve"> when writing statistical reports</w:t>
            </w:r>
            <w:r w:rsidRPr="00366C95">
              <w:rPr>
                <w:sz w:val="20"/>
                <w:szCs w:val="20"/>
              </w:rPr>
              <w:t>.</w:t>
            </w:r>
          </w:p>
          <w:p w14:paraId="167ABD7F" w14:textId="77777777" w:rsidR="00366C95" w:rsidRPr="00366C95" w:rsidRDefault="00366C95" w:rsidP="00A338D3">
            <w:pPr>
              <w:rPr>
                <w:sz w:val="20"/>
                <w:szCs w:val="20"/>
              </w:rPr>
            </w:pPr>
          </w:p>
          <w:p w14:paraId="2A97C297" w14:textId="77777777" w:rsidR="00366C95" w:rsidRDefault="00366C95" w:rsidP="00A338D3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C</w:t>
            </w:r>
            <w:r w:rsidRPr="00366C95">
              <w:rPr>
                <w:sz w:val="20"/>
                <w:szCs w:val="20"/>
              </w:rPr>
              <w:t>omments on predictions and gives possible reasons why predictions and actual values may vary.</w:t>
            </w:r>
          </w:p>
          <w:p w14:paraId="7797843E" w14:textId="488B7F19" w:rsidR="00366C95" w:rsidRPr="00366C95" w:rsidRDefault="00366C95" w:rsidP="00A338D3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0AB926FA" w14:textId="7EC5ECE7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Evaluates statistical reports.</w:t>
            </w:r>
          </w:p>
        </w:tc>
        <w:tc>
          <w:tcPr>
            <w:tcW w:w="1886" w:type="dxa"/>
          </w:tcPr>
          <w:p w14:paraId="7C190063" w14:textId="78DB3AE3" w:rsidR="00366C95" w:rsidRPr="00366C95" w:rsidRDefault="00366C95" w:rsidP="00453F94">
            <w:pPr>
              <w:rPr>
                <w:sz w:val="20"/>
                <w:szCs w:val="20"/>
              </w:rPr>
            </w:pPr>
            <w:r w:rsidRPr="00366C95">
              <w:rPr>
                <w:sz w:val="20"/>
                <w:szCs w:val="20"/>
              </w:rPr>
              <w:t>Writes statistical reports using vague language.</w:t>
            </w:r>
          </w:p>
        </w:tc>
      </w:tr>
    </w:tbl>
    <w:p w14:paraId="772848E2" w14:textId="77777777" w:rsidR="00D15506" w:rsidRDefault="00D15506" w:rsidP="00D15506"/>
    <w:p w14:paraId="1394BBD0" w14:textId="77777777" w:rsidR="00092111" w:rsidRDefault="00366C95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06"/>
    <w:rsid w:val="00276334"/>
    <w:rsid w:val="00366C95"/>
    <w:rsid w:val="003A3341"/>
    <w:rsid w:val="00A338D3"/>
    <w:rsid w:val="00BA523E"/>
    <w:rsid w:val="00D1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B44C"/>
  <w15:chartTrackingRefBased/>
  <w15:docId w15:val="{ABD463F0-0451-4B23-A9E6-8DDB9692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5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5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1</cp:revision>
  <dcterms:created xsi:type="dcterms:W3CDTF">2019-07-01T06:04:00Z</dcterms:created>
  <dcterms:modified xsi:type="dcterms:W3CDTF">2019-07-01T11:53:00Z</dcterms:modified>
</cp:coreProperties>
</file>