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5D949" w14:textId="04161959" w:rsidR="008920F5" w:rsidRPr="00133E81" w:rsidRDefault="008920F5">
      <w:pPr>
        <w:rPr>
          <w:rFonts w:ascii="Arial" w:hAnsi="Arial" w:cs="Arial"/>
          <w:sz w:val="24"/>
          <w:szCs w:val="24"/>
          <w:u w:val="single"/>
        </w:rPr>
      </w:pPr>
      <w:r w:rsidRPr="00133E81">
        <w:rPr>
          <w:rFonts w:ascii="Arial" w:hAnsi="Arial" w:cs="Arial"/>
          <w:sz w:val="24"/>
          <w:szCs w:val="24"/>
          <w:u w:val="single"/>
        </w:rPr>
        <w:t xml:space="preserve">Consumer rights </w:t>
      </w:r>
    </w:p>
    <w:p w14:paraId="5CC67D0F" w14:textId="7E293F7F" w:rsidR="00D17FB8" w:rsidRPr="005819FF" w:rsidRDefault="005819FF">
      <w:pPr>
        <w:rPr>
          <w:rFonts w:ascii="Arial" w:hAnsi="Arial" w:cs="Arial"/>
          <w:sz w:val="24"/>
          <w:szCs w:val="24"/>
        </w:rPr>
      </w:pPr>
      <w:r w:rsidRPr="005819FF">
        <w:rPr>
          <w:rFonts w:ascii="Arial" w:hAnsi="Arial" w:cs="Arial"/>
          <w:sz w:val="24"/>
          <w:szCs w:val="24"/>
        </w:rPr>
        <w:t>Match the column A with Column B. Write the correct letter next to the number.</w:t>
      </w:r>
    </w:p>
    <w:tbl>
      <w:tblPr>
        <w:tblStyle w:val="Tableheader"/>
        <w:tblW w:w="0" w:type="auto"/>
        <w:tblLook w:val="04A0" w:firstRow="1" w:lastRow="0" w:firstColumn="1" w:lastColumn="0" w:noHBand="0" w:noVBand="1"/>
        <w:tblCaption w:val="Terminology table"/>
        <w:tblDescription w:val="A table with terminology and its definitions relevant to this topic."/>
      </w:tblPr>
      <w:tblGrid>
        <w:gridCol w:w="2089"/>
        <w:gridCol w:w="6877"/>
      </w:tblGrid>
      <w:tr w:rsidR="005819FF" w:rsidRPr="005819FF" w14:paraId="2E206DDD" w14:textId="77777777" w:rsidTr="005819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89" w:type="dxa"/>
          </w:tcPr>
          <w:p w14:paraId="38078FE2" w14:textId="77777777" w:rsidR="005819FF" w:rsidRPr="005819FF" w:rsidRDefault="005819FF" w:rsidP="00E8431F">
            <w:pPr>
              <w:pStyle w:val="Tableheading"/>
              <w:spacing w:before="192" w:after="192"/>
              <w:rPr>
                <w:rFonts w:cs="Arial"/>
                <w:sz w:val="24"/>
                <w:szCs w:val="24"/>
              </w:rPr>
            </w:pPr>
            <w:r w:rsidRPr="005819FF">
              <w:rPr>
                <w:rFonts w:cs="Arial"/>
                <w:sz w:val="24"/>
                <w:szCs w:val="24"/>
              </w:rPr>
              <w:t>Terminology</w:t>
            </w:r>
          </w:p>
        </w:tc>
        <w:tc>
          <w:tcPr>
            <w:tcW w:w="6877" w:type="dxa"/>
          </w:tcPr>
          <w:p w14:paraId="1527ACE4" w14:textId="77777777" w:rsidR="005819FF" w:rsidRPr="005819FF" w:rsidRDefault="005819FF" w:rsidP="00E8431F">
            <w:pPr>
              <w:pStyle w:val="Tableheading"/>
              <w:cnfStyle w:val="100000000000" w:firstRow="1" w:lastRow="0" w:firstColumn="0" w:lastColumn="0" w:oddVBand="0" w:evenVBand="0" w:oddHBand="0" w:evenHBand="0" w:firstRowFirstColumn="0" w:firstRowLastColumn="0" w:lastRowFirstColumn="0" w:lastRowLastColumn="0"/>
              <w:rPr>
                <w:rFonts w:cs="Arial"/>
                <w:sz w:val="24"/>
                <w:szCs w:val="24"/>
              </w:rPr>
            </w:pPr>
            <w:r w:rsidRPr="005819FF">
              <w:rPr>
                <w:rFonts w:cs="Arial"/>
                <w:sz w:val="24"/>
                <w:szCs w:val="24"/>
              </w:rPr>
              <w:t>Definition</w:t>
            </w:r>
          </w:p>
        </w:tc>
      </w:tr>
      <w:tr w:rsidR="005819FF" w:rsidRPr="005819FF" w14:paraId="2A188720" w14:textId="77777777" w:rsidTr="00581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FFF052A" w14:textId="7A933135" w:rsidR="005819FF" w:rsidRPr="005819FF" w:rsidRDefault="005819FF" w:rsidP="00E8431F">
            <w:pPr>
              <w:pStyle w:val="Tableheading"/>
              <w:spacing w:before="192" w:after="192"/>
              <w:rPr>
                <w:rFonts w:cs="Arial"/>
                <w:sz w:val="24"/>
                <w:szCs w:val="24"/>
              </w:rPr>
            </w:pPr>
            <w:r w:rsidRPr="005819FF">
              <w:rPr>
                <w:rFonts w:cs="Arial"/>
                <w:sz w:val="24"/>
                <w:szCs w:val="24"/>
              </w:rPr>
              <w:t>Column A</w:t>
            </w:r>
          </w:p>
        </w:tc>
        <w:tc>
          <w:tcPr>
            <w:tcW w:w="6877" w:type="dxa"/>
          </w:tcPr>
          <w:p w14:paraId="5575FA84" w14:textId="100686D9" w:rsidR="005819FF" w:rsidRPr="005819FF" w:rsidRDefault="005819FF" w:rsidP="00E8431F">
            <w:pPr>
              <w:pStyle w:val="Tableheading"/>
              <w:cnfStyle w:val="000000100000" w:firstRow="0" w:lastRow="0" w:firstColumn="0" w:lastColumn="0" w:oddVBand="0" w:evenVBand="0" w:oddHBand="1" w:evenHBand="0" w:firstRowFirstColumn="0" w:firstRowLastColumn="0" w:lastRowFirstColumn="0" w:lastRowLastColumn="0"/>
              <w:rPr>
                <w:rFonts w:cs="Arial"/>
                <w:sz w:val="24"/>
                <w:szCs w:val="24"/>
              </w:rPr>
            </w:pPr>
            <w:r w:rsidRPr="005819FF">
              <w:rPr>
                <w:rFonts w:cs="Arial"/>
                <w:sz w:val="24"/>
                <w:szCs w:val="24"/>
              </w:rPr>
              <w:t>Column B</w:t>
            </w:r>
          </w:p>
        </w:tc>
      </w:tr>
      <w:tr w:rsidR="005819FF" w:rsidRPr="005819FF" w14:paraId="7673B40B" w14:textId="77777777" w:rsidTr="005819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D237241" w14:textId="69A262C0" w:rsidR="005819FF" w:rsidRPr="005819FF" w:rsidRDefault="005819FF" w:rsidP="00E8431F">
            <w:pPr>
              <w:pStyle w:val="Tabletext"/>
              <w:rPr>
                <w:rFonts w:cs="Arial"/>
                <w:b w:val="0"/>
                <w:sz w:val="24"/>
                <w:szCs w:val="24"/>
              </w:rPr>
            </w:pPr>
            <w:r w:rsidRPr="005819FF">
              <w:rPr>
                <w:rFonts w:cs="Arial"/>
                <w:b w:val="0"/>
                <w:sz w:val="24"/>
                <w:szCs w:val="24"/>
              </w:rPr>
              <w:t>1.</w:t>
            </w:r>
            <w:r w:rsidRPr="005819FF">
              <w:rPr>
                <w:rFonts w:cs="Arial"/>
                <w:b w:val="0"/>
                <w:sz w:val="24"/>
                <w:szCs w:val="24"/>
              </w:rPr>
              <w:t>Acceptable quality</w:t>
            </w:r>
          </w:p>
        </w:tc>
        <w:tc>
          <w:tcPr>
            <w:tcW w:w="6877" w:type="dxa"/>
          </w:tcPr>
          <w:p w14:paraId="43E2FF94" w14:textId="503D9774" w:rsidR="005819FF" w:rsidRPr="005819FF" w:rsidRDefault="005819FF" w:rsidP="00E8431F">
            <w:pPr>
              <w:pStyle w:val="Tabletext"/>
              <w:cnfStyle w:val="000000010000" w:firstRow="0" w:lastRow="0" w:firstColumn="0" w:lastColumn="0" w:oddVBand="0" w:evenVBand="0" w:oddHBand="0" w:evenHBand="1" w:firstRowFirstColumn="0" w:firstRowLastColumn="0" w:lastRowFirstColumn="0" w:lastRowLastColumn="0"/>
              <w:rPr>
                <w:rFonts w:cs="Arial"/>
                <w:sz w:val="24"/>
                <w:szCs w:val="24"/>
              </w:rPr>
            </w:pPr>
            <w:r w:rsidRPr="005819FF">
              <w:rPr>
                <w:rFonts w:cs="Arial"/>
                <w:b/>
                <w:bCs/>
                <w:sz w:val="24"/>
                <w:szCs w:val="24"/>
              </w:rPr>
              <w:t>A.</w:t>
            </w:r>
            <w:r w:rsidRPr="005819FF">
              <w:rPr>
                <w:rFonts w:cs="Arial"/>
                <w:sz w:val="24"/>
                <w:szCs w:val="24"/>
              </w:rPr>
              <w:t xml:space="preserve"> </w:t>
            </w:r>
            <w:r w:rsidRPr="005819FF">
              <w:rPr>
                <w:rFonts w:cs="Arial"/>
                <w:sz w:val="24"/>
                <w:szCs w:val="24"/>
              </w:rPr>
              <w:t>A contract is a legally binding agreement between two or more people. A contract can be written or verbal however a written contract will reduce misunderstandings and disputes.</w:t>
            </w:r>
          </w:p>
        </w:tc>
      </w:tr>
      <w:tr w:rsidR="005819FF" w:rsidRPr="005819FF" w14:paraId="0509222E" w14:textId="77777777" w:rsidTr="00581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FCEFDAF" w14:textId="135B99EC" w:rsidR="005819FF" w:rsidRPr="005819FF" w:rsidRDefault="005819FF" w:rsidP="005819FF">
            <w:pPr>
              <w:pStyle w:val="Tabletext"/>
              <w:rPr>
                <w:rFonts w:cs="Arial"/>
                <w:b w:val="0"/>
                <w:sz w:val="24"/>
                <w:szCs w:val="24"/>
              </w:rPr>
            </w:pPr>
            <w:r w:rsidRPr="005819FF">
              <w:rPr>
                <w:rFonts w:cs="Arial"/>
                <w:b w:val="0"/>
                <w:sz w:val="24"/>
                <w:szCs w:val="24"/>
              </w:rPr>
              <w:t>2.</w:t>
            </w:r>
            <w:r w:rsidRPr="005819FF">
              <w:rPr>
                <w:rFonts w:cs="Arial"/>
                <w:b w:val="0"/>
                <w:sz w:val="24"/>
                <w:szCs w:val="24"/>
              </w:rPr>
              <w:t>Caveat emptor</w:t>
            </w:r>
          </w:p>
        </w:tc>
        <w:tc>
          <w:tcPr>
            <w:tcW w:w="6877" w:type="dxa"/>
          </w:tcPr>
          <w:p w14:paraId="52E70DCC" w14:textId="5B6DD570" w:rsidR="005819FF" w:rsidRPr="005819FF" w:rsidRDefault="005819FF" w:rsidP="005819FF">
            <w:pPr>
              <w:pStyle w:val="Tabletext"/>
              <w:cnfStyle w:val="000000100000" w:firstRow="0" w:lastRow="0" w:firstColumn="0" w:lastColumn="0" w:oddVBand="0" w:evenVBand="0" w:oddHBand="1" w:evenHBand="0" w:firstRowFirstColumn="0" w:firstRowLastColumn="0" w:lastRowFirstColumn="0" w:lastRowLastColumn="0"/>
              <w:rPr>
                <w:rFonts w:cs="Arial"/>
                <w:sz w:val="24"/>
                <w:szCs w:val="24"/>
              </w:rPr>
            </w:pPr>
            <w:r w:rsidRPr="005819FF">
              <w:rPr>
                <w:rFonts w:cs="Arial"/>
                <w:b/>
                <w:bCs/>
                <w:sz w:val="24"/>
                <w:szCs w:val="24"/>
              </w:rPr>
              <w:t>B</w:t>
            </w:r>
            <w:r w:rsidRPr="005819FF">
              <w:rPr>
                <w:rFonts w:cs="Arial"/>
                <w:sz w:val="24"/>
                <w:szCs w:val="24"/>
              </w:rPr>
              <w:t xml:space="preserve">. </w:t>
            </w:r>
            <w:r w:rsidRPr="005819FF">
              <w:rPr>
                <w:rFonts w:cs="Arial"/>
                <w:sz w:val="24"/>
                <w:szCs w:val="24"/>
              </w:rPr>
              <w:t>When consumers seek to rectify a problem with a product or service.</w:t>
            </w:r>
          </w:p>
        </w:tc>
      </w:tr>
      <w:tr w:rsidR="005819FF" w:rsidRPr="005819FF" w14:paraId="727A34D7" w14:textId="77777777" w:rsidTr="005819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A70F4BC" w14:textId="19FC5FC1" w:rsidR="005819FF" w:rsidRPr="005819FF" w:rsidRDefault="005819FF" w:rsidP="005819FF">
            <w:pPr>
              <w:pStyle w:val="Tabletext"/>
              <w:rPr>
                <w:rFonts w:cs="Arial"/>
                <w:b w:val="0"/>
                <w:sz w:val="24"/>
                <w:szCs w:val="24"/>
              </w:rPr>
            </w:pPr>
            <w:r w:rsidRPr="005819FF">
              <w:rPr>
                <w:rFonts w:cs="Arial"/>
                <w:b w:val="0"/>
                <w:sz w:val="24"/>
                <w:szCs w:val="24"/>
              </w:rPr>
              <w:t>3.</w:t>
            </w:r>
            <w:r w:rsidRPr="005819FF">
              <w:rPr>
                <w:rFonts w:cs="Arial"/>
                <w:b w:val="0"/>
                <w:sz w:val="24"/>
                <w:szCs w:val="24"/>
              </w:rPr>
              <w:t>Consumer rights</w:t>
            </w:r>
          </w:p>
        </w:tc>
        <w:tc>
          <w:tcPr>
            <w:tcW w:w="6877" w:type="dxa"/>
          </w:tcPr>
          <w:p w14:paraId="6A69A8B6" w14:textId="4D95C043" w:rsidR="005819FF" w:rsidRPr="005819FF" w:rsidRDefault="005819FF" w:rsidP="005819FF">
            <w:pPr>
              <w:pStyle w:val="Tabletext"/>
              <w:cnfStyle w:val="000000010000" w:firstRow="0" w:lastRow="0" w:firstColumn="0" w:lastColumn="0" w:oddVBand="0" w:evenVBand="0" w:oddHBand="0" w:evenHBand="1" w:firstRowFirstColumn="0" w:firstRowLastColumn="0" w:lastRowFirstColumn="0" w:lastRowLastColumn="0"/>
              <w:rPr>
                <w:rFonts w:cs="Arial"/>
                <w:sz w:val="24"/>
                <w:szCs w:val="24"/>
              </w:rPr>
            </w:pPr>
            <w:r w:rsidRPr="005819FF">
              <w:rPr>
                <w:rFonts w:cs="Arial"/>
                <w:b/>
                <w:bCs/>
                <w:sz w:val="24"/>
                <w:szCs w:val="24"/>
              </w:rPr>
              <w:t>C.</w:t>
            </w:r>
            <w:r w:rsidRPr="005819FF">
              <w:rPr>
                <w:rFonts w:cs="Arial"/>
                <w:sz w:val="24"/>
                <w:szCs w:val="24"/>
              </w:rPr>
              <w:t xml:space="preserve"> </w:t>
            </w:r>
            <w:r w:rsidRPr="005819FF">
              <w:rPr>
                <w:rFonts w:cs="Arial"/>
                <w:sz w:val="24"/>
                <w:szCs w:val="24"/>
              </w:rPr>
              <w:t>A product or service fit for purpose. Products free of defects, safe and durable.</w:t>
            </w:r>
          </w:p>
        </w:tc>
      </w:tr>
      <w:tr w:rsidR="005819FF" w:rsidRPr="005819FF" w14:paraId="24020E01" w14:textId="77777777" w:rsidTr="00581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54A1D6E" w14:textId="5FC0D7F1" w:rsidR="005819FF" w:rsidRPr="005819FF" w:rsidRDefault="005819FF" w:rsidP="005819FF">
            <w:pPr>
              <w:pStyle w:val="Tabletext"/>
              <w:rPr>
                <w:rFonts w:cs="Arial"/>
                <w:b w:val="0"/>
                <w:sz w:val="24"/>
                <w:szCs w:val="24"/>
              </w:rPr>
            </w:pPr>
            <w:r w:rsidRPr="005819FF">
              <w:rPr>
                <w:rFonts w:cs="Arial"/>
                <w:b w:val="0"/>
                <w:sz w:val="24"/>
                <w:szCs w:val="24"/>
              </w:rPr>
              <w:t xml:space="preserve">4. </w:t>
            </w:r>
            <w:r w:rsidRPr="005819FF">
              <w:rPr>
                <w:rFonts w:cs="Arial"/>
                <w:b w:val="0"/>
                <w:sz w:val="24"/>
                <w:szCs w:val="24"/>
              </w:rPr>
              <w:t>Consumer protection</w:t>
            </w:r>
          </w:p>
        </w:tc>
        <w:tc>
          <w:tcPr>
            <w:tcW w:w="6877" w:type="dxa"/>
          </w:tcPr>
          <w:p w14:paraId="1757F295" w14:textId="30ACFED0" w:rsidR="005819FF" w:rsidRPr="005819FF" w:rsidRDefault="005819FF" w:rsidP="005819FF">
            <w:pPr>
              <w:pStyle w:val="Tabletext"/>
              <w:cnfStyle w:val="000000100000" w:firstRow="0" w:lastRow="0" w:firstColumn="0" w:lastColumn="0" w:oddVBand="0" w:evenVBand="0" w:oddHBand="1" w:evenHBand="0" w:firstRowFirstColumn="0" w:firstRowLastColumn="0" w:lastRowFirstColumn="0" w:lastRowLastColumn="0"/>
              <w:rPr>
                <w:rFonts w:cs="Arial"/>
                <w:sz w:val="24"/>
                <w:szCs w:val="24"/>
              </w:rPr>
            </w:pPr>
            <w:r w:rsidRPr="005819FF">
              <w:rPr>
                <w:rFonts w:cs="Arial"/>
                <w:b/>
                <w:bCs/>
                <w:sz w:val="24"/>
                <w:szCs w:val="24"/>
              </w:rPr>
              <w:t>D</w:t>
            </w:r>
            <w:r w:rsidRPr="005819FF">
              <w:rPr>
                <w:rFonts w:cs="Arial"/>
                <w:sz w:val="24"/>
                <w:szCs w:val="24"/>
              </w:rPr>
              <w:t xml:space="preserve">. </w:t>
            </w:r>
            <w:r w:rsidRPr="005819FF">
              <w:rPr>
                <w:rFonts w:cs="Arial"/>
                <w:sz w:val="24"/>
                <w:szCs w:val="24"/>
              </w:rPr>
              <w:t xml:space="preserve">A set of </w:t>
            </w:r>
            <w:proofErr w:type="gramStart"/>
            <w:r w:rsidRPr="005819FF">
              <w:rPr>
                <w:rFonts w:cs="Arial"/>
                <w:sz w:val="24"/>
                <w:szCs w:val="24"/>
              </w:rPr>
              <w:t>consumer</w:t>
            </w:r>
            <w:proofErr w:type="gramEnd"/>
            <w:r w:rsidRPr="005819FF">
              <w:rPr>
                <w:rFonts w:cs="Arial"/>
                <w:sz w:val="24"/>
                <w:szCs w:val="24"/>
              </w:rPr>
              <w:t xml:space="preserve"> ‘guarantees’ and remedies for defective goods and services.</w:t>
            </w:r>
          </w:p>
        </w:tc>
      </w:tr>
      <w:tr w:rsidR="005819FF" w:rsidRPr="005819FF" w14:paraId="57B3C87A" w14:textId="77777777" w:rsidTr="005819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DE007F6" w14:textId="6D7A6645" w:rsidR="005819FF" w:rsidRPr="005819FF" w:rsidRDefault="005819FF" w:rsidP="005819FF">
            <w:pPr>
              <w:pStyle w:val="Tabletext"/>
              <w:rPr>
                <w:rFonts w:cs="Arial"/>
                <w:b w:val="0"/>
                <w:sz w:val="24"/>
                <w:szCs w:val="24"/>
              </w:rPr>
            </w:pPr>
            <w:r w:rsidRPr="005819FF">
              <w:rPr>
                <w:rFonts w:cs="Arial"/>
                <w:b w:val="0"/>
                <w:sz w:val="24"/>
                <w:szCs w:val="24"/>
              </w:rPr>
              <w:t xml:space="preserve">5. </w:t>
            </w:r>
            <w:r w:rsidRPr="005819FF">
              <w:rPr>
                <w:rFonts w:cs="Arial"/>
                <w:b w:val="0"/>
                <w:sz w:val="24"/>
                <w:szCs w:val="24"/>
              </w:rPr>
              <w:t>Contract</w:t>
            </w:r>
          </w:p>
        </w:tc>
        <w:tc>
          <w:tcPr>
            <w:tcW w:w="6877" w:type="dxa"/>
          </w:tcPr>
          <w:p w14:paraId="169E7323" w14:textId="6CE621D7" w:rsidR="005819FF" w:rsidRPr="005819FF" w:rsidRDefault="005819FF" w:rsidP="005819FF">
            <w:pPr>
              <w:pStyle w:val="Tabletext"/>
              <w:cnfStyle w:val="000000010000" w:firstRow="0" w:lastRow="0" w:firstColumn="0" w:lastColumn="0" w:oddVBand="0" w:evenVBand="0" w:oddHBand="0" w:evenHBand="1" w:firstRowFirstColumn="0" w:firstRowLastColumn="0" w:lastRowFirstColumn="0" w:lastRowLastColumn="0"/>
              <w:rPr>
                <w:rFonts w:cs="Arial"/>
                <w:sz w:val="24"/>
                <w:szCs w:val="24"/>
              </w:rPr>
            </w:pPr>
            <w:r w:rsidRPr="005819FF">
              <w:rPr>
                <w:rFonts w:cs="Arial"/>
                <w:b/>
                <w:bCs/>
                <w:sz w:val="24"/>
                <w:szCs w:val="24"/>
              </w:rPr>
              <w:t>E</w:t>
            </w:r>
            <w:r w:rsidRPr="005819FF">
              <w:rPr>
                <w:rFonts w:cs="Arial"/>
                <w:sz w:val="24"/>
                <w:szCs w:val="24"/>
              </w:rPr>
              <w:t xml:space="preserve">. </w:t>
            </w:r>
            <w:r w:rsidRPr="005819FF">
              <w:rPr>
                <w:rFonts w:cs="Arial"/>
                <w:sz w:val="24"/>
                <w:szCs w:val="24"/>
              </w:rPr>
              <w:t>Consumers are protected by a series of laws that protect consumers under Australian Consumer Law (ACL). The protections in the ACL are generally reflected in similar provisions in the Australian Securities and Investments Commission Act 2011 (ASIC Act) so that financial products and services are treated the same way as consumer products.</w:t>
            </w:r>
          </w:p>
        </w:tc>
      </w:tr>
      <w:tr w:rsidR="005819FF" w:rsidRPr="005819FF" w14:paraId="05910AED" w14:textId="77777777" w:rsidTr="00581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71EC418" w14:textId="67EC3C61" w:rsidR="005819FF" w:rsidRPr="005819FF" w:rsidRDefault="005819FF" w:rsidP="005819FF">
            <w:pPr>
              <w:pStyle w:val="Tabletext"/>
              <w:rPr>
                <w:rFonts w:cs="Arial"/>
                <w:b w:val="0"/>
                <w:sz w:val="24"/>
                <w:szCs w:val="24"/>
              </w:rPr>
            </w:pPr>
            <w:r w:rsidRPr="005819FF">
              <w:rPr>
                <w:rFonts w:cs="Arial"/>
                <w:b w:val="0"/>
                <w:sz w:val="24"/>
                <w:szCs w:val="24"/>
              </w:rPr>
              <w:t xml:space="preserve">6. </w:t>
            </w:r>
            <w:r w:rsidRPr="005819FF">
              <w:rPr>
                <w:rFonts w:cs="Arial"/>
                <w:b w:val="0"/>
                <w:sz w:val="24"/>
                <w:szCs w:val="24"/>
              </w:rPr>
              <w:t>Consumer redress</w:t>
            </w:r>
          </w:p>
        </w:tc>
        <w:tc>
          <w:tcPr>
            <w:tcW w:w="6877" w:type="dxa"/>
          </w:tcPr>
          <w:p w14:paraId="6255830A" w14:textId="2536CE12" w:rsidR="005819FF" w:rsidRPr="005819FF" w:rsidRDefault="005819FF" w:rsidP="005819FF">
            <w:pPr>
              <w:pStyle w:val="Tabletext"/>
              <w:cnfStyle w:val="000000100000" w:firstRow="0" w:lastRow="0" w:firstColumn="0" w:lastColumn="0" w:oddVBand="0" w:evenVBand="0" w:oddHBand="1" w:evenHBand="0" w:firstRowFirstColumn="0" w:firstRowLastColumn="0" w:lastRowFirstColumn="0" w:lastRowLastColumn="0"/>
              <w:rPr>
                <w:rFonts w:cs="Arial"/>
                <w:sz w:val="24"/>
                <w:szCs w:val="24"/>
              </w:rPr>
            </w:pPr>
            <w:r w:rsidRPr="005819FF">
              <w:rPr>
                <w:rFonts w:cs="Arial"/>
                <w:b/>
                <w:bCs/>
                <w:sz w:val="24"/>
                <w:szCs w:val="24"/>
              </w:rPr>
              <w:t>F.</w:t>
            </w:r>
            <w:r w:rsidRPr="005819FF">
              <w:rPr>
                <w:rFonts w:cs="Arial"/>
                <w:sz w:val="24"/>
                <w:szCs w:val="24"/>
              </w:rPr>
              <w:t xml:space="preserve">  </w:t>
            </w:r>
            <w:r w:rsidRPr="005819FF">
              <w:rPr>
                <w:rFonts w:cs="Arial"/>
                <w:sz w:val="24"/>
                <w:szCs w:val="24"/>
              </w:rPr>
              <w:t>A term meaning ‘let the buyer beware’. Meaning that the seller does not have to tell the consumer everything about the product or service.</w:t>
            </w:r>
          </w:p>
        </w:tc>
      </w:tr>
    </w:tbl>
    <w:p w14:paraId="46E0C58D" w14:textId="4E26532D" w:rsidR="005819FF" w:rsidRPr="005819FF" w:rsidRDefault="005819FF">
      <w:pPr>
        <w:rPr>
          <w:rFonts w:ascii="Arial" w:hAnsi="Arial" w:cs="Arial"/>
          <w:sz w:val="24"/>
          <w:szCs w:val="24"/>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819FF" w:rsidRPr="005819FF" w14:paraId="5EA971B1" w14:textId="77777777" w:rsidTr="005819FF">
        <w:tc>
          <w:tcPr>
            <w:tcW w:w="1502" w:type="dxa"/>
          </w:tcPr>
          <w:p w14:paraId="0C16A43E" w14:textId="77777777" w:rsidR="005819FF" w:rsidRPr="005819FF" w:rsidRDefault="005819FF">
            <w:pPr>
              <w:rPr>
                <w:rFonts w:ascii="Arial" w:hAnsi="Arial" w:cs="Arial"/>
                <w:sz w:val="24"/>
                <w:szCs w:val="24"/>
              </w:rPr>
            </w:pPr>
          </w:p>
          <w:p w14:paraId="1A58A70F" w14:textId="490E5F59" w:rsidR="005819FF" w:rsidRPr="005819FF" w:rsidRDefault="005819FF">
            <w:pPr>
              <w:rPr>
                <w:rFonts w:ascii="Arial" w:hAnsi="Arial" w:cs="Arial"/>
                <w:sz w:val="24"/>
                <w:szCs w:val="24"/>
              </w:rPr>
            </w:pPr>
            <w:r w:rsidRPr="005819FF">
              <w:rPr>
                <w:rFonts w:ascii="Arial" w:hAnsi="Arial" w:cs="Arial"/>
                <w:sz w:val="24"/>
                <w:szCs w:val="24"/>
              </w:rPr>
              <w:t>1.</w:t>
            </w:r>
          </w:p>
        </w:tc>
        <w:tc>
          <w:tcPr>
            <w:tcW w:w="1502" w:type="dxa"/>
          </w:tcPr>
          <w:p w14:paraId="32CBB202" w14:textId="77777777" w:rsidR="005819FF" w:rsidRPr="005819FF" w:rsidRDefault="005819FF">
            <w:pPr>
              <w:rPr>
                <w:rFonts w:ascii="Arial" w:hAnsi="Arial" w:cs="Arial"/>
                <w:sz w:val="24"/>
                <w:szCs w:val="24"/>
              </w:rPr>
            </w:pPr>
          </w:p>
          <w:p w14:paraId="560DB4ED" w14:textId="72315B83" w:rsidR="005819FF" w:rsidRPr="005819FF" w:rsidRDefault="005819FF">
            <w:pPr>
              <w:rPr>
                <w:rFonts w:ascii="Arial" w:hAnsi="Arial" w:cs="Arial"/>
                <w:sz w:val="24"/>
                <w:szCs w:val="24"/>
              </w:rPr>
            </w:pPr>
            <w:r w:rsidRPr="005819FF">
              <w:rPr>
                <w:rFonts w:ascii="Arial" w:hAnsi="Arial" w:cs="Arial"/>
                <w:sz w:val="24"/>
                <w:szCs w:val="24"/>
              </w:rPr>
              <w:t>2.</w:t>
            </w:r>
          </w:p>
        </w:tc>
        <w:tc>
          <w:tcPr>
            <w:tcW w:w="1503" w:type="dxa"/>
          </w:tcPr>
          <w:p w14:paraId="4B261591" w14:textId="77777777" w:rsidR="005819FF" w:rsidRPr="005819FF" w:rsidRDefault="005819FF">
            <w:pPr>
              <w:rPr>
                <w:rFonts w:ascii="Arial" w:hAnsi="Arial" w:cs="Arial"/>
                <w:sz w:val="24"/>
                <w:szCs w:val="24"/>
              </w:rPr>
            </w:pPr>
          </w:p>
          <w:p w14:paraId="66E2D710" w14:textId="60A88ACA" w:rsidR="005819FF" w:rsidRPr="005819FF" w:rsidRDefault="005819FF">
            <w:pPr>
              <w:rPr>
                <w:rFonts w:ascii="Arial" w:hAnsi="Arial" w:cs="Arial"/>
                <w:sz w:val="24"/>
                <w:szCs w:val="24"/>
              </w:rPr>
            </w:pPr>
            <w:r w:rsidRPr="005819FF">
              <w:rPr>
                <w:rFonts w:ascii="Arial" w:hAnsi="Arial" w:cs="Arial"/>
                <w:sz w:val="24"/>
                <w:szCs w:val="24"/>
              </w:rPr>
              <w:t>3.</w:t>
            </w:r>
          </w:p>
        </w:tc>
        <w:tc>
          <w:tcPr>
            <w:tcW w:w="1503" w:type="dxa"/>
          </w:tcPr>
          <w:p w14:paraId="2AF43DD6" w14:textId="77777777" w:rsidR="005819FF" w:rsidRPr="005819FF" w:rsidRDefault="005819FF">
            <w:pPr>
              <w:rPr>
                <w:rFonts w:ascii="Arial" w:hAnsi="Arial" w:cs="Arial"/>
                <w:sz w:val="24"/>
                <w:szCs w:val="24"/>
              </w:rPr>
            </w:pPr>
          </w:p>
          <w:p w14:paraId="27618164" w14:textId="2E01C4E7" w:rsidR="005819FF" w:rsidRPr="005819FF" w:rsidRDefault="005819FF">
            <w:pPr>
              <w:rPr>
                <w:rFonts w:ascii="Arial" w:hAnsi="Arial" w:cs="Arial"/>
                <w:sz w:val="24"/>
                <w:szCs w:val="24"/>
              </w:rPr>
            </w:pPr>
            <w:r w:rsidRPr="005819FF">
              <w:rPr>
                <w:rFonts w:ascii="Arial" w:hAnsi="Arial" w:cs="Arial"/>
                <w:sz w:val="24"/>
                <w:szCs w:val="24"/>
              </w:rPr>
              <w:t>4.</w:t>
            </w:r>
          </w:p>
        </w:tc>
        <w:tc>
          <w:tcPr>
            <w:tcW w:w="1503" w:type="dxa"/>
          </w:tcPr>
          <w:p w14:paraId="30A1BDB8" w14:textId="77777777" w:rsidR="005819FF" w:rsidRPr="005819FF" w:rsidRDefault="005819FF">
            <w:pPr>
              <w:rPr>
                <w:rFonts w:ascii="Arial" w:hAnsi="Arial" w:cs="Arial"/>
                <w:sz w:val="24"/>
                <w:szCs w:val="24"/>
              </w:rPr>
            </w:pPr>
          </w:p>
          <w:p w14:paraId="62ADA77A" w14:textId="10624EE9" w:rsidR="005819FF" w:rsidRPr="005819FF" w:rsidRDefault="005819FF">
            <w:pPr>
              <w:rPr>
                <w:rFonts w:ascii="Arial" w:hAnsi="Arial" w:cs="Arial"/>
                <w:sz w:val="24"/>
                <w:szCs w:val="24"/>
              </w:rPr>
            </w:pPr>
            <w:r w:rsidRPr="005819FF">
              <w:rPr>
                <w:rFonts w:ascii="Arial" w:hAnsi="Arial" w:cs="Arial"/>
                <w:sz w:val="24"/>
                <w:szCs w:val="24"/>
              </w:rPr>
              <w:t>5.</w:t>
            </w:r>
          </w:p>
        </w:tc>
        <w:tc>
          <w:tcPr>
            <w:tcW w:w="1503" w:type="dxa"/>
          </w:tcPr>
          <w:p w14:paraId="2E4F69AE" w14:textId="77777777" w:rsidR="005819FF" w:rsidRPr="005819FF" w:rsidRDefault="005819FF">
            <w:pPr>
              <w:rPr>
                <w:rFonts w:ascii="Arial" w:hAnsi="Arial" w:cs="Arial"/>
                <w:sz w:val="24"/>
                <w:szCs w:val="24"/>
              </w:rPr>
            </w:pPr>
          </w:p>
          <w:p w14:paraId="3AFEDE78" w14:textId="0ED88118" w:rsidR="005819FF" w:rsidRPr="005819FF" w:rsidRDefault="005819FF">
            <w:pPr>
              <w:rPr>
                <w:rFonts w:ascii="Arial" w:hAnsi="Arial" w:cs="Arial"/>
                <w:sz w:val="24"/>
                <w:szCs w:val="24"/>
              </w:rPr>
            </w:pPr>
            <w:r w:rsidRPr="005819FF">
              <w:rPr>
                <w:rFonts w:ascii="Arial" w:hAnsi="Arial" w:cs="Arial"/>
                <w:sz w:val="24"/>
                <w:szCs w:val="24"/>
              </w:rPr>
              <w:t>6.</w:t>
            </w:r>
          </w:p>
        </w:tc>
      </w:tr>
    </w:tbl>
    <w:p w14:paraId="2F51C568" w14:textId="15FC6FB5" w:rsidR="005819FF" w:rsidRDefault="005819FF">
      <w:pPr>
        <w:rPr>
          <w:rFonts w:ascii="Arial" w:hAnsi="Arial" w:cs="Arial"/>
          <w:sz w:val="24"/>
          <w:szCs w:val="24"/>
        </w:rPr>
      </w:pPr>
      <w:r w:rsidRPr="005819FF">
        <w:rPr>
          <w:rFonts w:ascii="Arial" w:hAnsi="Arial" w:cs="Arial"/>
          <w:sz w:val="24"/>
          <w:szCs w:val="24"/>
        </w:rPr>
        <w:br w:type="page"/>
      </w:r>
    </w:p>
    <w:p w14:paraId="10562136" w14:textId="5344DFC5" w:rsidR="005819FF" w:rsidRDefault="005819FF">
      <w:pPr>
        <w:rPr>
          <w:rFonts w:ascii="Arial" w:hAnsi="Arial" w:cs="Arial"/>
          <w:sz w:val="24"/>
          <w:szCs w:val="24"/>
        </w:rPr>
      </w:pPr>
    </w:p>
    <w:p w14:paraId="50D2E424" w14:textId="757B71B4" w:rsidR="005819FF" w:rsidRPr="005819FF" w:rsidRDefault="005819FF">
      <w:pPr>
        <w:rPr>
          <w:rFonts w:ascii="Arial" w:hAnsi="Arial" w:cs="Arial"/>
          <w:sz w:val="24"/>
          <w:szCs w:val="24"/>
        </w:rPr>
      </w:pPr>
      <w:r>
        <w:rPr>
          <w:rFonts w:ascii="Arial" w:hAnsi="Arial" w:cs="Arial"/>
          <w:sz w:val="24"/>
          <w:szCs w:val="24"/>
        </w:rPr>
        <w:t xml:space="preserve">Answers </w:t>
      </w:r>
    </w:p>
    <w:tbl>
      <w:tblPr>
        <w:tblStyle w:val="Tableheader"/>
        <w:tblW w:w="0" w:type="auto"/>
        <w:tblLook w:val="04A0" w:firstRow="1" w:lastRow="0" w:firstColumn="1" w:lastColumn="0" w:noHBand="0" w:noVBand="1"/>
        <w:tblCaption w:val="Terminology table"/>
        <w:tblDescription w:val="A table with terminology and its definitions relevant to this topic."/>
      </w:tblPr>
      <w:tblGrid>
        <w:gridCol w:w="2077"/>
        <w:gridCol w:w="6889"/>
      </w:tblGrid>
      <w:tr w:rsidR="005819FF" w:rsidRPr="007113F6" w14:paraId="5038E5AD" w14:textId="77777777" w:rsidTr="00E843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Pr>
          <w:p w14:paraId="0671785F" w14:textId="77777777" w:rsidR="005819FF" w:rsidRPr="007113F6" w:rsidRDefault="005819FF" w:rsidP="00E8431F">
            <w:pPr>
              <w:pStyle w:val="Tableheading"/>
              <w:spacing w:before="192" w:after="192"/>
            </w:pPr>
            <w:r w:rsidRPr="007113F6">
              <w:t>Terminology</w:t>
            </w:r>
          </w:p>
        </w:tc>
        <w:tc>
          <w:tcPr>
            <w:tcW w:w="8267" w:type="dxa"/>
          </w:tcPr>
          <w:p w14:paraId="4A238883" w14:textId="77777777" w:rsidR="005819FF" w:rsidRPr="007113F6" w:rsidRDefault="005819FF" w:rsidP="00E8431F">
            <w:pPr>
              <w:pStyle w:val="Tableheading"/>
              <w:cnfStyle w:val="100000000000" w:firstRow="1" w:lastRow="0" w:firstColumn="0" w:lastColumn="0" w:oddVBand="0" w:evenVBand="0" w:oddHBand="0" w:evenHBand="0" w:firstRowFirstColumn="0" w:firstRowLastColumn="0" w:lastRowFirstColumn="0" w:lastRowLastColumn="0"/>
            </w:pPr>
            <w:r w:rsidRPr="007113F6">
              <w:t>Definition</w:t>
            </w:r>
          </w:p>
        </w:tc>
      </w:tr>
      <w:tr w:rsidR="005819FF" w14:paraId="579302D5" w14:textId="77777777" w:rsidTr="00E84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1D000C1" w14:textId="77777777" w:rsidR="005819FF" w:rsidRPr="005819FF" w:rsidRDefault="005819FF" w:rsidP="00E8431F">
            <w:pPr>
              <w:pStyle w:val="Tabletext"/>
              <w:rPr>
                <w:b w:val="0"/>
                <w:highlight w:val="yellow"/>
              </w:rPr>
            </w:pPr>
            <w:r w:rsidRPr="005819FF">
              <w:rPr>
                <w:b w:val="0"/>
                <w:highlight w:val="yellow"/>
              </w:rPr>
              <w:t>Acceptable quality</w:t>
            </w:r>
          </w:p>
        </w:tc>
        <w:tc>
          <w:tcPr>
            <w:tcW w:w="8267" w:type="dxa"/>
          </w:tcPr>
          <w:p w14:paraId="13B9BCF7" w14:textId="77777777" w:rsidR="005819FF" w:rsidRPr="005819FF" w:rsidRDefault="005819FF" w:rsidP="00E8431F">
            <w:pPr>
              <w:pStyle w:val="Tabletext"/>
              <w:cnfStyle w:val="000000100000" w:firstRow="0" w:lastRow="0" w:firstColumn="0" w:lastColumn="0" w:oddVBand="0" w:evenVBand="0" w:oddHBand="1" w:evenHBand="0" w:firstRowFirstColumn="0" w:firstRowLastColumn="0" w:lastRowFirstColumn="0" w:lastRowLastColumn="0"/>
              <w:rPr>
                <w:highlight w:val="yellow"/>
              </w:rPr>
            </w:pPr>
            <w:r w:rsidRPr="005819FF">
              <w:rPr>
                <w:highlight w:val="yellow"/>
              </w:rPr>
              <w:t>A product or service fit for purpose. Products free of defects, safe and durable.</w:t>
            </w:r>
          </w:p>
        </w:tc>
      </w:tr>
      <w:tr w:rsidR="005819FF" w:rsidRPr="005819FF" w14:paraId="76BF229E" w14:textId="77777777" w:rsidTr="00E843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DE07A93" w14:textId="77777777" w:rsidR="005819FF" w:rsidRPr="005819FF" w:rsidRDefault="005819FF" w:rsidP="00E8431F">
            <w:pPr>
              <w:pStyle w:val="Tabletext"/>
              <w:rPr>
                <w:b w:val="0"/>
                <w:highlight w:val="yellow"/>
              </w:rPr>
            </w:pPr>
            <w:r w:rsidRPr="005819FF">
              <w:rPr>
                <w:b w:val="0"/>
                <w:highlight w:val="yellow"/>
              </w:rPr>
              <w:t>Caveat emptor</w:t>
            </w:r>
          </w:p>
        </w:tc>
        <w:tc>
          <w:tcPr>
            <w:tcW w:w="8267" w:type="dxa"/>
          </w:tcPr>
          <w:p w14:paraId="67CB2108" w14:textId="77777777" w:rsidR="005819FF" w:rsidRPr="005819FF" w:rsidRDefault="005819FF" w:rsidP="00E8431F">
            <w:pPr>
              <w:pStyle w:val="Tabletext"/>
              <w:cnfStyle w:val="000000010000" w:firstRow="0" w:lastRow="0" w:firstColumn="0" w:lastColumn="0" w:oddVBand="0" w:evenVBand="0" w:oddHBand="0" w:evenHBand="1" w:firstRowFirstColumn="0" w:firstRowLastColumn="0" w:lastRowFirstColumn="0" w:lastRowLastColumn="0"/>
              <w:rPr>
                <w:highlight w:val="yellow"/>
              </w:rPr>
            </w:pPr>
            <w:r w:rsidRPr="005819FF">
              <w:rPr>
                <w:highlight w:val="yellow"/>
              </w:rPr>
              <w:t>A term meaning ‘let the buyer beware’. Meaning that the seller does not have to tell the consumer everything about the product or service.</w:t>
            </w:r>
          </w:p>
        </w:tc>
      </w:tr>
      <w:tr w:rsidR="005819FF" w14:paraId="2AF06764" w14:textId="77777777" w:rsidTr="00E84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A00B20" w14:textId="77777777" w:rsidR="005819FF" w:rsidRPr="007113F6" w:rsidRDefault="005819FF" w:rsidP="00E8431F">
            <w:pPr>
              <w:pStyle w:val="Tabletext"/>
              <w:rPr>
                <w:b w:val="0"/>
              </w:rPr>
            </w:pPr>
            <w:r w:rsidRPr="007113F6">
              <w:rPr>
                <w:b w:val="0"/>
              </w:rPr>
              <w:t>Consumer rights</w:t>
            </w:r>
          </w:p>
        </w:tc>
        <w:tc>
          <w:tcPr>
            <w:tcW w:w="8267" w:type="dxa"/>
          </w:tcPr>
          <w:p w14:paraId="1FD78AB1" w14:textId="77777777" w:rsidR="005819FF" w:rsidRPr="00EC46C2" w:rsidRDefault="005819FF" w:rsidP="00E8431F">
            <w:pPr>
              <w:pStyle w:val="Tabletext"/>
              <w:cnfStyle w:val="000000100000" w:firstRow="0" w:lastRow="0" w:firstColumn="0" w:lastColumn="0" w:oddVBand="0" w:evenVBand="0" w:oddHBand="1" w:evenHBand="0" w:firstRowFirstColumn="0" w:firstRowLastColumn="0" w:lastRowFirstColumn="0" w:lastRowLastColumn="0"/>
            </w:pPr>
            <w:r w:rsidRPr="00EC46C2">
              <w:t xml:space="preserve">A set of </w:t>
            </w:r>
            <w:proofErr w:type="gramStart"/>
            <w:r w:rsidRPr="00EC46C2">
              <w:t>consumer</w:t>
            </w:r>
            <w:proofErr w:type="gramEnd"/>
            <w:r w:rsidRPr="00EC46C2">
              <w:t xml:space="preserve"> ‘guarantees’ and remedies for defective goods and services.</w:t>
            </w:r>
          </w:p>
        </w:tc>
      </w:tr>
      <w:tr w:rsidR="005819FF" w14:paraId="6CCC0DEA" w14:textId="77777777" w:rsidTr="00E843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BB3EEB" w14:textId="77777777" w:rsidR="005819FF" w:rsidRPr="007113F6" w:rsidRDefault="005819FF" w:rsidP="00E8431F">
            <w:pPr>
              <w:pStyle w:val="Tabletext"/>
              <w:rPr>
                <w:b w:val="0"/>
              </w:rPr>
            </w:pPr>
            <w:r w:rsidRPr="007113F6">
              <w:rPr>
                <w:b w:val="0"/>
              </w:rPr>
              <w:t>Consumer protection</w:t>
            </w:r>
          </w:p>
        </w:tc>
        <w:tc>
          <w:tcPr>
            <w:tcW w:w="8267" w:type="dxa"/>
          </w:tcPr>
          <w:p w14:paraId="2169A42D" w14:textId="77777777" w:rsidR="005819FF" w:rsidRPr="00EC46C2" w:rsidRDefault="005819FF" w:rsidP="00E8431F">
            <w:pPr>
              <w:pStyle w:val="Tabletext"/>
              <w:cnfStyle w:val="000000010000" w:firstRow="0" w:lastRow="0" w:firstColumn="0" w:lastColumn="0" w:oddVBand="0" w:evenVBand="0" w:oddHBand="0" w:evenHBand="1" w:firstRowFirstColumn="0" w:firstRowLastColumn="0" w:lastRowFirstColumn="0" w:lastRowLastColumn="0"/>
            </w:pPr>
            <w:r w:rsidRPr="00EC46C2">
              <w:t xml:space="preserve">Consumers are protected by a series of laws that protect consumers under Australian Consumer Law (ACL). The protections in the ACL are generally reflected in similar provisions in the Australian Securities and Investments Commission </w:t>
            </w:r>
            <w:r>
              <w:t xml:space="preserve">Act 2011 (ASIC Act) </w:t>
            </w:r>
            <w:r w:rsidRPr="00EC46C2">
              <w:t>so that financial products and services are treated the same way as consumer products.</w:t>
            </w:r>
          </w:p>
        </w:tc>
      </w:tr>
      <w:tr w:rsidR="005819FF" w14:paraId="6FD6C66F" w14:textId="77777777" w:rsidTr="00E84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B3EB35B" w14:textId="77777777" w:rsidR="005819FF" w:rsidRPr="007113F6" w:rsidRDefault="005819FF" w:rsidP="00E8431F">
            <w:pPr>
              <w:pStyle w:val="Tabletext"/>
              <w:rPr>
                <w:b w:val="0"/>
              </w:rPr>
            </w:pPr>
            <w:r w:rsidRPr="007113F6">
              <w:rPr>
                <w:b w:val="0"/>
              </w:rPr>
              <w:t>Contract</w:t>
            </w:r>
          </w:p>
        </w:tc>
        <w:tc>
          <w:tcPr>
            <w:tcW w:w="8267" w:type="dxa"/>
          </w:tcPr>
          <w:p w14:paraId="5F7392E2" w14:textId="77777777" w:rsidR="005819FF" w:rsidRPr="00EC46C2" w:rsidRDefault="005819FF" w:rsidP="00E8431F">
            <w:pPr>
              <w:pStyle w:val="Tabletext"/>
              <w:cnfStyle w:val="000000100000" w:firstRow="0" w:lastRow="0" w:firstColumn="0" w:lastColumn="0" w:oddVBand="0" w:evenVBand="0" w:oddHBand="1" w:evenHBand="0" w:firstRowFirstColumn="0" w:firstRowLastColumn="0" w:lastRowFirstColumn="0" w:lastRowLastColumn="0"/>
            </w:pPr>
            <w:r w:rsidRPr="005819FF">
              <w:rPr>
                <w:highlight w:val="yellow"/>
              </w:rPr>
              <w:t>A contract is a legally binding agreement between two or more people. A contract can be written or verbal however a written contract will reduce misunderstandings and disputes.</w:t>
            </w:r>
          </w:p>
        </w:tc>
      </w:tr>
      <w:tr w:rsidR="005819FF" w14:paraId="386ED937" w14:textId="77777777" w:rsidTr="00E843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878477" w14:textId="77777777" w:rsidR="005819FF" w:rsidRPr="007113F6" w:rsidRDefault="005819FF" w:rsidP="00E8431F">
            <w:pPr>
              <w:pStyle w:val="Tabletext"/>
              <w:rPr>
                <w:b w:val="0"/>
              </w:rPr>
            </w:pPr>
            <w:r w:rsidRPr="007113F6">
              <w:rPr>
                <w:b w:val="0"/>
              </w:rPr>
              <w:t>Consumer redress</w:t>
            </w:r>
          </w:p>
        </w:tc>
        <w:tc>
          <w:tcPr>
            <w:tcW w:w="8267" w:type="dxa"/>
          </w:tcPr>
          <w:p w14:paraId="72F191AF" w14:textId="77777777" w:rsidR="005819FF" w:rsidRPr="00EC46C2" w:rsidRDefault="005819FF" w:rsidP="00E8431F">
            <w:pPr>
              <w:pStyle w:val="Tabletext"/>
              <w:cnfStyle w:val="000000010000" w:firstRow="0" w:lastRow="0" w:firstColumn="0" w:lastColumn="0" w:oddVBand="0" w:evenVBand="0" w:oddHBand="0" w:evenHBand="1" w:firstRowFirstColumn="0" w:firstRowLastColumn="0" w:lastRowFirstColumn="0" w:lastRowLastColumn="0"/>
            </w:pPr>
            <w:r w:rsidRPr="005819FF">
              <w:rPr>
                <w:highlight w:val="yellow"/>
              </w:rPr>
              <w:t>When consumers seek to rectify a problem with a product or service.</w:t>
            </w:r>
          </w:p>
        </w:tc>
      </w:tr>
    </w:tbl>
    <w:p w14:paraId="4B2B108A" w14:textId="07C0C8A7" w:rsidR="005819FF" w:rsidRDefault="005819FF"/>
    <w:tbl>
      <w:tblPr>
        <w:tblStyle w:val="TableGrid"/>
        <w:tblW w:w="0" w:type="auto"/>
        <w:tblLook w:val="04A0" w:firstRow="1" w:lastRow="0" w:firstColumn="1" w:lastColumn="0" w:noHBand="0" w:noVBand="1"/>
      </w:tblPr>
      <w:tblGrid>
        <w:gridCol w:w="1502"/>
        <w:gridCol w:w="1502"/>
        <w:gridCol w:w="1503"/>
        <w:gridCol w:w="1503"/>
        <w:gridCol w:w="1503"/>
        <w:gridCol w:w="1503"/>
      </w:tblGrid>
      <w:tr w:rsidR="005819FF" w:rsidRPr="005819FF" w14:paraId="0EB8DE9C" w14:textId="77777777" w:rsidTr="00E8431F">
        <w:tc>
          <w:tcPr>
            <w:tcW w:w="1502" w:type="dxa"/>
          </w:tcPr>
          <w:p w14:paraId="313D3013" w14:textId="77777777" w:rsidR="005819FF" w:rsidRPr="005819FF" w:rsidRDefault="005819FF" w:rsidP="00E8431F">
            <w:pPr>
              <w:rPr>
                <w:rFonts w:ascii="Arial" w:hAnsi="Arial" w:cs="Arial"/>
                <w:sz w:val="24"/>
                <w:szCs w:val="24"/>
              </w:rPr>
            </w:pPr>
          </w:p>
          <w:p w14:paraId="136A1808" w14:textId="0245B20C" w:rsidR="005819FF" w:rsidRPr="005819FF" w:rsidRDefault="005819FF" w:rsidP="00E8431F">
            <w:pPr>
              <w:rPr>
                <w:rFonts w:ascii="Arial" w:hAnsi="Arial" w:cs="Arial"/>
                <w:sz w:val="24"/>
                <w:szCs w:val="24"/>
              </w:rPr>
            </w:pPr>
            <w:r w:rsidRPr="005819FF">
              <w:rPr>
                <w:rFonts w:ascii="Arial" w:hAnsi="Arial" w:cs="Arial"/>
                <w:sz w:val="24"/>
                <w:szCs w:val="24"/>
              </w:rPr>
              <w:t>1.</w:t>
            </w:r>
            <w:r>
              <w:rPr>
                <w:rFonts w:ascii="Arial" w:hAnsi="Arial" w:cs="Arial"/>
                <w:sz w:val="24"/>
                <w:szCs w:val="24"/>
              </w:rPr>
              <w:t>C</w:t>
            </w:r>
          </w:p>
        </w:tc>
        <w:tc>
          <w:tcPr>
            <w:tcW w:w="1502" w:type="dxa"/>
          </w:tcPr>
          <w:p w14:paraId="68289730" w14:textId="77777777" w:rsidR="005819FF" w:rsidRPr="005819FF" w:rsidRDefault="005819FF" w:rsidP="00E8431F">
            <w:pPr>
              <w:rPr>
                <w:rFonts w:ascii="Arial" w:hAnsi="Arial" w:cs="Arial"/>
                <w:sz w:val="24"/>
                <w:szCs w:val="24"/>
              </w:rPr>
            </w:pPr>
          </w:p>
          <w:p w14:paraId="783CF3B0" w14:textId="46CC18C0" w:rsidR="005819FF" w:rsidRPr="005819FF" w:rsidRDefault="005819FF" w:rsidP="00E8431F">
            <w:pPr>
              <w:rPr>
                <w:rFonts w:ascii="Arial" w:hAnsi="Arial" w:cs="Arial"/>
                <w:sz w:val="24"/>
                <w:szCs w:val="24"/>
              </w:rPr>
            </w:pPr>
            <w:r w:rsidRPr="005819FF">
              <w:rPr>
                <w:rFonts w:ascii="Arial" w:hAnsi="Arial" w:cs="Arial"/>
                <w:sz w:val="24"/>
                <w:szCs w:val="24"/>
              </w:rPr>
              <w:t>2.</w:t>
            </w:r>
            <w:r>
              <w:rPr>
                <w:rFonts w:ascii="Arial" w:hAnsi="Arial" w:cs="Arial"/>
                <w:sz w:val="24"/>
                <w:szCs w:val="24"/>
              </w:rPr>
              <w:t>F</w:t>
            </w:r>
          </w:p>
        </w:tc>
        <w:tc>
          <w:tcPr>
            <w:tcW w:w="1503" w:type="dxa"/>
          </w:tcPr>
          <w:p w14:paraId="555D8C51" w14:textId="77777777" w:rsidR="005819FF" w:rsidRPr="005819FF" w:rsidRDefault="005819FF" w:rsidP="00E8431F">
            <w:pPr>
              <w:rPr>
                <w:rFonts w:ascii="Arial" w:hAnsi="Arial" w:cs="Arial"/>
                <w:sz w:val="24"/>
                <w:szCs w:val="24"/>
              </w:rPr>
            </w:pPr>
          </w:p>
          <w:p w14:paraId="00DCD021" w14:textId="1EDE65E8" w:rsidR="005819FF" w:rsidRPr="005819FF" w:rsidRDefault="005819FF" w:rsidP="00E8431F">
            <w:pPr>
              <w:rPr>
                <w:rFonts w:ascii="Arial" w:hAnsi="Arial" w:cs="Arial"/>
                <w:sz w:val="24"/>
                <w:szCs w:val="24"/>
              </w:rPr>
            </w:pPr>
            <w:r w:rsidRPr="005819FF">
              <w:rPr>
                <w:rFonts w:ascii="Arial" w:hAnsi="Arial" w:cs="Arial"/>
                <w:sz w:val="24"/>
                <w:szCs w:val="24"/>
              </w:rPr>
              <w:t>3.</w:t>
            </w:r>
            <w:r>
              <w:rPr>
                <w:rFonts w:ascii="Arial" w:hAnsi="Arial" w:cs="Arial"/>
                <w:sz w:val="24"/>
                <w:szCs w:val="24"/>
              </w:rPr>
              <w:t>D</w:t>
            </w:r>
          </w:p>
        </w:tc>
        <w:tc>
          <w:tcPr>
            <w:tcW w:w="1503" w:type="dxa"/>
          </w:tcPr>
          <w:p w14:paraId="32292727" w14:textId="77777777" w:rsidR="005819FF" w:rsidRPr="005819FF" w:rsidRDefault="005819FF" w:rsidP="00E8431F">
            <w:pPr>
              <w:rPr>
                <w:rFonts w:ascii="Arial" w:hAnsi="Arial" w:cs="Arial"/>
                <w:sz w:val="24"/>
                <w:szCs w:val="24"/>
              </w:rPr>
            </w:pPr>
          </w:p>
          <w:p w14:paraId="6FCFE09A" w14:textId="54F82BD4" w:rsidR="005819FF" w:rsidRPr="005819FF" w:rsidRDefault="005819FF" w:rsidP="00E8431F">
            <w:pPr>
              <w:rPr>
                <w:rFonts w:ascii="Arial" w:hAnsi="Arial" w:cs="Arial"/>
                <w:sz w:val="24"/>
                <w:szCs w:val="24"/>
              </w:rPr>
            </w:pPr>
            <w:r w:rsidRPr="005819FF">
              <w:rPr>
                <w:rFonts w:ascii="Arial" w:hAnsi="Arial" w:cs="Arial"/>
                <w:sz w:val="24"/>
                <w:szCs w:val="24"/>
              </w:rPr>
              <w:t>4.</w:t>
            </w:r>
            <w:r>
              <w:rPr>
                <w:rFonts w:ascii="Arial" w:hAnsi="Arial" w:cs="Arial"/>
                <w:sz w:val="24"/>
                <w:szCs w:val="24"/>
              </w:rPr>
              <w:t>E</w:t>
            </w:r>
          </w:p>
        </w:tc>
        <w:tc>
          <w:tcPr>
            <w:tcW w:w="1503" w:type="dxa"/>
          </w:tcPr>
          <w:p w14:paraId="14E86CB2" w14:textId="77777777" w:rsidR="005819FF" w:rsidRPr="005819FF" w:rsidRDefault="005819FF" w:rsidP="00E8431F">
            <w:pPr>
              <w:rPr>
                <w:rFonts w:ascii="Arial" w:hAnsi="Arial" w:cs="Arial"/>
                <w:sz w:val="24"/>
                <w:szCs w:val="24"/>
              </w:rPr>
            </w:pPr>
          </w:p>
          <w:p w14:paraId="339EA462" w14:textId="4FB646D8" w:rsidR="005819FF" w:rsidRPr="005819FF" w:rsidRDefault="005819FF" w:rsidP="00E8431F">
            <w:pPr>
              <w:rPr>
                <w:rFonts w:ascii="Arial" w:hAnsi="Arial" w:cs="Arial"/>
                <w:sz w:val="24"/>
                <w:szCs w:val="24"/>
              </w:rPr>
            </w:pPr>
            <w:r w:rsidRPr="005819FF">
              <w:rPr>
                <w:rFonts w:ascii="Arial" w:hAnsi="Arial" w:cs="Arial"/>
                <w:sz w:val="24"/>
                <w:szCs w:val="24"/>
              </w:rPr>
              <w:t>5.</w:t>
            </w:r>
            <w:r>
              <w:rPr>
                <w:rFonts w:ascii="Arial" w:hAnsi="Arial" w:cs="Arial"/>
                <w:sz w:val="24"/>
                <w:szCs w:val="24"/>
              </w:rPr>
              <w:t>A</w:t>
            </w:r>
          </w:p>
        </w:tc>
        <w:tc>
          <w:tcPr>
            <w:tcW w:w="1503" w:type="dxa"/>
          </w:tcPr>
          <w:p w14:paraId="68151486" w14:textId="77777777" w:rsidR="005819FF" w:rsidRPr="005819FF" w:rsidRDefault="005819FF" w:rsidP="00E8431F">
            <w:pPr>
              <w:rPr>
                <w:rFonts w:ascii="Arial" w:hAnsi="Arial" w:cs="Arial"/>
                <w:sz w:val="24"/>
                <w:szCs w:val="24"/>
              </w:rPr>
            </w:pPr>
          </w:p>
          <w:p w14:paraId="0BC1391E" w14:textId="1EC8BCB7" w:rsidR="005819FF" w:rsidRPr="005819FF" w:rsidRDefault="005819FF" w:rsidP="00E8431F">
            <w:pPr>
              <w:rPr>
                <w:rFonts w:ascii="Arial" w:hAnsi="Arial" w:cs="Arial"/>
                <w:sz w:val="24"/>
                <w:szCs w:val="24"/>
              </w:rPr>
            </w:pPr>
            <w:r w:rsidRPr="005819FF">
              <w:rPr>
                <w:rFonts w:ascii="Arial" w:hAnsi="Arial" w:cs="Arial"/>
                <w:sz w:val="24"/>
                <w:szCs w:val="24"/>
              </w:rPr>
              <w:t>6.</w:t>
            </w:r>
            <w:r>
              <w:rPr>
                <w:rFonts w:ascii="Arial" w:hAnsi="Arial" w:cs="Arial"/>
                <w:sz w:val="24"/>
                <w:szCs w:val="24"/>
              </w:rPr>
              <w:t>B</w:t>
            </w:r>
          </w:p>
        </w:tc>
      </w:tr>
    </w:tbl>
    <w:p w14:paraId="6540CEAD" w14:textId="77777777" w:rsidR="005819FF" w:rsidRPr="005819FF" w:rsidRDefault="005819FF" w:rsidP="005819FF">
      <w:pPr>
        <w:rPr>
          <w:rFonts w:ascii="Arial" w:hAnsi="Arial" w:cs="Arial"/>
          <w:sz w:val="24"/>
          <w:szCs w:val="24"/>
        </w:rPr>
      </w:pPr>
      <w:r w:rsidRPr="005819FF">
        <w:rPr>
          <w:rFonts w:ascii="Arial" w:hAnsi="Arial" w:cs="Arial"/>
          <w:sz w:val="24"/>
          <w:szCs w:val="24"/>
        </w:rPr>
        <w:br w:type="page"/>
      </w:r>
    </w:p>
    <w:p w14:paraId="09DE53B0" w14:textId="77777777" w:rsidR="005819FF" w:rsidRDefault="005819FF"/>
    <w:sectPr w:rsidR="00581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FF"/>
    <w:rsid w:val="00133E81"/>
    <w:rsid w:val="005819FF"/>
    <w:rsid w:val="008920F5"/>
    <w:rsid w:val="00D17F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8C4F"/>
  <w15:chartTrackingRefBased/>
  <w15:docId w15:val="{1D772168-615D-46BD-BFBC-D09A5C83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header">
    <w:name w:val="ŠTable header"/>
    <w:basedOn w:val="TableNormal"/>
    <w:uiPriority w:val="99"/>
    <w:rsid w:val="005819FF"/>
    <w:pPr>
      <w:widowControl w:val="0"/>
      <w:snapToGrid w:val="0"/>
      <w:spacing w:before="80" w:after="80" w:line="240" w:lineRule="auto"/>
      <w:mirrorIndents/>
    </w:pPr>
    <w:rPr>
      <w:rFonts w:ascii="Arial" w:hAnsi="Arial"/>
      <w:szCs w:val="24"/>
      <w:lang w:val="en-US"/>
    </w:rPr>
    <w:tblPr>
      <w:tblStyleRowBandSize w:val="1"/>
      <w:tblStyleColBandSize w:val="1"/>
    </w:tblPr>
    <w:tcPr>
      <w:shd w:val="clear" w:color="auto" w:fill="auto"/>
      <w:vAlign w:val="center"/>
    </w:tcPr>
    <w:tblStylePr w:type="firstRow">
      <w:pPr>
        <w:keepNext w:val="0"/>
        <w:keepLines w:val="0"/>
        <w:pageBreakBefore w:val="0"/>
        <w:widowControl w:val="0"/>
        <w:suppressLineNumbers w:val="0"/>
        <w:suppressAutoHyphens w:val="0"/>
        <w:wordWrap/>
        <w:adjustRightInd/>
        <w:snapToGrid w:val="0"/>
        <w:spacing w:beforeLines="0" w:before="80" w:beforeAutospacing="0" w:afterLines="0" w:after="80" w:afterAutospacing="0" w:line="240" w:lineRule="auto"/>
        <w:contextualSpacing w:val="0"/>
        <w:mirrorIndents/>
        <w:jc w:val="left"/>
        <w:textboxTightWrap w:val="allLines"/>
        <w:outlineLvl w:val="9"/>
      </w:pPr>
      <w:rPr>
        <w:rFonts w:ascii="Arial" w:hAnsi="Arial"/>
        <w:b/>
        <w:color w:val="FFFFFF" w:themeColor="background1"/>
        <w:sz w:val="22"/>
      </w:rPr>
      <w:tblPr/>
      <w:trPr>
        <w:cantSplit/>
        <w:tblHeader/>
      </w:trPr>
      <w:tcPr>
        <w:tcBorders>
          <w:top w:val="single" w:sz="24" w:space="0" w:color="1F3864" w:themeColor="accent1" w:themeShade="80"/>
          <w:left w:val="single" w:sz="24" w:space="0" w:color="1F3864" w:themeColor="accent1" w:themeShade="80"/>
          <w:bottom w:val="single" w:sz="24" w:space="0" w:color="C00000"/>
          <w:right w:val="single" w:sz="24" w:space="0" w:color="1F3864" w:themeColor="accent1" w:themeShade="80"/>
          <w:insideH w:val="single" w:sz="24" w:space="0" w:color="1F3864" w:themeColor="accent1" w:themeShade="80"/>
          <w:insideV w:val="single" w:sz="24" w:space="0" w:color="1F3864" w:themeColor="accent1" w:themeShade="80"/>
          <w:tl2br w:val="nil"/>
          <w:tr2bl w:val="nil"/>
        </w:tcBorders>
        <w:shd w:val="clear" w:color="auto" w:fill="1F3864" w:themeFill="accent1" w:themeFillShade="80"/>
      </w:tcPr>
    </w:tblStylePr>
    <w:tblStylePr w:type="lastRow">
      <w:pPr>
        <w:keepNext w:val="0"/>
        <w:keepLines w:val="0"/>
        <w:pageBreakBefore w:val="0"/>
        <w:widowControl w:val="0"/>
        <w:suppressLineNumbers w:val="0"/>
        <w:suppressAutoHyphens w:val="0"/>
        <w:wordWrap/>
        <w:adjustRightInd/>
        <w:snapToGrid w:val="0"/>
        <w:spacing w:line="240" w:lineRule="auto"/>
        <w:contextualSpacing w:val="0"/>
        <w:mirrorIndents/>
      </w:pPr>
    </w:tblStylePr>
    <w:tblStylePr w:type="firstCol">
      <w:pPr>
        <w:keepNext w:val="0"/>
        <w:keepLines w:val="0"/>
        <w:pageBreakBefore w:val="0"/>
        <w:widowControl w:val="0"/>
        <w:suppressLineNumbers w:val="0"/>
        <w:suppressAutoHyphens w:val="0"/>
        <w:wordWrap/>
        <w:adjustRightInd/>
        <w:snapToGrid w:val="0"/>
        <w:spacing w:beforeLines="0" w:before="80" w:beforeAutospacing="0" w:afterLines="0" w:after="80" w:afterAutospacing="0" w:line="240" w:lineRule="auto"/>
        <w:contextualSpacing w:val="0"/>
        <w:mirrorIndents/>
      </w:pPr>
      <w:rPr>
        <w:rFonts w:ascii="Arial" w:hAnsi="Arial"/>
        <w:b/>
        <w:sz w:val="22"/>
      </w:rPr>
    </w:tblStylePr>
    <w:tblStylePr w:type="lastCol">
      <w:pPr>
        <w:keepNext w:val="0"/>
        <w:keepLines w:val="0"/>
        <w:pageBreakBefore w:val="0"/>
        <w:widowControl w:val="0"/>
        <w:suppressLineNumbers w:val="0"/>
        <w:suppressAutoHyphens w:val="0"/>
        <w:wordWrap/>
        <w:adjustRightInd/>
        <w:snapToGrid w:val="0"/>
        <w:spacing w:line="240" w:lineRule="auto"/>
        <w:contextualSpacing w:val="0"/>
        <w:mirrorIndents/>
      </w:pPr>
    </w:tblStylePr>
    <w:tblStylePr w:type="band1Vert">
      <w:pPr>
        <w:keepNext w:val="0"/>
        <w:keepLines w:val="0"/>
        <w:pageBreakBefore w:val="0"/>
        <w:widowControl w:val="0"/>
        <w:suppressLineNumbers w:val="0"/>
        <w:suppressAutoHyphens w:val="0"/>
        <w:wordWrap/>
        <w:adjustRightInd/>
        <w:snapToGrid w:val="0"/>
        <w:spacing w:beforeLines="80" w:before="80" w:beforeAutospacing="0" w:afterLines="80" w:after="80" w:afterAutospacing="0" w:line="240" w:lineRule="auto"/>
        <w:contextualSpacing w:val="0"/>
        <w:mirrorIndents/>
      </w:pPr>
      <w:rPr>
        <w:rFonts w:ascii="Arial" w:hAnsi="Arial"/>
        <w:sz w:val="22"/>
      </w:rPr>
    </w:tblStylePr>
    <w:tblStylePr w:type="band2Vert">
      <w:pPr>
        <w:keepNext w:val="0"/>
        <w:keepLines w:val="0"/>
        <w:pageBreakBefore w:val="0"/>
        <w:widowControl w:val="0"/>
        <w:suppressLineNumbers w:val="0"/>
        <w:suppressAutoHyphens w:val="0"/>
        <w:wordWrap/>
        <w:adjustRightInd/>
        <w:snapToGrid w:val="0"/>
        <w:spacing w:beforeLines="80" w:before="80" w:beforeAutospacing="0" w:afterLines="80" w:after="80" w:afterAutospacing="0" w:line="240" w:lineRule="auto"/>
        <w:contextualSpacing w:val="0"/>
        <w:mirrorIndents/>
      </w:pPr>
    </w:tblStylePr>
    <w:tblStylePr w:type="band1Horz">
      <w:pPr>
        <w:keepNext w:val="0"/>
        <w:keepLines w:val="0"/>
        <w:pageBreakBefore w:val="0"/>
        <w:widowControl w:val="0"/>
        <w:suppressLineNumbers w:val="0"/>
        <w:suppressAutoHyphens w:val="0"/>
        <w:wordWrap/>
        <w:adjustRightInd/>
        <w:snapToGrid w:val="0"/>
        <w:spacing w:beforeLines="0" w:before="80" w:beforeAutospacing="0" w:afterLines="0" w:after="80" w:afterAutospacing="0" w:line="240" w:lineRule="auto"/>
        <w:contextualSpacing w:val="0"/>
        <w:mirrorIndents/>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pPr>
        <w:keepNext w:val="0"/>
        <w:keepLines w:val="0"/>
        <w:pageBreakBefore w:val="0"/>
        <w:widowControl w:val="0"/>
        <w:suppressLineNumbers w:val="0"/>
        <w:suppressAutoHyphens w:val="0"/>
        <w:wordWrap/>
        <w:adjustRightInd/>
        <w:snapToGrid w:val="0"/>
        <w:spacing w:beforeLines="0" w:before="80" w:beforeAutospacing="0" w:afterLines="0" w:after="80" w:afterAutospacing="0" w:line="240" w:lineRule="auto"/>
        <w:contextualSpacing w:val="0"/>
        <w:mirrorIndents/>
      </w:pPr>
      <w:rPr>
        <w:rFonts w:ascii="Arial" w:hAnsi="Arial"/>
        <w:color w:val="000000" w:themeColor="text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7E6E6" w:themeFill="background2"/>
      </w:tcPr>
    </w:tblStylePr>
    <w:tblStylePr w:type="neCell">
      <w:pPr>
        <w:keepNext w:val="0"/>
        <w:keepLines w:val="0"/>
        <w:pageBreakBefore w:val="0"/>
        <w:widowControl w:val="0"/>
        <w:suppressLineNumbers w:val="0"/>
        <w:suppressAutoHyphens w:val="0"/>
        <w:wordWrap/>
        <w:adjustRightInd/>
        <w:snapToGrid w:val="0"/>
        <w:spacing w:beforeLines="80" w:before="80" w:beforeAutospacing="0" w:afterLines="80" w:after="80" w:afterAutospacing="0" w:line="240" w:lineRule="auto"/>
        <w:contextualSpacing w:val="0"/>
        <w:mirrorIndents/>
      </w:pPr>
    </w:tblStylePr>
    <w:tblStylePr w:type="nwCell">
      <w:pPr>
        <w:keepNext w:val="0"/>
        <w:keepLines w:val="0"/>
        <w:pageBreakBefore w:val="0"/>
        <w:widowControl w:val="0"/>
        <w:suppressLineNumbers w:val="0"/>
        <w:suppressAutoHyphens w:val="0"/>
        <w:wordWrap/>
        <w:adjustRightInd/>
        <w:snapToGrid w:val="0"/>
        <w:spacing w:beforeLines="80" w:before="80" w:beforeAutospacing="0" w:afterLines="80" w:after="80" w:afterAutospacing="0" w:line="240" w:lineRule="auto"/>
        <w:contextualSpacing w:val="0"/>
        <w:mirrorIndents/>
      </w:pPr>
    </w:tblStylePr>
    <w:tblStylePr w:type="seCell">
      <w:pPr>
        <w:keepNext w:val="0"/>
        <w:keepLines w:val="0"/>
        <w:pageBreakBefore w:val="0"/>
        <w:widowControl w:val="0"/>
        <w:suppressLineNumbers w:val="0"/>
        <w:suppressAutoHyphens w:val="0"/>
        <w:wordWrap/>
        <w:snapToGrid w:val="0"/>
        <w:spacing w:beforeLines="80" w:before="80" w:beforeAutospacing="0" w:afterLines="80" w:after="80" w:afterAutospacing="0" w:line="240" w:lineRule="auto"/>
        <w:contextualSpacing w:val="0"/>
      </w:pPr>
    </w:tblStylePr>
    <w:tblStylePr w:type="swCell">
      <w:pPr>
        <w:keepNext w:val="0"/>
        <w:keepLines w:val="0"/>
        <w:pageBreakBefore w:val="0"/>
        <w:widowControl w:val="0"/>
        <w:suppressLineNumbers w:val="0"/>
        <w:suppressAutoHyphens w:val="0"/>
        <w:wordWrap/>
        <w:adjustRightInd/>
        <w:snapToGrid w:val="0"/>
        <w:spacing w:beforeLines="80" w:before="80" w:beforeAutospacing="0" w:afterLines="80" w:after="80" w:afterAutospacing="0" w:line="240" w:lineRule="auto"/>
        <w:contextualSpacing w:val="0"/>
        <w:mirrorIndents/>
      </w:pPr>
    </w:tblStylePr>
  </w:style>
  <w:style w:type="paragraph" w:customStyle="1" w:styleId="Tabletext">
    <w:name w:val="ŠTable text"/>
    <w:basedOn w:val="Normal"/>
    <w:uiPriority w:val="23"/>
    <w:qFormat/>
    <w:rsid w:val="005819FF"/>
    <w:pPr>
      <w:tabs>
        <w:tab w:val="left" w:pos="567"/>
        <w:tab w:val="left" w:pos="1134"/>
        <w:tab w:val="left" w:pos="1701"/>
        <w:tab w:val="left" w:pos="2268"/>
        <w:tab w:val="left" w:pos="2835"/>
        <w:tab w:val="left" w:pos="3402"/>
      </w:tabs>
      <w:spacing w:before="80" w:after="80" w:line="260" w:lineRule="atLeast"/>
    </w:pPr>
    <w:rPr>
      <w:rFonts w:ascii="Arial" w:eastAsia="SimSun" w:hAnsi="Arial" w:cs="Times New Roman"/>
      <w:szCs w:val="20"/>
      <w:lang w:eastAsia="zh-CN"/>
    </w:rPr>
  </w:style>
  <w:style w:type="paragraph" w:customStyle="1" w:styleId="Tableheading">
    <w:name w:val="ŠTable heading"/>
    <w:basedOn w:val="Normal"/>
    <w:uiPriority w:val="20"/>
    <w:qFormat/>
    <w:rsid w:val="005819FF"/>
    <w:pPr>
      <w:keepNext/>
      <w:keepLines/>
      <w:tabs>
        <w:tab w:val="left" w:pos="567"/>
        <w:tab w:val="left" w:pos="1134"/>
        <w:tab w:val="left" w:pos="1701"/>
        <w:tab w:val="left" w:pos="2268"/>
        <w:tab w:val="left" w:pos="2835"/>
        <w:tab w:val="left" w:pos="3402"/>
      </w:tabs>
      <w:spacing w:before="80" w:after="80" w:line="260" w:lineRule="atLeast"/>
    </w:pPr>
    <w:rPr>
      <w:rFonts w:ascii="Arial" w:eastAsia="SimSun" w:hAnsi="Arial" w:cs="Times New Roman"/>
      <w:b/>
      <w:szCs w:val="20"/>
      <w:lang w:eastAsia="zh-CN"/>
    </w:rPr>
  </w:style>
  <w:style w:type="table" w:styleId="TableGrid">
    <w:name w:val="Table Grid"/>
    <w:basedOn w:val="TableNormal"/>
    <w:uiPriority w:val="39"/>
    <w:rsid w:val="00581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LACHMAN Sarah [Narrogin Senior High School]</dc:creator>
  <cp:keywords/>
  <dc:description/>
  <cp:lastModifiedBy>LACHMAN Sarah [Narrogin Senior High School]</cp:lastModifiedBy>
  <cp:revision>3</cp:revision>
  <dcterms:created xsi:type="dcterms:W3CDTF">2023-11-02T03:53:00Z</dcterms:created>
  <dcterms:modified xsi:type="dcterms:W3CDTF">2023-11-02T04:27:00Z</dcterms:modified>
</cp:coreProperties>
</file>