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A420C" w14:textId="77777777" w:rsidR="00E335DC" w:rsidRPr="00E335DC" w:rsidRDefault="00E335DC" w:rsidP="00E335DC">
      <w:pPr>
        <w:spacing w:after="0" w:line="360" w:lineRule="atLeast"/>
        <w:outlineLvl w:val="2"/>
        <w:rPr>
          <w:rFonts w:ascii="Arial" w:eastAsia="Times New Roman" w:hAnsi="Arial" w:cs="Arial"/>
          <w:color w:val="336633"/>
          <w:sz w:val="32"/>
          <w:szCs w:val="32"/>
        </w:rPr>
      </w:pPr>
      <w:r w:rsidRPr="00E335DC">
        <w:rPr>
          <w:rFonts w:ascii="Arial" w:eastAsia="Times New Roman" w:hAnsi="Arial" w:cs="Arial"/>
          <w:color w:val="336633"/>
          <w:sz w:val="32"/>
          <w:szCs w:val="32"/>
        </w:rPr>
        <w:t>High-Temperature Heater for Pipes and Tubes</w:t>
      </w:r>
    </w:p>
    <w:p w14:paraId="77E49F4C" w14:textId="57B1F211" w:rsidR="00E335DC" w:rsidRDefault="00E335DC" w:rsidP="00E335DC">
      <w:pPr>
        <w:spacing w:after="0" w:line="270" w:lineRule="atLeast"/>
        <w:outlineLvl w:val="2"/>
        <w:rPr>
          <w:rFonts w:ascii="Arial" w:eastAsia="Times New Roman" w:hAnsi="Arial" w:cs="Arial"/>
          <w:color w:val="336633"/>
          <w:sz w:val="21"/>
          <w:szCs w:val="21"/>
        </w:rPr>
      </w:pPr>
      <w:r w:rsidRPr="00E335DC">
        <w:rPr>
          <w:rFonts w:ascii="Arial" w:eastAsia="Times New Roman" w:hAnsi="Arial" w:cs="Arial"/>
          <w:color w:val="336633"/>
          <w:sz w:val="21"/>
          <w:szCs w:val="21"/>
        </w:rPr>
        <w:t>120" Long with Wire Leads</w:t>
      </w:r>
    </w:p>
    <w:p w14:paraId="60A04C7E" w14:textId="77777777" w:rsidR="00E335DC" w:rsidRPr="00E335DC" w:rsidRDefault="00E335DC" w:rsidP="00E335DC">
      <w:pPr>
        <w:spacing w:after="0" w:line="270" w:lineRule="atLeast"/>
        <w:outlineLvl w:val="2"/>
        <w:rPr>
          <w:rFonts w:ascii="Arial" w:eastAsia="Times New Roman" w:hAnsi="Arial" w:cs="Arial"/>
          <w:color w:val="336633"/>
          <w:sz w:val="21"/>
          <w:szCs w:val="2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4833"/>
      </w:tblGrid>
      <w:tr w:rsidR="00E335DC" w:rsidRPr="00E335DC" w14:paraId="2C1B880F" w14:textId="77777777" w:rsidTr="00E335DC"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57F0E24" w14:textId="2A33EC42" w:rsidR="00E335DC" w:rsidRPr="00E335DC" w:rsidRDefault="00E335DC" w:rsidP="00E335DC">
            <w:pPr>
              <w:spacing w:after="0" w:line="315" w:lineRule="atLeast"/>
              <w:rPr>
                <w:rFonts w:ascii="Arial" w:eastAsia="Times New Roman" w:hAnsi="Arial" w:cs="Arial"/>
                <w:color w:val="777777"/>
                <w:sz w:val="18"/>
                <w:szCs w:val="18"/>
              </w:rPr>
            </w:pPr>
            <w:r>
              <w:fldChar w:fldCharType="begin"/>
            </w:r>
            <w:r>
              <w:instrText xml:space="preserve"> INCLUDEPICTURE "https://www.mcmaster.com/mvC/Contents/gfx/ImageCache/364/3641k23p2-c04b-digital@1x_637058207770353789.png?ver=ImageNotFound" \* MERGEFORMATINET </w:instrText>
            </w:r>
            <w:r>
              <w:fldChar w:fldCharType="separate"/>
            </w:r>
            <w:r>
              <w:fldChar w:fldCharType="end"/>
            </w:r>
            <w:r w:rsidRPr="00E335DC">
              <w:rPr>
                <w:rFonts w:ascii="Arial" w:eastAsia="Times New Roman" w:hAnsi="Arial" w:cs="Arial"/>
                <w:color w:val="777777"/>
                <w:sz w:val="18"/>
                <w:szCs w:val="18"/>
              </w:rPr>
              <w:t>Heater Type</w:t>
            </w:r>
          </w:p>
        </w:tc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4E7CEE" w14:textId="77777777" w:rsidR="00E335DC" w:rsidRPr="00E335DC" w:rsidRDefault="00E335DC" w:rsidP="00E335DC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Cable</w:t>
            </w:r>
          </w:p>
        </w:tc>
      </w:tr>
      <w:tr w:rsidR="00E335DC" w:rsidRPr="00E335DC" w14:paraId="5C1FBECC" w14:textId="77777777" w:rsidTr="00E335DC"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73F79DF" w14:textId="77777777" w:rsidR="00E335DC" w:rsidRPr="00E335DC" w:rsidRDefault="00E335DC" w:rsidP="00E335DC">
            <w:pPr>
              <w:spacing w:after="0" w:line="315" w:lineRule="atLeast"/>
              <w:rPr>
                <w:rFonts w:ascii="Arial" w:eastAsia="Times New Roman" w:hAnsi="Arial" w:cs="Arial"/>
                <w:color w:val="777777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777777"/>
                <w:sz w:val="18"/>
                <w:szCs w:val="18"/>
              </w:rPr>
              <w:t>Heat Cable Type</w:t>
            </w:r>
          </w:p>
        </w:tc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33325C" w14:textId="77777777" w:rsidR="00E335DC" w:rsidRPr="00E335DC" w:rsidRDefault="00E335DC" w:rsidP="00E335DC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Constant Wattage</w:t>
            </w:r>
          </w:p>
        </w:tc>
      </w:tr>
      <w:tr w:rsidR="00E335DC" w:rsidRPr="00E335DC" w14:paraId="50D91EC6" w14:textId="77777777" w:rsidTr="00E335DC"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8E78DF9" w14:textId="77777777" w:rsidR="00E335DC" w:rsidRPr="00E335DC" w:rsidRDefault="00E335DC" w:rsidP="00E335DC">
            <w:pPr>
              <w:spacing w:after="0" w:line="315" w:lineRule="atLeast"/>
              <w:rPr>
                <w:rFonts w:ascii="Arial" w:eastAsia="Times New Roman" w:hAnsi="Arial" w:cs="Arial"/>
                <w:color w:val="777777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777777"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3E5894" w14:textId="77777777" w:rsidR="00E335DC" w:rsidRPr="00E335DC" w:rsidRDefault="00E335DC" w:rsidP="00E335DC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120"</w:t>
            </w:r>
          </w:p>
        </w:tc>
      </w:tr>
      <w:tr w:rsidR="00E335DC" w:rsidRPr="00E335DC" w14:paraId="2D250FDF" w14:textId="77777777" w:rsidTr="00E335DC"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47E7942" w14:textId="77777777" w:rsidR="00E335DC" w:rsidRPr="00E335DC" w:rsidRDefault="00E335DC" w:rsidP="00E335DC">
            <w:pPr>
              <w:spacing w:after="0" w:line="315" w:lineRule="atLeast"/>
              <w:rPr>
                <w:rFonts w:ascii="Arial" w:eastAsia="Times New Roman" w:hAnsi="Arial" w:cs="Arial"/>
                <w:color w:val="777777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777777"/>
                <w:sz w:val="18"/>
                <w:szCs w:val="18"/>
              </w:rPr>
              <w:t>Wattage</w:t>
            </w:r>
          </w:p>
        </w:tc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FE9EF5" w14:textId="77777777" w:rsidR="00E335DC" w:rsidRPr="00E335DC" w:rsidRDefault="00E335DC" w:rsidP="00E335DC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500 W</w:t>
            </w:r>
          </w:p>
        </w:tc>
      </w:tr>
      <w:tr w:rsidR="00E335DC" w:rsidRPr="00E335DC" w14:paraId="689DDB6F" w14:textId="77777777" w:rsidTr="00E335DC"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1DEA306" w14:textId="77777777" w:rsidR="00E335DC" w:rsidRPr="00E335DC" w:rsidRDefault="00E335DC" w:rsidP="00E335DC">
            <w:pPr>
              <w:spacing w:after="0" w:line="315" w:lineRule="atLeast"/>
              <w:rPr>
                <w:rFonts w:ascii="Arial" w:eastAsia="Times New Roman" w:hAnsi="Arial" w:cs="Arial"/>
                <w:color w:val="777777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777777"/>
                <w:sz w:val="18"/>
                <w:szCs w:val="18"/>
              </w:rPr>
              <w:t>Watt Density</w:t>
            </w:r>
          </w:p>
        </w:tc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20DBD2" w14:textId="77777777" w:rsidR="00E335DC" w:rsidRPr="00E335DC" w:rsidRDefault="00E335DC" w:rsidP="00E335DC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50 W/ft.</w:t>
            </w:r>
          </w:p>
        </w:tc>
      </w:tr>
      <w:tr w:rsidR="00E335DC" w:rsidRPr="00E335DC" w14:paraId="17209645" w14:textId="77777777" w:rsidTr="00E335DC"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AF8217F" w14:textId="77777777" w:rsidR="00E335DC" w:rsidRPr="00E335DC" w:rsidRDefault="00E335DC" w:rsidP="00E335DC">
            <w:pPr>
              <w:spacing w:after="0" w:line="315" w:lineRule="atLeast"/>
              <w:rPr>
                <w:rFonts w:ascii="Arial" w:eastAsia="Times New Roman" w:hAnsi="Arial" w:cs="Arial"/>
                <w:color w:val="777777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777777"/>
                <w:sz w:val="18"/>
                <w:szCs w:val="18"/>
              </w:rPr>
              <w:t>Voltage</w:t>
            </w:r>
          </w:p>
        </w:tc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29B563" w14:textId="77777777" w:rsidR="00E335DC" w:rsidRPr="00E335DC" w:rsidRDefault="00E335DC" w:rsidP="00E335DC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120V AC</w:t>
            </w:r>
          </w:p>
        </w:tc>
      </w:tr>
      <w:tr w:rsidR="00E335DC" w:rsidRPr="00E335DC" w14:paraId="230D6EE6" w14:textId="77777777" w:rsidTr="00E335DC"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8319FEB" w14:textId="77777777" w:rsidR="00E335DC" w:rsidRPr="00E335DC" w:rsidRDefault="00E335DC" w:rsidP="00E335DC">
            <w:pPr>
              <w:spacing w:after="0" w:line="315" w:lineRule="atLeast"/>
              <w:rPr>
                <w:rFonts w:ascii="Arial" w:eastAsia="Times New Roman" w:hAnsi="Arial" w:cs="Arial"/>
                <w:color w:val="777777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777777"/>
                <w:sz w:val="18"/>
                <w:szCs w:val="18"/>
              </w:rPr>
              <w:t>Electrical Phase</w:t>
            </w:r>
          </w:p>
        </w:tc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D0E5D3" w14:textId="77777777" w:rsidR="00E335DC" w:rsidRPr="00E335DC" w:rsidRDefault="00E335DC" w:rsidP="00E335DC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Single</w:t>
            </w:r>
          </w:p>
        </w:tc>
      </w:tr>
      <w:tr w:rsidR="00E335DC" w:rsidRPr="00E335DC" w14:paraId="3D0B74CC" w14:textId="77777777" w:rsidTr="00E335DC"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5643D94" w14:textId="77777777" w:rsidR="00E335DC" w:rsidRPr="00E335DC" w:rsidRDefault="00E335DC" w:rsidP="00E335DC">
            <w:pPr>
              <w:spacing w:after="0" w:line="315" w:lineRule="atLeast"/>
              <w:rPr>
                <w:rFonts w:ascii="Arial" w:eastAsia="Times New Roman" w:hAnsi="Arial" w:cs="Arial"/>
                <w:color w:val="777777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777777"/>
                <w:sz w:val="18"/>
                <w:szCs w:val="18"/>
              </w:rPr>
              <w:t>Current</w:t>
            </w:r>
          </w:p>
        </w:tc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9B4750" w14:textId="77777777" w:rsidR="00E335DC" w:rsidRPr="00E335DC" w:rsidRDefault="00E335DC" w:rsidP="00E335DC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4.2 A</w:t>
            </w:r>
          </w:p>
        </w:tc>
      </w:tr>
      <w:tr w:rsidR="00E335DC" w:rsidRPr="00E335DC" w14:paraId="238C0F43" w14:textId="77777777" w:rsidTr="00E335DC"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B8C7A71" w14:textId="77777777" w:rsidR="00E335DC" w:rsidRPr="00E335DC" w:rsidRDefault="00E335DC" w:rsidP="00E335DC">
            <w:pPr>
              <w:spacing w:after="0" w:line="315" w:lineRule="atLeast"/>
              <w:rPr>
                <w:rFonts w:ascii="Arial" w:eastAsia="Times New Roman" w:hAnsi="Arial" w:cs="Arial"/>
                <w:color w:val="777777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777777"/>
                <w:sz w:val="18"/>
                <w:szCs w:val="18"/>
              </w:rPr>
              <w:t>Temperature Control Type</w:t>
            </w:r>
          </w:p>
        </w:tc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423F87" w14:textId="77777777" w:rsidR="00E335DC" w:rsidRPr="00E335DC" w:rsidRDefault="00E335DC" w:rsidP="00E335DC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None</w:t>
            </w:r>
          </w:p>
        </w:tc>
      </w:tr>
      <w:tr w:rsidR="00E335DC" w:rsidRPr="00E335DC" w14:paraId="4DD96247" w14:textId="77777777" w:rsidTr="00E335DC"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F32426C" w14:textId="77777777" w:rsidR="00E335DC" w:rsidRPr="00E335DC" w:rsidRDefault="00E335DC" w:rsidP="00E335DC">
            <w:pPr>
              <w:spacing w:after="0" w:line="315" w:lineRule="atLeast"/>
              <w:rPr>
                <w:rFonts w:ascii="Arial" w:eastAsia="Times New Roman" w:hAnsi="Arial" w:cs="Arial"/>
                <w:color w:val="777777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777777"/>
                <w:sz w:val="18"/>
                <w:szCs w:val="18"/>
              </w:rPr>
              <w:t>Maximum Heat Output</w:t>
            </w:r>
          </w:p>
        </w:tc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B1534" w14:textId="77777777" w:rsidR="00E335DC" w:rsidRPr="00E335DC" w:rsidRDefault="00E335DC" w:rsidP="00E335DC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900° F</w:t>
            </w:r>
          </w:p>
        </w:tc>
      </w:tr>
      <w:tr w:rsidR="00E335DC" w:rsidRPr="00E335DC" w14:paraId="3F9A0D82" w14:textId="77777777" w:rsidTr="00E335DC"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79C1756" w14:textId="77777777" w:rsidR="00E335DC" w:rsidRPr="00E335DC" w:rsidRDefault="00E335DC" w:rsidP="00E335DC">
            <w:pPr>
              <w:spacing w:after="0" w:line="315" w:lineRule="atLeast"/>
              <w:rPr>
                <w:rFonts w:ascii="Arial" w:eastAsia="Times New Roman" w:hAnsi="Arial" w:cs="Arial"/>
                <w:color w:val="777777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777777"/>
                <w:sz w:val="18"/>
                <w:szCs w:val="18"/>
              </w:rPr>
              <w:t>Power Source</w:t>
            </w:r>
          </w:p>
        </w:tc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37F40B" w14:textId="77777777" w:rsidR="00E335DC" w:rsidRPr="00E335DC" w:rsidRDefault="00E335DC" w:rsidP="00E335DC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Electric</w:t>
            </w:r>
          </w:p>
        </w:tc>
      </w:tr>
      <w:tr w:rsidR="00E335DC" w:rsidRPr="00E335DC" w14:paraId="3ABBC25B" w14:textId="77777777" w:rsidTr="00E335DC"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140500F5" w14:textId="77777777" w:rsidR="00E335DC" w:rsidRPr="00E335DC" w:rsidRDefault="00E335DC" w:rsidP="00E335DC">
            <w:pPr>
              <w:spacing w:after="0" w:line="315" w:lineRule="atLeast"/>
              <w:rPr>
                <w:rFonts w:ascii="Arial" w:eastAsia="Times New Roman" w:hAnsi="Arial" w:cs="Arial"/>
                <w:color w:val="777777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777777"/>
                <w:sz w:val="18"/>
                <w:szCs w:val="18"/>
              </w:rPr>
              <w:t>Electrical Connection Type</w:t>
            </w:r>
          </w:p>
        </w:tc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026A7B" w14:textId="77777777" w:rsidR="00E335DC" w:rsidRPr="00E335DC" w:rsidRDefault="00E335DC" w:rsidP="00E335DC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Hardwire</w:t>
            </w:r>
          </w:p>
        </w:tc>
      </w:tr>
      <w:tr w:rsidR="00E335DC" w:rsidRPr="00E335DC" w14:paraId="7F04BA1D" w14:textId="77777777" w:rsidTr="00E335DC"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01BF673" w14:textId="77777777" w:rsidR="00E335DC" w:rsidRPr="00E335DC" w:rsidRDefault="00E335DC" w:rsidP="00E335DC">
            <w:pPr>
              <w:spacing w:after="0" w:line="315" w:lineRule="atLeast"/>
              <w:rPr>
                <w:rFonts w:ascii="Arial" w:eastAsia="Times New Roman" w:hAnsi="Arial" w:cs="Arial"/>
                <w:color w:val="777777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777777"/>
                <w:sz w:val="18"/>
                <w:szCs w:val="18"/>
              </w:rPr>
              <w:t>Wire Connection Type</w:t>
            </w:r>
          </w:p>
        </w:tc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CA6800" w14:textId="77777777" w:rsidR="00E335DC" w:rsidRPr="00E335DC" w:rsidRDefault="00E335DC" w:rsidP="00E335DC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Wire Leads</w:t>
            </w:r>
          </w:p>
        </w:tc>
      </w:tr>
      <w:tr w:rsidR="00E335DC" w:rsidRPr="00E335DC" w14:paraId="14849E51" w14:textId="77777777" w:rsidTr="00E335DC"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364DCDF" w14:textId="77777777" w:rsidR="00E335DC" w:rsidRPr="00E335DC" w:rsidRDefault="00E335DC" w:rsidP="00E335DC">
            <w:pPr>
              <w:spacing w:after="0" w:line="315" w:lineRule="atLeast"/>
              <w:rPr>
                <w:rFonts w:ascii="Arial" w:eastAsia="Times New Roman" w:hAnsi="Arial" w:cs="Arial"/>
                <w:color w:val="777777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777777"/>
                <w:sz w:val="18"/>
                <w:szCs w:val="18"/>
              </w:rPr>
              <w:t>Cable Material</w:t>
            </w:r>
          </w:p>
        </w:tc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7A5E67" w14:textId="77777777" w:rsidR="00E335DC" w:rsidRPr="00E335DC" w:rsidRDefault="00E335DC" w:rsidP="00E335DC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Nickel Alloy</w:t>
            </w:r>
          </w:p>
        </w:tc>
      </w:tr>
      <w:tr w:rsidR="00E335DC" w:rsidRPr="00E335DC" w14:paraId="0490211F" w14:textId="77777777" w:rsidTr="00E335DC"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EBA3782" w14:textId="77777777" w:rsidR="00E335DC" w:rsidRPr="00E335DC" w:rsidRDefault="00E335DC" w:rsidP="00E335DC">
            <w:pPr>
              <w:spacing w:after="0" w:line="315" w:lineRule="atLeast"/>
              <w:rPr>
                <w:rFonts w:ascii="Arial" w:eastAsia="Times New Roman" w:hAnsi="Arial" w:cs="Arial"/>
                <w:color w:val="777777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777777"/>
                <w:sz w:val="18"/>
                <w:szCs w:val="18"/>
              </w:rPr>
              <w:t>Cable Cover Material</w:t>
            </w:r>
          </w:p>
        </w:tc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F044E8" w14:textId="77777777" w:rsidR="00E335DC" w:rsidRPr="00E335DC" w:rsidRDefault="00E335DC" w:rsidP="00E335DC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Fiberglass</w:t>
            </w:r>
          </w:p>
        </w:tc>
      </w:tr>
      <w:tr w:rsidR="00E335DC" w:rsidRPr="00E335DC" w14:paraId="63BF2998" w14:textId="77777777" w:rsidTr="00E335DC"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8535584" w14:textId="77777777" w:rsidR="00E335DC" w:rsidRPr="00E335DC" w:rsidRDefault="00E335DC" w:rsidP="00E335DC">
            <w:pPr>
              <w:spacing w:after="0" w:line="315" w:lineRule="atLeast"/>
              <w:rPr>
                <w:rFonts w:ascii="Arial" w:eastAsia="Times New Roman" w:hAnsi="Arial" w:cs="Arial"/>
                <w:color w:val="777777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777777"/>
                <w:sz w:val="18"/>
                <w:szCs w:val="18"/>
              </w:rPr>
              <w:t>For Surface Material</w:t>
            </w:r>
          </w:p>
        </w:tc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0465B9" w14:textId="77777777" w:rsidR="00E335DC" w:rsidRPr="00E335DC" w:rsidRDefault="00E335DC" w:rsidP="00E335DC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Metal</w:t>
            </w:r>
          </w:p>
        </w:tc>
      </w:tr>
      <w:tr w:rsidR="00E335DC" w:rsidRPr="00E335DC" w14:paraId="4FBC5842" w14:textId="77777777" w:rsidTr="00E335DC"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7AB9FAF" w14:textId="77777777" w:rsidR="00E335DC" w:rsidRPr="00E335DC" w:rsidRDefault="00E335DC" w:rsidP="00E335DC">
            <w:pPr>
              <w:spacing w:after="0" w:line="315" w:lineRule="atLeast"/>
              <w:rPr>
                <w:rFonts w:ascii="Arial" w:eastAsia="Times New Roman" w:hAnsi="Arial" w:cs="Arial"/>
                <w:color w:val="777777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777777"/>
                <w:sz w:val="18"/>
                <w:szCs w:val="18"/>
              </w:rPr>
              <w:t>For Use Outdoors</w:t>
            </w:r>
          </w:p>
        </w:tc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19D2E4" w14:textId="77777777" w:rsidR="00E335DC" w:rsidRPr="00E335DC" w:rsidRDefault="00E335DC" w:rsidP="00E335DC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No</w:t>
            </w:r>
          </w:p>
        </w:tc>
      </w:tr>
      <w:tr w:rsidR="00E335DC" w:rsidRPr="00E335DC" w14:paraId="036976E6" w14:textId="77777777" w:rsidTr="00E335DC"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792B73E" w14:textId="77777777" w:rsidR="00E335DC" w:rsidRPr="00E335DC" w:rsidRDefault="00E335DC" w:rsidP="00E335DC">
            <w:pPr>
              <w:spacing w:after="0" w:line="315" w:lineRule="atLeast"/>
              <w:rPr>
                <w:rFonts w:ascii="Arial" w:eastAsia="Times New Roman" w:hAnsi="Arial" w:cs="Arial"/>
                <w:color w:val="777777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777777"/>
                <w:sz w:val="18"/>
                <w:szCs w:val="18"/>
              </w:rPr>
              <w:t>Thickness</w:t>
            </w:r>
          </w:p>
        </w:tc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8C8224" w14:textId="77777777" w:rsidR="00E335DC" w:rsidRPr="00E335DC" w:rsidRDefault="00E335DC" w:rsidP="00E335DC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0.17"</w:t>
            </w:r>
          </w:p>
        </w:tc>
      </w:tr>
      <w:tr w:rsidR="00E335DC" w:rsidRPr="00E335DC" w14:paraId="2258BAB8" w14:textId="77777777" w:rsidTr="00E335DC"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300" w:type="dxa"/>
            </w:tcMar>
            <w:hideMark/>
          </w:tcPr>
          <w:p w14:paraId="0003048A" w14:textId="77777777" w:rsidR="00E335DC" w:rsidRPr="00E335DC" w:rsidRDefault="00E335DC" w:rsidP="00E335DC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777777"/>
                <w:sz w:val="18"/>
                <w:szCs w:val="18"/>
              </w:rPr>
              <w:t>Environment Temperature Range</w:t>
            </w:r>
          </w:p>
        </w:tc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D1D157" w14:textId="77777777" w:rsidR="00E335DC" w:rsidRPr="00E335DC" w:rsidRDefault="00E335DC" w:rsidP="00E335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-100° to 900° F</w:t>
            </w:r>
          </w:p>
        </w:tc>
      </w:tr>
      <w:tr w:rsidR="00E335DC" w:rsidRPr="00E335DC" w14:paraId="4804D3D0" w14:textId="77777777" w:rsidTr="00E335DC"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0FFEA6A" w14:textId="77777777" w:rsidR="00E335DC" w:rsidRPr="00E335DC" w:rsidRDefault="00E335DC" w:rsidP="00E335DC">
            <w:pPr>
              <w:spacing w:after="0" w:line="315" w:lineRule="atLeast"/>
              <w:rPr>
                <w:rFonts w:ascii="Arial" w:eastAsia="Times New Roman" w:hAnsi="Arial" w:cs="Arial"/>
                <w:color w:val="777777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777777"/>
                <w:sz w:val="18"/>
                <w:szCs w:val="18"/>
              </w:rPr>
              <w:t>RoHS</w:t>
            </w:r>
          </w:p>
        </w:tc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D0C43B" w14:textId="77777777" w:rsidR="00E335DC" w:rsidRPr="00E335DC" w:rsidRDefault="00E335DC" w:rsidP="00E335DC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RoHS 3 (2015/863/EU) Compliant</w:t>
            </w:r>
          </w:p>
        </w:tc>
      </w:tr>
      <w:tr w:rsidR="00E335DC" w:rsidRPr="00E335DC" w14:paraId="51A166B9" w14:textId="77777777" w:rsidTr="00E335DC"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300" w:type="dxa"/>
            </w:tcMar>
            <w:hideMark/>
          </w:tcPr>
          <w:p w14:paraId="7C3EBE3B" w14:textId="77777777" w:rsidR="00E335DC" w:rsidRPr="00E335DC" w:rsidRDefault="00E335DC" w:rsidP="00E335DC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777777"/>
                <w:sz w:val="18"/>
                <w:szCs w:val="18"/>
              </w:rPr>
              <w:t>REACH</w:t>
            </w:r>
          </w:p>
        </w:tc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14DE50" w14:textId="77777777" w:rsidR="00E335DC" w:rsidRPr="00E335DC" w:rsidRDefault="00E335DC" w:rsidP="00E335D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REACH (EC 1907/2006) (01/19/2021, 211 SVHC) Compliant</w:t>
            </w:r>
          </w:p>
        </w:tc>
      </w:tr>
      <w:tr w:rsidR="00E335DC" w:rsidRPr="00E335DC" w14:paraId="0E116819" w14:textId="77777777" w:rsidTr="00E335DC"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7EEA1DF" w14:textId="77777777" w:rsidR="00E335DC" w:rsidRPr="00E335DC" w:rsidRDefault="00E335DC" w:rsidP="00E335DC">
            <w:pPr>
              <w:spacing w:after="0" w:line="315" w:lineRule="atLeast"/>
              <w:rPr>
                <w:rFonts w:ascii="Arial" w:eastAsia="Times New Roman" w:hAnsi="Arial" w:cs="Arial"/>
                <w:color w:val="777777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777777"/>
                <w:sz w:val="18"/>
                <w:szCs w:val="18"/>
              </w:rPr>
              <w:t>DFARS</w:t>
            </w:r>
          </w:p>
        </w:tc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C4B99C" w14:textId="77777777" w:rsidR="00E335DC" w:rsidRPr="00E335DC" w:rsidRDefault="00E335DC" w:rsidP="00E335DC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Specialty Metals COTS-Exempt</w:t>
            </w:r>
          </w:p>
        </w:tc>
      </w:tr>
      <w:tr w:rsidR="00E335DC" w:rsidRPr="00E335DC" w14:paraId="0218BD17" w14:textId="77777777" w:rsidTr="00E335DC"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CD33311" w14:textId="77777777" w:rsidR="00E335DC" w:rsidRPr="00E335DC" w:rsidRDefault="00E335DC" w:rsidP="00E335DC">
            <w:pPr>
              <w:spacing w:after="0" w:line="315" w:lineRule="atLeast"/>
              <w:rPr>
                <w:rFonts w:ascii="Arial" w:eastAsia="Times New Roman" w:hAnsi="Arial" w:cs="Arial"/>
                <w:color w:val="777777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777777"/>
                <w:sz w:val="18"/>
                <w:szCs w:val="18"/>
              </w:rPr>
              <w:t>Country of Origin</w:t>
            </w:r>
          </w:p>
        </w:tc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5ADE8D" w14:textId="77777777" w:rsidR="00E335DC" w:rsidRPr="00E335DC" w:rsidRDefault="00E335DC" w:rsidP="00E335DC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United States</w:t>
            </w:r>
          </w:p>
        </w:tc>
      </w:tr>
      <w:tr w:rsidR="00E335DC" w:rsidRPr="00E335DC" w14:paraId="702A23BD" w14:textId="77777777" w:rsidTr="00E335DC"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A1AC41F" w14:textId="77777777" w:rsidR="00E335DC" w:rsidRPr="00E335DC" w:rsidRDefault="00E335DC" w:rsidP="00E335DC">
            <w:pPr>
              <w:spacing w:after="0" w:line="315" w:lineRule="atLeast"/>
              <w:rPr>
                <w:rFonts w:ascii="Arial" w:eastAsia="Times New Roman" w:hAnsi="Arial" w:cs="Arial"/>
                <w:color w:val="777777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777777"/>
                <w:sz w:val="18"/>
                <w:szCs w:val="18"/>
              </w:rPr>
              <w:t>USMCA Qualifying</w:t>
            </w:r>
          </w:p>
        </w:tc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E2858C" w14:textId="77777777" w:rsidR="00E335DC" w:rsidRPr="00E335DC" w:rsidRDefault="00E335DC" w:rsidP="00E335DC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No</w:t>
            </w:r>
          </w:p>
        </w:tc>
      </w:tr>
      <w:tr w:rsidR="00E335DC" w:rsidRPr="00E335DC" w14:paraId="1B78B918" w14:textId="77777777" w:rsidTr="00E335DC"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1BA9FD0D" w14:textId="77777777" w:rsidR="00E335DC" w:rsidRPr="00E335DC" w:rsidRDefault="00E335DC" w:rsidP="00E335DC">
            <w:pPr>
              <w:spacing w:after="0" w:line="315" w:lineRule="atLeast"/>
              <w:rPr>
                <w:rFonts w:ascii="Arial" w:eastAsia="Times New Roman" w:hAnsi="Arial" w:cs="Arial"/>
                <w:color w:val="777777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777777"/>
                <w:sz w:val="18"/>
                <w:szCs w:val="18"/>
              </w:rPr>
              <w:t>Schedule B</w:t>
            </w:r>
          </w:p>
        </w:tc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5DAB12" w14:textId="77777777" w:rsidR="00E335DC" w:rsidRPr="00E335DC" w:rsidRDefault="00E335DC" w:rsidP="00E335DC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851680.0000</w:t>
            </w:r>
          </w:p>
        </w:tc>
      </w:tr>
      <w:tr w:rsidR="00E335DC" w:rsidRPr="00E335DC" w14:paraId="4DECB19A" w14:textId="77777777" w:rsidTr="00E335DC"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161823F" w14:textId="77777777" w:rsidR="00E335DC" w:rsidRPr="00E335DC" w:rsidRDefault="00E335DC" w:rsidP="00E335DC">
            <w:pPr>
              <w:spacing w:after="0" w:line="315" w:lineRule="atLeast"/>
              <w:rPr>
                <w:rFonts w:ascii="Arial" w:eastAsia="Times New Roman" w:hAnsi="Arial" w:cs="Arial"/>
                <w:color w:val="777777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777777"/>
                <w:sz w:val="18"/>
                <w:szCs w:val="18"/>
              </w:rPr>
              <w:t>ECCN</w:t>
            </w:r>
          </w:p>
        </w:tc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CE6B07" w14:textId="77777777" w:rsidR="00E335DC" w:rsidRPr="00E335DC" w:rsidRDefault="00E335DC" w:rsidP="00E335DC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EAR99</w:t>
            </w:r>
          </w:p>
        </w:tc>
      </w:tr>
      <w:tr w:rsidR="00E335DC" w:rsidRPr="00E335DC" w14:paraId="564BFF44" w14:textId="77777777" w:rsidTr="00E335DC"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300" w:type="dxa"/>
            </w:tcMar>
            <w:vAlign w:val="center"/>
            <w:hideMark/>
          </w:tcPr>
          <w:p w14:paraId="0C663FEC" w14:textId="77777777" w:rsidR="00E335DC" w:rsidRPr="00E335DC" w:rsidRDefault="00E335DC" w:rsidP="00E335DC">
            <w:pPr>
              <w:spacing w:after="0" w:line="315" w:lineRule="atLeast"/>
              <w:rPr>
                <w:rFonts w:ascii="Arial" w:eastAsia="Times New Roman" w:hAnsi="Arial" w:cs="Arial"/>
                <w:color w:val="777777"/>
                <w:sz w:val="18"/>
                <w:szCs w:val="18"/>
              </w:rPr>
            </w:pPr>
            <w:r w:rsidRPr="00E335DC">
              <w:rPr>
                <w:rFonts w:ascii="Arial" w:eastAsia="Times New Roman" w:hAnsi="Arial" w:cs="Arial"/>
                <w:color w:val="777777"/>
                <w:sz w:val="18"/>
                <w:szCs w:val="18"/>
              </w:rPr>
              <w:t>Related Product</w:t>
            </w:r>
          </w:p>
        </w:tc>
        <w:tc>
          <w:tcPr>
            <w:tcW w:w="0" w:type="auto"/>
            <w:tcBorders>
              <w:top w:val="single" w:sz="6" w:space="0" w:color="CBCBCB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49AEE9CB" w14:textId="77777777" w:rsidR="00E335DC" w:rsidRPr="00E335DC" w:rsidRDefault="00E335DC" w:rsidP="00E335DC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" w:anchor="3641K43" w:history="1">
              <w:r w:rsidRPr="00E335DC">
                <w:rPr>
                  <w:rFonts w:ascii="Arial" w:eastAsia="Times New Roman" w:hAnsi="Arial" w:cs="Arial"/>
                  <w:color w:val="006699"/>
                  <w:sz w:val="18"/>
                  <w:szCs w:val="18"/>
                  <w:u w:val="single"/>
                </w:rPr>
                <w:t>Variable-Voltage Controller</w:t>
              </w:r>
            </w:hyperlink>
          </w:p>
        </w:tc>
      </w:tr>
    </w:tbl>
    <w:p w14:paraId="252088CC" w14:textId="77777777" w:rsidR="00E335DC" w:rsidRDefault="00E335DC" w:rsidP="00E335DC">
      <w:pPr>
        <w:shd w:val="clear" w:color="auto" w:fill="FFFFFF"/>
        <w:spacing w:after="150" w:line="240" w:lineRule="atLeast"/>
        <w:jc w:val="both"/>
        <w:rPr>
          <w:rFonts w:ascii="Arial" w:eastAsia="Times New Roman" w:hAnsi="Arial" w:cs="Arial"/>
          <w:color w:val="333333"/>
          <w:sz w:val="18"/>
          <w:szCs w:val="18"/>
        </w:rPr>
      </w:pPr>
    </w:p>
    <w:p w14:paraId="3C8CAA78" w14:textId="092EA39E" w:rsidR="00E335DC" w:rsidRPr="00E335DC" w:rsidRDefault="00E335DC" w:rsidP="00E335DC">
      <w:pPr>
        <w:shd w:val="clear" w:color="auto" w:fill="FFFFFF"/>
        <w:spacing w:after="150" w:line="24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E335DC">
        <w:rPr>
          <w:rFonts w:ascii="Arial" w:eastAsia="Times New Roman" w:hAnsi="Arial" w:cs="Arial"/>
          <w:color w:val="333333"/>
          <w:sz w:val="18"/>
          <w:szCs w:val="18"/>
        </w:rPr>
        <w:t>With a maximum heat output of 900° F, these heaters are often used for thawing frozen pipes and rapid spot heating. </w:t>
      </w:r>
      <w:r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Pr="00E335DC">
        <w:rPr>
          <w:rFonts w:ascii="Arial" w:eastAsia="Times New Roman" w:hAnsi="Arial" w:cs="Arial"/>
          <w:color w:val="333333"/>
          <w:sz w:val="18"/>
          <w:szCs w:val="18"/>
        </w:rPr>
        <w:t>They supply the same wattage regardless of the surrounding temperature, so they're less prone to power surges than self-regulating heaters</w:t>
      </w:r>
      <w:proofErr w:type="gramStart"/>
      <w:r w:rsidRPr="00E335DC">
        <w:rPr>
          <w:rFonts w:ascii="Arial" w:eastAsia="Times New Roman" w:hAnsi="Arial" w:cs="Arial"/>
          <w:color w:val="333333"/>
          <w:sz w:val="18"/>
          <w:szCs w:val="18"/>
        </w:rPr>
        <w:t>. </w:t>
      </w:r>
      <w:proofErr w:type="gramEnd"/>
      <w:r w:rsidRPr="00E335DC">
        <w:rPr>
          <w:rFonts w:ascii="Arial" w:eastAsia="Times New Roman" w:hAnsi="Arial" w:cs="Arial"/>
          <w:color w:val="333333"/>
          <w:sz w:val="18"/>
          <w:szCs w:val="18"/>
        </w:rPr>
        <w:t>All require a variable-voltage controller (sold separately) for regulating heat output. </w:t>
      </w:r>
      <w:r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Pr="00E335DC">
        <w:rPr>
          <w:rFonts w:ascii="Arial" w:eastAsia="Times New Roman" w:hAnsi="Arial" w:cs="Arial"/>
          <w:color w:val="333333"/>
          <w:sz w:val="18"/>
          <w:szCs w:val="18"/>
        </w:rPr>
        <w:t>To prevent burnout, heaters must not be overlapped and must be in full contact with the surface being heated.</w:t>
      </w:r>
    </w:p>
    <w:p w14:paraId="7B74A478" w14:textId="77777777" w:rsidR="00E335DC" w:rsidRPr="00E335DC" w:rsidRDefault="00E335DC" w:rsidP="00E335D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E335DC">
        <w:rPr>
          <w:rFonts w:ascii="Arial" w:eastAsia="Times New Roman" w:hAnsi="Arial" w:cs="Arial"/>
          <w:color w:val="333333"/>
          <w:sz w:val="18"/>
          <w:szCs w:val="18"/>
        </w:rPr>
        <w:t>Note: Only install these heaters in accessible locations; do not install them behind walls, underground, or in other difficult-to-access areas</w:t>
      </w:r>
      <w:proofErr w:type="gramStart"/>
      <w:r w:rsidRPr="00E335DC">
        <w:rPr>
          <w:rFonts w:ascii="Arial" w:eastAsia="Times New Roman" w:hAnsi="Arial" w:cs="Arial"/>
          <w:color w:val="333333"/>
          <w:sz w:val="18"/>
          <w:szCs w:val="18"/>
        </w:rPr>
        <w:t>. </w:t>
      </w:r>
      <w:proofErr w:type="gramEnd"/>
      <w:r w:rsidRPr="00E335DC">
        <w:rPr>
          <w:rFonts w:ascii="Arial" w:eastAsia="Times New Roman" w:hAnsi="Arial" w:cs="Arial"/>
          <w:color w:val="333333"/>
          <w:sz w:val="18"/>
          <w:szCs w:val="18"/>
        </w:rPr>
        <w:t>Use </w:t>
      </w:r>
      <w:hyperlink r:id="rId5" w:history="1">
        <w:r w:rsidRPr="00E335DC">
          <w:rPr>
            <w:rFonts w:ascii="Arial" w:eastAsia="Times New Roman" w:hAnsi="Arial" w:cs="Arial"/>
            <w:color w:val="006699"/>
            <w:sz w:val="18"/>
            <w:szCs w:val="18"/>
            <w:u w:val="single"/>
          </w:rPr>
          <w:t>fiberglass tape</w:t>
        </w:r>
      </w:hyperlink>
      <w:r w:rsidRPr="00E335DC">
        <w:rPr>
          <w:rFonts w:ascii="Arial" w:eastAsia="Times New Roman" w:hAnsi="Arial" w:cs="Arial"/>
          <w:color w:val="333333"/>
          <w:sz w:val="18"/>
          <w:szCs w:val="18"/>
        </w:rPr>
        <w:t> or </w:t>
      </w:r>
      <w:hyperlink r:id="rId6" w:history="1">
        <w:r w:rsidRPr="00E335DC">
          <w:rPr>
            <w:rFonts w:ascii="Arial" w:eastAsia="Times New Roman" w:hAnsi="Arial" w:cs="Arial"/>
            <w:color w:val="006699"/>
            <w:sz w:val="18"/>
            <w:szCs w:val="18"/>
            <w:u w:val="single"/>
          </w:rPr>
          <w:t>heat-transfer putty</w:t>
        </w:r>
      </w:hyperlink>
      <w:r w:rsidRPr="00E335DC">
        <w:rPr>
          <w:rFonts w:ascii="Arial" w:eastAsia="Times New Roman" w:hAnsi="Arial" w:cs="Arial"/>
          <w:color w:val="333333"/>
          <w:sz w:val="18"/>
          <w:szCs w:val="18"/>
        </w:rPr>
        <w:t> to install them directly on surfaces that are free of dirt, grease, and rough edges. Do not use electrical tape, duct tape, metal bands, or wire</w:t>
      </w:r>
      <w:proofErr w:type="gramStart"/>
      <w:r w:rsidRPr="00E335DC">
        <w:rPr>
          <w:rFonts w:ascii="Arial" w:eastAsia="Times New Roman" w:hAnsi="Arial" w:cs="Arial"/>
          <w:color w:val="333333"/>
          <w:sz w:val="18"/>
          <w:szCs w:val="18"/>
        </w:rPr>
        <w:t>. </w:t>
      </w:r>
      <w:proofErr w:type="gramEnd"/>
      <w:r w:rsidRPr="00E335DC">
        <w:rPr>
          <w:rFonts w:ascii="Arial" w:eastAsia="Times New Roman" w:hAnsi="Arial" w:cs="Arial"/>
          <w:color w:val="333333"/>
          <w:sz w:val="18"/>
          <w:szCs w:val="18"/>
        </w:rPr>
        <w:t>To prevent heat loss and protect heaters from moisture and corrosion, wrap them with </w:t>
      </w:r>
      <w:hyperlink r:id="rId7" w:history="1">
        <w:r w:rsidRPr="00E335DC">
          <w:rPr>
            <w:rFonts w:ascii="Arial" w:eastAsia="Times New Roman" w:hAnsi="Arial" w:cs="Arial"/>
            <w:color w:val="006699"/>
            <w:sz w:val="18"/>
            <w:szCs w:val="18"/>
            <w:u w:val="single"/>
          </w:rPr>
          <w:t>fiberglass insulation</w:t>
        </w:r>
      </w:hyperlink>
      <w:r w:rsidRPr="00E335D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14:paraId="6C88473B" w14:textId="77777777" w:rsidR="00E335DC" w:rsidRDefault="00E335DC"/>
    <w:sectPr w:rsidR="00E33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DC"/>
    <w:rsid w:val="00E3104A"/>
    <w:rsid w:val="00E3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F1FF7"/>
  <w15:chartTrackingRefBased/>
  <w15:docId w15:val="{FA20DAA3-ECD0-4718-9702-107878A85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35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35D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wrd">
    <w:name w:val="wrd"/>
    <w:basedOn w:val="DefaultParagraphFont"/>
    <w:rsid w:val="00E335DC"/>
  </w:style>
  <w:style w:type="character" w:styleId="Hyperlink">
    <w:name w:val="Hyperlink"/>
    <w:basedOn w:val="DefaultParagraphFont"/>
    <w:uiPriority w:val="99"/>
    <w:semiHidden/>
    <w:unhideWhenUsed/>
    <w:rsid w:val="00E335DC"/>
    <w:rPr>
      <w:color w:val="0000FF"/>
      <w:u w:val="single"/>
    </w:rPr>
  </w:style>
  <w:style w:type="paragraph" w:customStyle="1" w:styleId="ap">
    <w:name w:val="ap"/>
    <w:basedOn w:val="Normal"/>
    <w:rsid w:val="00E33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py">
    <w:name w:val="copy"/>
    <w:basedOn w:val="Normal"/>
    <w:rsid w:val="00E33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1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cmaster.com/fiberglass%20insul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cmaster.com/heat-transfer%20putty" TargetMode="External"/><Relationship Id="rId5" Type="http://schemas.openxmlformats.org/officeDocument/2006/relationships/hyperlink" Target="https://www.mcmaster.com/fiberglass%20tape" TargetMode="External"/><Relationship Id="rId4" Type="http://schemas.openxmlformats.org/officeDocument/2006/relationships/hyperlink" Target="https://www.mcmaster.com/3641K27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Johnson</dc:creator>
  <cp:keywords/>
  <dc:description/>
  <cp:lastModifiedBy>Adam Johnson</cp:lastModifiedBy>
  <cp:revision>1</cp:revision>
  <dcterms:created xsi:type="dcterms:W3CDTF">2021-07-14T20:11:00Z</dcterms:created>
  <dcterms:modified xsi:type="dcterms:W3CDTF">2021-07-14T20:15:00Z</dcterms:modified>
</cp:coreProperties>
</file>